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Documentación de pruebas — plan, evidencias y resultados</w:t>
      </w:r>
    </w:p>
    <w:p>
      <w:pPr>
        <w:jc w:val="center"/>
      </w:pPr>
      <w:r>
        <w:t>Documentación técnica y académica · Revisión 2026-10-16</w:t>
      </w:r>
    </w:p>
    <w:p>
      <w:pPr>
        <w:jc w:val="center"/>
      </w:pPr>
      <w:r>
        <w:t>16 de octubre de 2026</w:t>
      </w:r>
    </w:p>
    <w:p>
      <w:pPr>
        <w:jc w:val="center"/>
      </w:pPr>
      <w:r>
        <w:t>Versión documental 2.0 | Estado: actualización con pendientes identificados</w:t>
      </w:r>
    </w:p>
    <w:p>
      <w:r>
        <w:br w:type="page"/>
      </w:r>
    </w:p>
    <w:p>
      <w:pPr>
        <w:pStyle w:val="Heading1"/>
      </w:pPr>
      <w:r>
        <w:t>Resumen</w:t>
      </w:r>
    </w:p>
    <w:p>
      <w:pPr>
        <w:ind w:firstLine="720"/>
      </w:pPr>
      <w:r>
        <w:t>Plan de pruebas funcionales, no funcionales y de seguridad con resultados conocidos y pendientes, sin atribuir pruebas simuladas a ejecución real.</w:t>
      </w:r>
    </w:p>
    <w:p>
      <w:pPr>
        <w:pStyle w:val="Heading1"/>
      </w:pPr>
      <w:r>
        <w:t>Contenido</w:t>
      </w:r>
    </w:p>
    <w:p>
      <w:pPr>
        <w:ind w:firstLine="720"/>
      </w:pPr>
      <w:r>
        <w:t>1. Método y alcance</w:t>
      </w:r>
    </w:p>
    <w:p>
      <w:pPr>
        <w:ind w:firstLine="720"/>
      </w:pPr>
      <w:r>
        <w:t>2. Matriz de pruebas</w:t>
      </w:r>
    </w:p>
    <w:p>
      <w:pPr>
        <w:ind w:firstLine="720"/>
      </w:pPr>
      <w:r>
        <w:t>3. Procedimientos reproducibles</w:t>
      </w:r>
    </w:p>
    <w:p>
      <w:pPr>
        <w:ind w:firstLine="720"/>
      </w:pPr>
      <w:r>
        <w:t>4. Evidencias y criterios de cierre</w:t>
      </w:r>
    </w:p>
    <w:p>
      <w:pPr>
        <w:ind w:firstLine="720"/>
      </w:pPr>
      <w:r>
        <w:t>5. Referencias</w:t>
      </w:r>
    </w:p>
    <w:p>
      <w:r>
        <w:br w:type="page"/>
      </w:r>
    </w:p>
    <w:p>
      <w:pPr>
        <w:pStyle w:val="Heading1"/>
      </w:pPr>
      <w:r>
        <w:t>1. Método y alcance</w:t>
      </w:r>
    </w:p>
    <w:p>
      <w:pPr>
        <w:ind w:firstLine="720"/>
      </w:pPr>
      <w:r>
        <w:t>Este documento distingue entre funcionalidades presentes en el código, verificaciones observadas en Render y pruebas todavía pendientes. Las evidencias de funcionamiento se limitan a las informadas en el expediente; no se atribuyen resultados de campo inexistentes. La versión principal del proyecto usa Java 17, Spring Boot 3.5.16, PostgreSQL, Liquibase, Expo SDK 57, Expo Router y Docker Compose (GPS Guardian Escolar, 2026a, 2026b, 2026c).</w:t>
      </w:r>
    </w:p>
    <w:p>
      <w:pPr>
        <w:ind w:firstLine="720"/>
      </w:pPr>
      <w:r>
        <w:t>Método: revisión estática, pruebas unitarias, smoke tests HTTP, pruebas manuales con navegador y pruebas nativas Android pendientes.</w:t>
      </w:r>
    </w:p>
    <w:p>
      <w:pPr>
        <w:pStyle w:val="Heading1"/>
      </w:pPr>
      <w:r>
        <w:t>2. Matriz de pruebas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ind w:firstLine="0"/>
            </w:pPr>
            <w:r>
              <w:rPr>
                <w:sz w:val="18"/>
              </w:rPr>
              <w:t>Código</w:t>
            </w:r>
          </w:p>
        </w:tc>
        <w:tc>
          <w:tcPr>
            <w:tcW w:type="dxa" w:w="3120"/>
          </w:tcPr>
          <w:p>
            <w:pPr>
              <w:spacing w:line="240" w:lineRule="auto"/>
              <w:ind w:firstLine="0"/>
            </w:pPr>
            <w:r>
              <w:rPr>
                <w:sz w:val="18"/>
              </w:rPr>
              <w:t>Prueba</w:t>
            </w:r>
          </w:p>
        </w:tc>
        <w:tc>
          <w:tcPr>
            <w:tcW w:type="dxa" w:w="3120"/>
          </w:tcPr>
          <w:p>
            <w:pPr>
              <w:spacing w:line="240" w:lineRule="auto"/>
              <w:ind w:firstLine="0"/>
            </w:pPr>
            <w:r>
              <w:rPr>
                <w:sz w:val="18"/>
              </w:rPr>
              <w:t>Evidencia / estado</w:t>
            </w:r>
          </w:p>
        </w:tc>
      </w:tr>
      <w:tr>
        <w:tc>
          <w:tcPr>
            <w:tcW w:type="dxa" w:w="3120"/>
          </w:tcPr>
          <w:p>
            <w:pPr>
              <w:spacing w:line="240" w:lineRule="auto"/>
              <w:ind w:firstLine="0"/>
            </w:pPr>
            <w:r>
              <w:rPr>
                <w:sz w:val="18"/>
              </w:rPr>
              <w:t>T01</w:t>
            </w:r>
          </w:p>
        </w:tc>
        <w:tc>
          <w:tcPr>
            <w:tcW w:type="dxa" w:w="3120"/>
          </w:tcPr>
          <w:p>
            <w:pPr>
              <w:spacing w:line="240" w:lineRule="auto"/>
              <w:ind w:firstLine="0"/>
            </w:pPr>
            <w:r>
              <w:rPr>
                <w:sz w:val="18"/>
              </w:rPr>
              <w:t>Maven verify backend HU-29</w:t>
            </w:r>
          </w:p>
        </w:tc>
        <w:tc>
          <w:tcPr>
            <w:tcW w:type="dxa" w:w="3120"/>
          </w:tcPr>
          <w:p>
            <w:pPr>
              <w:spacing w:line="240" w:lineRule="auto"/>
              <w:ind w:firstLine="0"/>
            </w:pPr>
            <w:r>
              <w:rPr>
                <w:sz w:val="18"/>
              </w:rPr>
              <w:t>Codex reportó 23 pruebas, 0 fallos</w:t>
            </w:r>
          </w:p>
        </w:tc>
      </w:tr>
      <w:tr>
        <w:tc>
          <w:tcPr>
            <w:tcW w:type="dxa" w:w="3120"/>
          </w:tcPr>
          <w:p>
            <w:pPr>
              <w:spacing w:line="240" w:lineRule="auto"/>
              <w:ind w:firstLine="0"/>
            </w:pPr>
            <w:r>
              <w:rPr>
                <w:sz w:val="18"/>
              </w:rPr>
              <w:t>T02</w:t>
            </w:r>
          </w:p>
        </w:tc>
        <w:tc>
          <w:tcPr>
            <w:tcW w:type="dxa" w:w="3120"/>
          </w:tcPr>
          <w:p>
            <w:pPr>
              <w:spacing w:line="240" w:lineRule="auto"/>
              <w:ind w:firstLine="0"/>
            </w:pPr>
            <w:r>
              <w:rPr>
                <w:sz w:val="18"/>
              </w:rPr>
              <w:t>docker build backend</w:t>
            </w:r>
          </w:p>
        </w:tc>
        <w:tc>
          <w:tcPr>
            <w:tcW w:type="dxa" w:w="3120"/>
          </w:tcPr>
          <w:p>
            <w:pPr>
              <w:spacing w:line="240" w:lineRule="auto"/>
              <w:ind w:firstLine="0"/>
            </w:pPr>
            <w:r>
              <w:rPr>
                <w:sz w:val="18"/>
              </w:rPr>
              <w:t>Usuario reportó 16/16 etapas, completado</w:t>
            </w:r>
          </w:p>
        </w:tc>
      </w:tr>
      <w:tr>
        <w:tc>
          <w:tcPr>
            <w:tcW w:type="dxa" w:w="3120"/>
          </w:tcPr>
          <w:p>
            <w:pPr>
              <w:spacing w:line="240" w:lineRule="auto"/>
              <w:ind w:firstLine="0"/>
            </w:pPr>
            <w:r>
              <w:rPr>
                <w:sz w:val="18"/>
              </w:rPr>
              <w:t>T03</w:t>
            </w:r>
          </w:p>
        </w:tc>
        <w:tc>
          <w:tcPr>
            <w:tcW w:type="dxa" w:w="3120"/>
          </w:tcPr>
          <w:p>
            <w:pPr>
              <w:spacing w:line="240" w:lineRule="auto"/>
              <w:ind w:firstLine="0"/>
            </w:pPr>
            <w:r>
              <w:rPr>
                <w:sz w:val="18"/>
              </w:rPr>
              <w:t>Arranque Render backend</w:t>
            </w:r>
          </w:p>
        </w:tc>
        <w:tc>
          <w:tcPr>
            <w:tcW w:type="dxa" w:w="3120"/>
          </w:tcPr>
          <w:p>
            <w:pPr>
              <w:spacing w:line="240" w:lineRule="auto"/>
              <w:ind w:firstLine="0"/>
            </w:pPr>
            <w:r>
              <w:rPr>
                <w:sz w:val="18"/>
              </w:rPr>
              <w:t>Tomcat 8080; servicio Live el 2026-10-16</w:t>
            </w:r>
          </w:p>
        </w:tc>
      </w:tr>
      <w:tr>
        <w:tc>
          <w:tcPr>
            <w:tcW w:type="dxa" w:w="3120"/>
          </w:tcPr>
          <w:p>
            <w:pPr>
              <w:spacing w:line="240" w:lineRule="auto"/>
              <w:ind w:firstLine="0"/>
            </w:pPr>
            <w:r>
              <w:rPr>
                <w:sz w:val="18"/>
              </w:rPr>
              <w:t>T04</w:t>
            </w:r>
          </w:p>
        </w:tc>
        <w:tc>
          <w:tcPr>
            <w:tcW w:type="dxa" w:w="3120"/>
          </w:tcPr>
          <w:p>
            <w:pPr>
              <w:spacing w:line="240" w:lineRule="auto"/>
              <w:ind w:firstLine="0"/>
            </w:pPr>
            <w:r>
              <w:rPr>
                <w:sz w:val="18"/>
              </w:rPr>
              <w:t>PostgreSQL Render</w:t>
            </w:r>
          </w:p>
        </w:tc>
        <w:tc>
          <w:tcPr>
            <w:tcW w:type="dxa" w:w="3120"/>
          </w:tcPr>
          <w:p>
            <w:pPr>
              <w:spacing w:line="240" w:lineRule="auto"/>
              <w:ind w:firstLine="0"/>
            </w:pPr>
            <w:r>
              <w:rPr>
                <w:sz w:val="18"/>
              </w:rPr>
              <w:t>HikariPool conectó PostgreSQL 15.19</w:t>
            </w:r>
          </w:p>
        </w:tc>
      </w:tr>
      <w:tr>
        <w:tc>
          <w:tcPr>
            <w:tcW w:type="dxa" w:w="3120"/>
          </w:tcPr>
          <w:p>
            <w:pPr>
              <w:spacing w:line="240" w:lineRule="auto"/>
              <w:ind w:firstLine="0"/>
            </w:pPr>
            <w:r>
              <w:rPr>
                <w:sz w:val="18"/>
              </w:rPr>
              <w:t>T05</w:t>
            </w:r>
          </w:p>
        </w:tc>
        <w:tc>
          <w:tcPr>
            <w:tcW w:type="dxa" w:w="3120"/>
          </w:tcPr>
          <w:p>
            <w:pPr>
              <w:spacing w:line="240" w:lineRule="auto"/>
              <w:ind w:firstLine="0"/>
            </w:pPr>
            <w:r>
              <w:rPr>
                <w:sz w:val="18"/>
              </w:rPr>
              <w:t>Expo Web export</w:t>
            </w:r>
          </w:p>
        </w:tc>
        <w:tc>
          <w:tcPr>
            <w:tcW w:type="dxa" w:w="3120"/>
          </w:tcPr>
          <w:p>
            <w:pPr>
              <w:spacing w:line="240" w:lineRule="auto"/>
              <w:ind w:firstLine="0"/>
            </w:pPr>
            <w:r>
              <w:rPr>
                <w:sz w:val="18"/>
              </w:rPr>
              <w:t>Codex reportó export correcto HU-31/32</w:t>
            </w:r>
          </w:p>
        </w:tc>
      </w:tr>
      <w:tr>
        <w:tc>
          <w:tcPr>
            <w:tcW w:type="dxa" w:w="3120"/>
          </w:tcPr>
          <w:p>
            <w:pPr>
              <w:spacing w:line="240" w:lineRule="auto"/>
              <w:ind w:firstLine="0"/>
            </w:pPr>
            <w:r>
              <w:rPr>
                <w:sz w:val="18"/>
              </w:rPr>
              <w:t>T06</w:t>
            </w:r>
          </w:p>
        </w:tc>
        <w:tc>
          <w:tcPr>
            <w:tcW w:type="dxa" w:w="3120"/>
          </w:tcPr>
          <w:p>
            <w:pPr>
              <w:spacing w:line="240" w:lineRule="auto"/>
              <w:ind w:firstLine="0"/>
            </w:pPr>
            <w:r>
              <w:rPr>
                <w:sz w:val="18"/>
              </w:rPr>
              <w:t>Escaneo QR web escritorio/móvil</w:t>
            </w:r>
          </w:p>
        </w:tc>
        <w:tc>
          <w:tcPr>
            <w:tcW w:type="dxa" w:w="3120"/>
          </w:tcPr>
          <w:p>
            <w:pPr>
              <w:spacing w:line="240" w:lineRule="auto"/>
              <w:ind w:firstLine="0"/>
            </w:pPr>
            <w:r>
              <w:rPr>
                <w:sz w:val="18"/>
              </w:rPr>
              <w:t>Fallo reportado; implementación HU-30 sin verificación final</w:t>
            </w:r>
          </w:p>
        </w:tc>
      </w:tr>
      <w:tr>
        <w:tc>
          <w:tcPr>
            <w:tcW w:type="dxa" w:w="3120"/>
          </w:tcPr>
          <w:p>
            <w:pPr>
              <w:spacing w:line="240" w:lineRule="auto"/>
              <w:ind w:firstLine="0"/>
            </w:pPr>
            <w:r>
              <w:rPr>
                <w:sz w:val="18"/>
              </w:rPr>
              <w:t>T07</w:t>
            </w:r>
          </w:p>
        </w:tc>
        <w:tc>
          <w:tcPr>
            <w:tcW w:type="dxa" w:w="3120"/>
          </w:tcPr>
          <w:p>
            <w:pPr>
              <w:spacing w:line="240" w:lineRule="auto"/>
              <w:ind w:firstLine="0"/>
            </w:pPr>
            <w:r>
              <w:rPr>
                <w:sz w:val="18"/>
              </w:rPr>
              <w:t>GPS segundo plano Android</w:t>
            </w:r>
          </w:p>
        </w:tc>
        <w:tc>
          <w:tcPr>
            <w:tcW w:type="dxa" w:w="3120"/>
          </w:tcPr>
          <w:p>
            <w:pPr>
              <w:spacing w:line="240" w:lineRule="auto"/>
              <w:ind w:firstLine="0"/>
            </w:pPr>
            <w:r>
              <w:rPr>
                <w:sz w:val="18"/>
              </w:rPr>
              <w:t>No probado con APK físico</w:t>
            </w:r>
          </w:p>
        </w:tc>
      </w:tr>
      <w:tr>
        <w:tc>
          <w:tcPr>
            <w:tcW w:type="dxa" w:w="3120"/>
          </w:tcPr>
          <w:p>
            <w:pPr>
              <w:spacing w:line="240" w:lineRule="auto"/>
              <w:ind w:firstLine="0"/>
            </w:pPr>
            <w:r>
              <w:rPr>
                <w:sz w:val="18"/>
              </w:rPr>
              <w:t>T08</w:t>
            </w:r>
          </w:p>
        </w:tc>
        <w:tc>
          <w:tcPr>
            <w:tcW w:type="dxa" w:w="3120"/>
          </w:tcPr>
          <w:p>
            <w:pPr>
              <w:spacing w:line="240" w:lineRule="auto"/>
              <w:ind w:firstLine="0"/>
            </w:pPr>
            <w:r>
              <w:rPr>
                <w:sz w:val="18"/>
              </w:rPr>
              <w:t>Correo nuevo dispositivo</w:t>
            </w:r>
          </w:p>
        </w:tc>
        <w:tc>
          <w:tcPr>
            <w:tcW w:type="dxa" w:w="3120"/>
          </w:tcPr>
          <w:p>
            <w:pPr>
              <w:spacing w:line="240" w:lineRule="auto"/>
              <w:ind w:firstLine="0"/>
            </w:pPr>
            <w:r>
              <w:rPr>
                <w:sz w:val="18"/>
              </w:rPr>
              <w:t>Regresión reportada el 2026-10-16</w:t>
            </w:r>
          </w:p>
        </w:tc>
      </w:tr>
      <w:tr>
        <w:tc>
          <w:tcPr>
            <w:tcW w:type="dxa" w:w="3120"/>
          </w:tcPr>
          <w:p>
            <w:pPr>
              <w:spacing w:line="240" w:lineRule="auto"/>
              <w:ind w:firstLine="0"/>
            </w:pPr>
            <w:r>
              <w:rPr>
                <w:sz w:val="18"/>
              </w:rPr>
              <w:t>T09</w:t>
            </w:r>
          </w:p>
        </w:tc>
        <w:tc>
          <w:tcPr>
            <w:tcW w:type="dxa" w:w="3120"/>
          </w:tcPr>
          <w:p>
            <w:pPr>
              <w:spacing w:line="240" w:lineRule="auto"/>
              <w:ind w:firstLine="0"/>
            </w:pPr>
            <w:r>
              <w:rPr>
                <w:sz w:val="18"/>
              </w:rPr>
              <w:t>Checkbox términos</w:t>
            </w:r>
          </w:p>
        </w:tc>
        <w:tc>
          <w:tcPr>
            <w:tcW w:type="dxa" w:w="3120"/>
          </w:tcPr>
          <w:p>
            <w:pPr>
              <w:spacing w:line="240" w:lineRule="auto"/>
              <w:ind w:firstLine="0"/>
            </w:pPr>
            <w:r>
              <w:rPr>
                <w:sz w:val="18"/>
              </w:rPr>
              <w:t>Fallo reportado el 2026-10-16</w:t>
            </w:r>
          </w:p>
        </w:tc>
      </w:tr>
      <w:tr>
        <w:tc>
          <w:tcPr>
            <w:tcW w:type="dxa" w:w="3120"/>
          </w:tcPr>
          <w:p>
            <w:pPr>
              <w:spacing w:line="240" w:lineRule="auto"/>
              <w:ind w:firstLine="0"/>
            </w:pPr>
            <w:r>
              <w:rPr>
                <w:sz w:val="18"/>
              </w:rPr>
              <w:t>T10</w:t>
            </w:r>
          </w:p>
        </w:tc>
        <w:tc>
          <w:tcPr>
            <w:tcW w:type="dxa" w:w="3120"/>
          </w:tcPr>
          <w:p>
            <w:pPr>
              <w:spacing w:line="240" w:lineRule="auto"/>
              <w:ind w:firstLine="0"/>
            </w:pPr>
            <w:r>
              <w:rPr>
                <w:sz w:val="18"/>
              </w:rPr>
              <w:t>Mapas y guardado zonas</w:t>
            </w:r>
          </w:p>
        </w:tc>
        <w:tc>
          <w:tcPr>
            <w:tcW w:type="dxa" w:w="3120"/>
          </w:tcPr>
          <w:p>
            <w:pPr>
              <w:spacing w:line="240" w:lineRule="auto"/>
              <w:ind w:firstLine="0"/>
            </w:pPr>
            <w:r>
              <w:rPr>
                <w:sz w:val="18"/>
              </w:rPr>
              <w:t>Claves configuradas; prueba completa pendiente</w:t>
            </w:r>
          </w:p>
        </w:tc>
      </w:tr>
    </w:tbl>
    <w:p>
      <w:pPr>
        <w:pStyle w:val="Heading1"/>
      </w:pPr>
      <w:r>
        <w:t>3. Procedimientos reproducibles</w:t>
      </w:r>
    </w:p>
    <w:p>
      <w:pPr>
        <w:ind w:firstLine="720"/>
      </w:pPr>
      <w:r>
        <w:t>Para T01: ejecutar .\mvnw.cmd clean verify desde el backend. Para T02: docker build -t gps-guardian-escolar-backend:hu29-test . y conservar código de salida. Para T03: revisar GET /actuator/health y logs del deploy correcto. Para T07: instalar development build Android; iniciar, bloquear pantalla, verificar timestamps en API y panel, retirar conectividad, restaurarla y verificar cola sin duplicados.</w:t>
      </w:r>
    </w:p>
    <w:p>
      <w:pPr>
        <w:pStyle w:val="Heading1"/>
      </w:pPr>
      <w:r>
        <w:t>4. Evidencias y criterios de cierre</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ind w:firstLine="720"/>
      </w:pPr>
      <w:r>
        <w:t>Conservar logs redactados, fecha, versión, dispositivo/navegador, pasos, respuesta esperada, respuesta obtenida y resultado. No adjuntar capturas de contraseñas o información de estudiantes sin anonimizar.</w:t>
      </w:r>
    </w:p>
    <w:p>
      <w:pPr>
        <w:pStyle w:val="Heading1"/>
      </w:pPr>
      <w:r>
        <w:t>5.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