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6398" w14:textId="1C4F0024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FE436A">
        <w:rPr>
          <w:sz w:val="52"/>
          <w:szCs w:val="52"/>
        </w:rPr>
        <w:t>8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35FE38DE" w14:textId="77777777" w:rsidR="0093260B" w:rsidRDefault="0093260B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260B">
        <w:rPr>
          <w:sz w:val="20"/>
          <w:szCs w:val="20"/>
        </w:rPr>
        <w:t>Compile and analyze shaders and kernels for the gfx1101 (AMD Radeon RX 7800 XT and RX 7700 XT) and gfx1103 (AMD Radeon 740M, 760M and 780M) architectures.</w:t>
      </w:r>
    </w:p>
    <w:p w14:paraId="64DC0402" w14:textId="4103486C" w:rsidR="00FE436A" w:rsidRDefault="00FE436A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436A">
        <w:rPr>
          <w:sz w:val="20"/>
          <w:szCs w:val="20"/>
        </w:rPr>
        <w:t>Updates to the Vulkan, OpenGL and OpenCL offline compilers.</w:t>
      </w:r>
    </w:p>
    <w:p w14:paraId="0D060D7E" w14:textId="77777777" w:rsidR="00210BDB" w:rsidRDefault="00210BDB" w:rsidP="00210B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10BDB">
        <w:rPr>
          <w:sz w:val="20"/>
          <w:szCs w:val="20"/>
        </w:rPr>
        <w:t xml:space="preserve">Consolidated Linux and Windows build scripts to use a unified python script. </w:t>
      </w:r>
    </w:p>
    <w:p w14:paraId="026AABE7" w14:textId="2AE42256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Please refer to the build instructions in the RGA README.md file for more information about how to build the tool.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0D1D3B5C" w14:textId="35819FE0" w:rsidR="00210BDB" w:rsidRPr="00210BDB" w:rsidRDefault="00210BDB" w:rsidP="00210B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10BDB">
        <w:rPr>
          <w:sz w:val="20"/>
          <w:szCs w:val="20"/>
        </w:rPr>
        <w:t>The OpenCL Lightning Compiler has a known issue with unresolved __printf_alloc symbols, when using</w:t>
      </w:r>
      <w:r>
        <w:rPr>
          <w:sz w:val="20"/>
          <w:szCs w:val="20"/>
        </w:rPr>
        <w:t xml:space="preserve"> </w:t>
      </w:r>
      <w:r w:rsidRPr="00210BDB">
        <w:rPr>
          <w:sz w:val="20"/>
          <w:szCs w:val="20"/>
        </w:rPr>
        <w:t>mlink-builtin-bitcode to link against the device libraries (</w:t>
      </w:r>
      <w:r>
        <w:rPr>
          <w:sz w:val="20"/>
          <w:szCs w:val="20"/>
        </w:rPr>
        <w:t xml:space="preserve">i.e., </w:t>
      </w:r>
      <w:r w:rsidRPr="00210BDB">
        <w:rPr>
          <w:sz w:val="20"/>
          <w:szCs w:val="20"/>
        </w:rPr>
        <w:t>linking in the device libraries using the ----rocm-device-lib-path option), which can cause link failures in .cl code containing printf references.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55C2F959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</w:t>
      </w:r>
      <w:r w:rsidR="00210BDB" w:rsidRPr="00A67AA5">
        <w:rPr>
          <w:sz w:val="20"/>
          <w:szCs w:val="20"/>
        </w:rPr>
        <w:t>the -</w:t>
      </w:r>
      <w:r w:rsidR="00210BDB">
        <w:rPr>
          <w:sz w:val="20"/>
          <w:szCs w:val="20"/>
        </w:rPr>
        <w:t>-</w:t>
      </w:r>
      <w:r w:rsidR="00210BDB" w:rsidRPr="00A67AA5">
        <w:rPr>
          <w:sz w:val="20"/>
          <w:szCs w:val="20"/>
        </w:rPr>
        <w:t>isa</w:t>
      </w:r>
      <w:r w:rsidRPr="00A67AA5">
        <w:rPr>
          <w:sz w:val="20"/>
          <w:szCs w:val="20"/>
        </w:rPr>
        <w:t xml:space="preserve"> option to generate ISA disassembly. </w:t>
      </w:r>
    </w:p>
    <w:p w14:paraId="382EEB30" w14:textId="38BA48C5" w:rsidR="000F289B" w:rsidRPr="008124FC" w:rsidRDefault="00B87C35" w:rsidP="008124FC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5BAEE044" w14:textId="0DC71A98" w:rsidR="000F289B" w:rsidRDefault="000F289B" w:rsidP="000F289B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11 Mode</w:t>
      </w:r>
    </w:p>
    <w:p w14:paraId="4C1A8642" w14:textId="5904279F" w:rsidR="00B87C35" w:rsidRPr="00824322" w:rsidRDefault="00211892" w:rsidP="008243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</w:t>
      </w:r>
      <w:r w:rsidR="004749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gfx1100 </w:t>
      </w:r>
      <w:r w:rsidR="009D31D2">
        <w:rPr>
          <w:sz w:val="20"/>
          <w:szCs w:val="20"/>
        </w:rPr>
        <w:t xml:space="preserve">and beyond is not yet enabled </w:t>
      </w:r>
      <w:r w:rsidR="00B95DEE" w:rsidRPr="00B95DEE">
        <w:rPr>
          <w:sz w:val="20"/>
          <w:szCs w:val="20"/>
        </w:rPr>
        <w:t xml:space="preserve">in DX11 </w:t>
      </w:r>
      <w:r>
        <w:rPr>
          <w:sz w:val="20"/>
          <w:szCs w:val="20"/>
        </w:rPr>
        <w:t>mode (-s dx11).</w:t>
      </w:r>
    </w:p>
    <w:p w14:paraId="309D6453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7941231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CapabilityMatrix</w:t>
      </w:r>
    </w:p>
    <w:p w14:paraId="52ED26F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</w:t>
      </w:r>
    </w:p>
    <w:p w14:paraId="6EFCAF5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CapabilityGeometry</w:t>
      </w:r>
    </w:p>
    <w:p w14:paraId="6EDE8B3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CapabilityTessellation</w:t>
      </w:r>
    </w:p>
    <w:p w14:paraId="6A90BB0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CapabilityFloat16</w:t>
      </w:r>
    </w:p>
    <w:p w14:paraId="4D644FA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CapabilityFloat64</w:t>
      </w:r>
    </w:p>
    <w:p w14:paraId="1C510F3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CapabilityInt64</w:t>
      </w:r>
    </w:p>
    <w:p w14:paraId="6CC17E6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CapabilityMeshShadingEXT</w:t>
      </w:r>
    </w:p>
    <w:p w14:paraId="561A416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CapabilityFragmentShaderSampleInterlockEXT</w:t>
      </w:r>
    </w:p>
    <w:p w14:paraId="484CEBE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CapabilityFragmentFullyCoveredEXT</w:t>
      </w:r>
    </w:p>
    <w:p w14:paraId="4A03000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lastRenderedPageBreak/>
        <w:t>CapabilityFragmentShaderShadingRateInterlockEXT</w:t>
      </w:r>
    </w:p>
    <w:p w14:paraId="70257AE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CapabilityInputAttachmentArrayNonUniformIndexingEXT</w:t>
      </w:r>
    </w:p>
    <w:p w14:paraId="68E84EF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CapabilityAtomicStorageOps</w:t>
      </w:r>
    </w:p>
    <w:p w14:paraId="33299D1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CapabilityFragmentShaderPixelInterlockEXT</w:t>
      </w:r>
    </w:p>
    <w:p w14:paraId="5E7D3D6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CapabilityDotProductKHR</w:t>
      </w:r>
    </w:p>
    <w:p w14:paraId="05A9400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CapabilityDotProductInputAllKHR</w:t>
      </w:r>
    </w:p>
    <w:p w14:paraId="490B364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CapabilityDotProductInput4x8BitKHR</w:t>
      </w:r>
    </w:p>
    <w:p w14:paraId="4E2ED9F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CapabilityDotProductInput4x8BitPackedKHR</w:t>
      </w:r>
    </w:p>
    <w:p w14:paraId="766C1F0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CapabilityWorkgroupMemoryExplicitLayoutKHR</w:t>
      </w:r>
    </w:p>
    <w:p w14:paraId="2CEF7B5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CapabilityWorkgroupMemoryExplicitLayout8BitAccessKHR</w:t>
      </w:r>
    </w:p>
    <w:p w14:paraId="7A5C18D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CapabilityWorkgroupMemoryExplicitLayout16BitAccessKHR</w:t>
      </w:r>
    </w:p>
    <w:p w14:paraId="3A32C91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CapabilityInt64Atomics</w:t>
      </w:r>
    </w:p>
    <w:p w14:paraId="4958C23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CapabilityGroups</w:t>
      </w:r>
    </w:p>
    <w:p w14:paraId="6D20339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CapabilityAtomicStorage</w:t>
      </w:r>
    </w:p>
    <w:p w14:paraId="0767FFC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CapabilityInt16</w:t>
      </w:r>
    </w:p>
    <w:p w14:paraId="3BCB1EC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CapabilityTessellationPointSize</w:t>
      </w:r>
    </w:p>
    <w:p w14:paraId="7A686A5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CapabilityGeometryPointSize</w:t>
      </w:r>
    </w:p>
    <w:p w14:paraId="12C498B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CapabilityImageGatherExtended</w:t>
      </w:r>
    </w:p>
    <w:p w14:paraId="1B22BFB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CapabilityStorageImageMultisample</w:t>
      </w:r>
    </w:p>
    <w:p w14:paraId="1F212A7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CapabilityUniformBufferArrayDynamicIndexing</w:t>
      </w:r>
    </w:p>
    <w:p w14:paraId="5666FB6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CapabilitySampledImageArrayDynamicIndexing</w:t>
      </w:r>
    </w:p>
    <w:p w14:paraId="47C7BF5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CapabilityStorageBufferArrayDynamicIndexing</w:t>
      </w:r>
    </w:p>
    <w:p w14:paraId="550532E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CapabilityStorageImageArrayDynamicIndexing</w:t>
      </w:r>
    </w:p>
    <w:p w14:paraId="437F3C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CapabilityClipDistance</w:t>
      </w:r>
    </w:p>
    <w:p w14:paraId="0351755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CapabilityCullDistance</w:t>
      </w:r>
    </w:p>
    <w:p w14:paraId="670E6BC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CapabilityImageCubeArray</w:t>
      </w:r>
    </w:p>
    <w:p w14:paraId="2F48C85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CapabilitySampleRateShading</w:t>
      </w:r>
    </w:p>
    <w:p w14:paraId="1639D04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CapabilityImageRect</w:t>
      </w:r>
    </w:p>
    <w:p w14:paraId="42F7E92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CapabilitySampledRect</w:t>
      </w:r>
    </w:p>
    <w:p w14:paraId="3BB7F08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CapabilityInt8</w:t>
      </w:r>
    </w:p>
    <w:p w14:paraId="1A926A5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CapabilityInputAttachment</w:t>
      </w:r>
    </w:p>
    <w:p w14:paraId="7E057D0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CapabilitySparseResidency</w:t>
      </w:r>
    </w:p>
    <w:p w14:paraId="3399E94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CapabilityMinLod</w:t>
      </w:r>
    </w:p>
    <w:p w14:paraId="3296448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CapabilitySampled1D</w:t>
      </w:r>
    </w:p>
    <w:p w14:paraId="49D071D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CapabilityImage1D</w:t>
      </w:r>
    </w:p>
    <w:p w14:paraId="5CAC542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CapabilitySampledCubeArray</w:t>
      </w:r>
    </w:p>
    <w:p w14:paraId="5A24DFC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CapabilitySampledBuffer</w:t>
      </w:r>
    </w:p>
    <w:p w14:paraId="53A9314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CapabilityImageBuffer</w:t>
      </w:r>
    </w:p>
    <w:p w14:paraId="1CD3564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CapabilityImageMSArray</w:t>
      </w:r>
    </w:p>
    <w:p w14:paraId="72A2404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CapabilityStorageImageExtendedFormats</w:t>
      </w:r>
    </w:p>
    <w:p w14:paraId="5587E29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CapabilityImageQuery</w:t>
      </w:r>
    </w:p>
    <w:p w14:paraId="590D9B8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CapabilityDerivativeControl</w:t>
      </w:r>
    </w:p>
    <w:p w14:paraId="7A14FCA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CapabilityInterpolationFunction</w:t>
      </w:r>
    </w:p>
    <w:p w14:paraId="122DBF1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CapabilityTransformFeedback</w:t>
      </w:r>
    </w:p>
    <w:p w14:paraId="00083A7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CapabilityGeometryStreams</w:t>
      </w:r>
    </w:p>
    <w:p w14:paraId="56B76C5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CapabilityStorageImageReadWithoutFormat</w:t>
      </w:r>
    </w:p>
    <w:p w14:paraId="55C3937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CapabilityStorageImageWriteWithoutFormat</w:t>
      </w:r>
    </w:p>
    <w:p w14:paraId="4AFDA94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CapabilityMultiViewport</w:t>
      </w:r>
    </w:p>
    <w:p w14:paraId="0054E41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</w:t>
      </w:r>
    </w:p>
    <w:p w14:paraId="53BEF62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lastRenderedPageBreak/>
        <w:t>CapabilityGroupNonUniformVote</w:t>
      </w:r>
    </w:p>
    <w:p w14:paraId="5FF6586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CapabilityGroupNonUniformArithmetic</w:t>
      </w:r>
    </w:p>
    <w:p w14:paraId="08A9BFD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CapabilityGroupNonUniformBallot</w:t>
      </w:r>
    </w:p>
    <w:p w14:paraId="733211F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CapabilityGroupNonUniformShuffle</w:t>
      </w:r>
    </w:p>
    <w:p w14:paraId="62E92A8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CapabilityGroupNonUniformShuffleRelative</w:t>
      </w:r>
    </w:p>
    <w:p w14:paraId="261103D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CapabilityGroupNonUniformClustered</w:t>
      </w:r>
    </w:p>
    <w:p w14:paraId="75CDFD1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CapabilityGroupNonUniformQuad</w:t>
      </w:r>
    </w:p>
    <w:p w14:paraId="7A724F7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CapabilitySubgroupBallotKHR</w:t>
      </w:r>
    </w:p>
    <w:p w14:paraId="0E5F5D6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CapabilityDrawParameters</w:t>
      </w:r>
    </w:p>
    <w:p w14:paraId="7B8FE64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CapabilitySubgroupVoteKHR</w:t>
      </w:r>
    </w:p>
    <w:p w14:paraId="5A8311A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CapabilityStorageBuffer16BitAccess</w:t>
      </w:r>
    </w:p>
    <w:p w14:paraId="7149334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CapabilityStorageUniformBufferBlock16</w:t>
      </w:r>
    </w:p>
    <w:p w14:paraId="2040C4B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CapabilityStorageUniform16</w:t>
      </w:r>
    </w:p>
    <w:p w14:paraId="6FC79AF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CapabilityUniformAndStorageBuffer16BitAccess</w:t>
      </w:r>
    </w:p>
    <w:p w14:paraId="5791B51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CapabilityStorageInputOutput16</w:t>
      </w:r>
    </w:p>
    <w:p w14:paraId="0BDC79B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CapabilityDeviceGroup</w:t>
      </w:r>
    </w:p>
    <w:p w14:paraId="2437075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CapabilityMultiView</w:t>
      </w:r>
    </w:p>
    <w:p w14:paraId="6E21CA4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CapabilityVariablePointersStorageBuffer</w:t>
      </w:r>
    </w:p>
    <w:p w14:paraId="215AFE8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CapabilityVariablePointers</w:t>
      </w:r>
    </w:p>
    <w:p w14:paraId="3AE38C5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CapabilitySampleMaskPostDepthCoverage</w:t>
      </w:r>
    </w:p>
    <w:p w14:paraId="468B8C6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CapabilityStorageBuffer8BitAccess</w:t>
      </w:r>
    </w:p>
    <w:p w14:paraId="7296C22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CapabilityUniformAndStorageBuffer8BitAccess</w:t>
      </w:r>
    </w:p>
    <w:p w14:paraId="1CA357D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CapabilityDenormPreserve</w:t>
      </w:r>
    </w:p>
    <w:p w14:paraId="416DAEB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CapabilityDenormFlushToZero</w:t>
      </w:r>
    </w:p>
    <w:p w14:paraId="27D58E7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CapabilitySignedZeroInfNanPreserve</w:t>
      </w:r>
    </w:p>
    <w:p w14:paraId="46C7EE4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CapabilityRoundingModeRTE</w:t>
      </w:r>
    </w:p>
    <w:p w14:paraId="7F0C313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CapabilityRoundingModeRTZ</w:t>
      </w:r>
    </w:p>
    <w:p w14:paraId="11C80F2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CapabilityFloat16ImageAMD</w:t>
      </w:r>
    </w:p>
    <w:p w14:paraId="42F90EE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CapabilityImageGatherBiasLodAMD</w:t>
      </w:r>
    </w:p>
    <w:p w14:paraId="67BC6F7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CapabilityFragmentMaskAMD</w:t>
      </w:r>
    </w:p>
    <w:p w14:paraId="430CAB4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CapabilityStencilExportEXT</w:t>
      </w:r>
    </w:p>
    <w:p w14:paraId="581493F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CapabilityImageReadWriteLodAMD</w:t>
      </w:r>
    </w:p>
    <w:p w14:paraId="287D799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CapabilityInt64ImageEXT</w:t>
      </w:r>
    </w:p>
    <w:p w14:paraId="70AF8B2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CapabilityShaderClockKHR</w:t>
      </w:r>
    </w:p>
    <w:p w14:paraId="197A081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CapabilityShaderViewportIndexLayerEXT</w:t>
      </w:r>
    </w:p>
    <w:p w14:paraId="7995721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CapabilityFragmentShadingRateKHR</w:t>
      </w:r>
    </w:p>
    <w:p w14:paraId="7546890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CapabilityFragmentDensityEXT</w:t>
      </w:r>
    </w:p>
    <w:p w14:paraId="2E031BD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CapabilityShaderNonUniformEXT</w:t>
      </w:r>
    </w:p>
    <w:p w14:paraId="484F182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CapabilityRuntimeDescriptorArrayEXT</w:t>
      </w:r>
    </w:p>
    <w:p w14:paraId="1D5DD02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CapabilityInputAttachmentArrayDynamicIndexingEXT</w:t>
      </w:r>
    </w:p>
    <w:p w14:paraId="330849E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CapabilityUniformTexelBufferArrayDynamicIndexingEXT</w:t>
      </w:r>
    </w:p>
    <w:p w14:paraId="600810E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CapabilityStorageTexelBufferArrayDynamicIndexingEXT</w:t>
      </w:r>
    </w:p>
    <w:p w14:paraId="307DAD5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CapabilityUniformBufferArrayNonUniformIndexingEXT</w:t>
      </w:r>
    </w:p>
    <w:p w14:paraId="60707FC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CapabilitySampledImageArrayNonUniformIndexingEXT</w:t>
      </w:r>
    </w:p>
    <w:p w14:paraId="56E301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CapabilityStorageBufferArrayNonUniformIndexingEXT</w:t>
      </w:r>
    </w:p>
    <w:p w14:paraId="5DCE055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CapabilityStorageImageArrayNonUniformIndexingEXT</w:t>
      </w:r>
    </w:p>
    <w:p w14:paraId="43AFBA7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CapabilityUniformTexelBufferArrayNonUniformIndexingEXT</w:t>
      </w:r>
    </w:p>
    <w:p w14:paraId="479040B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CapabilityStorageTexelBufferArrayNonUniformIndexingEXT</w:t>
      </w:r>
    </w:p>
    <w:p w14:paraId="04107BA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</w:t>
      </w:r>
    </w:p>
    <w:p w14:paraId="0763E20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lastRenderedPageBreak/>
        <w:t>CapabilityVulkanMemoryModelKHR</w:t>
      </w:r>
    </w:p>
    <w:p w14:paraId="1DE3CB4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CapabilityVulkanMemoryModelDeviceScope</w:t>
      </w:r>
    </w:p>
    <w:p w14:paraId="46FAA30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CapabilityVulkanMemoryModelDeviceScopeKHR</w:t>
      </w:r>
    </w:p>
    <w:p w14:paraId="184E53B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CapabilityPhysicalStorageBufferAddresses</w:t>
      </w:r>
    </w:p>
    <w:p w14:paraId="0FEF329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CapabilityPhysicalStorageBufferAddressesEXT</w:t>
      </w:r>
    </w:p>
    <w:p w14:paraId="66753FF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CapabilityDemoteToHelperInvocationEXT</w:t>
      </w:r>
    </w:p>
    <w:p w14:paraId="3B23066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CapabilityAtomicFloat32MinMaxEXT</w:t>
      </w:r>
    </w:p>
    <w:p w14:paraId="49B8541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CapabilityAtomicFloat64MinMaxEXT</w:t>
      </w:r>
    </w:p>
    <w:p w14:paraId="3F7EA73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CapabilityRayTracingNV</w:t>
      </w:r>
    </w:p>
    <w:p w14:paraId="78E1869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CapabilityRayQueryKHR</w:t>
      </w:r>
    </w:p>
    <w:p w14:paraId="7EF4AB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CapabilityRayTracingKHR</w:t>
      </w:r>
    </w:p>
    <w:p w14:paraId="0B74FDD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CapabilityRayCullMaskKHR</w:t>
      </w:r>
    </w:p>
    <w:p w14:paraId="2239F67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CapabilityRayTracingProvisionalKHR</w:t>
      </w:r>
    </w:p>
    <w:p w14:paraId="24B2292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CapabilityRayQueryProvisionalKHR</w:t>
      </w:r>
    </w:p>
    <w:p w14:paraId="61E072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CapabilityRayTraversalPrimitiveCullingProvisionalKHR</w:t>
      </w:r>
    </w:p>
    <w:p w14:paraId="7AA6318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CapabilityRayTracingPositionFetchKHR</w:t>
      </w:r>
    </w:p>
    <w:p w14:paraId="66B8FE57" w14:textId="54C63DA3" w:rsidR="00B87C35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CapabilityRayQueryPositionFetchKHR</w:t>
      </w:r>
    </w:p>
    <w:p w14:paraId="7175F0DA" w14:textId="77777777" w:rsidR="00210BDB" w:rsidRDefault="00210BDB" w:rsidP="00210BDB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4A9D2509" w14:textId="77777777" w:rsidR="00210BDB" w:rsidRDefault="00784CDB" w:rsidP="00210B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SPV_KHR_shader_ballot</w:t>
      </w:r>
    </w:p>
    <w:p w14:paraId="2790053D" w14:textId="56350211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SPV_KHR_shader_ballot</w:t>
      </w:r>
    </w:p>
    <w:p w14:paraId="5B25ACD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SPV_KHR_subgroup_vote</w:t>
      </w:r>
    </w:p>
    <w:p w14:paraId="4F643FA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SPV_KHR_device_group</w:t>
      </w:r>
    </w:p>
    <w:p w14:paraId="53EA75BB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SPV_KHR_multiview</w:t>
      </w:r>
    </w:p>
    <w:p w14:paraId="64B36A2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SPV_KHR_shader_draw_parameters</w:t>
      </w:r>
    </w:p>
    <w:p w14:paraId="51FBAD6F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SPV_KHR_16bit_storage</w:t>
      </w:r>
    </w:p>
    <w:p w14:paraId="3F396AAB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SPV_KHR_storage_buffer_storage_class</w:t>
      </w:r>
    </w:p>
    <w:p w14:paraId="18BDF8D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SPV_KHR_8bit_storage</w:t>
      </w:r>
    </w:p>
    <w:p w14:paraId="4AFF237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SPV_KHR_variable_pointers</w:t>
      </w:r>
    </w:p>
    <w:p w14:paraId="39009F9D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SPV_KHR_float_controls</w:t>
      </w:r>
    </w:p>
    <w:p w14:paraId="67F82EE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SPV_KHR_shader_clock</w:t>
      </w:r>
    </w:p>
    <w:p w14:paraId="372BA709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SPV_KHR_vulkan_memory_model</w:t>
      </w:r>
    </w:p>
    <w:p w14:paraId="20B3E5AE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SPV_KHR_post_depth_coverage</w:t>
      </w:r>
    </w:p>
    <w:p w14:paraId="307EFCC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SPV_KHR_non_semantic_info</w:t>
      </w:r>
    </w:p>
    <w:p w14:paraId="12B463D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SPV_KHR_physical_storage_buffer</w:t>
      </w:r>
    </w:p>
    <w:p w14:paraId="2D6616A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SPV_KHR_terminate_invocation</w:t>
      </w:r>
    </w:p>
    <w:p w14:paraId="407EDFD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SPV_KHR_FRAGMENT_SHADING_RATE</w:t>
      </w:r>
    </w:p>
    <w:p w14:paraId="5E5D8A7A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SPV_KHR_workgroup_memory_explicit_layout</w:t>
      </w:r>
    </w:p>
    <w:p w14:paraId="4596489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SPV_KHR_fragment_shader_barycentric</w:t>
      </w:r>
    </w:p>
    <w:p w14:paraId="316B42F0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SPV_EXT_nonuniform_qualifier</w:t>
      </w:r>
    </w:p>
    <w:p w14:paraId="7AF3BD9C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SPV_EXT_shader_stencil_export</w:t>
      </w:r>
    </w:p>
    <w:p w14:paraId="73BE145C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SPV_EXT_shader_viewport_index_layer</w:t>
      </w:r>
    </w:p>
    <w:p w14:paraId="5E20160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SPV_EXT_demote_to_helper_invocation</w:t>
      </w:r>
    </w:p>
    <w:p w14:paraId="0FF9766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SPV_EXT_shader_image_atomic_int64</w:t>
      </w:r>
    </w:p>
    <w:p w14:paraId="703F931F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SPV_EXT_mesh_shader</w:t>
      </w:r>
    </w:p>
    <w:p w14:paraId="51FC005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SPV_AMD_shader_ballot</w:t>
      </w:r>
    </w:p>
    <w:p w14:paraId="4BA557ED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SPV_AMD_shader_trinary_minmax</w:t>
      </w:r>
    </w:p>
    <w:p w14:paraId="212B0EE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SPV_AMD_shader_explicit_vertex_parameter</w:t>
      </w:r>
    </w:p>
    <w:p w14:paraId="0BE71AF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SPV_AMD_gcn_shader</w:t>
      </w:r>
    </w:p>
    <w:p w14:paraId="3C026347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</w:t>
      </w:r>
    </w:p>
    <w:p w14:paraId="42A763B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SPV_AMD_texture_gather_bias_lod</w:t>
      </w:r>
    </w:p>
    <w:p w14:paraId="2AA899C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SPV_AMD_gpu_shader_int16</w:t>
      </w:r>
    </w:p>
    <w:p w14:paraId="211F3EC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SPV_AMD_shader_fragment_mask</w:t>
      </w:r>
    </w:p>
    <w:p w14:paraId="46B844F0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SPV_AMD_shader_image_load_store_lod</w:t>
      </w:r>
    </w:p>
    <w:p w14:paraId="2639939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SPV_AMD_gpu_shader_half_float_fetch</w:t>
      </w:r>
    </w:p>
    <w:p w14:paraId="09DED62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SPV_AMD_shader_early_and_late_fragment_tests</w:t>
      </w:r>
    </w:p>
    <w:p w14:paraId="44C96929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SPV_ARB_shader_ballot</w:t>
      </w:r>
    </w:p>
    <w:p w14:paraId="7DD41412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SPV_GOOGLE_decorate_string</w:t>
      </w:r>
    </w:p>
    <w:p w14:paraId="4C12EFFF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SPV_GOOGLE_hlsl_functionality1</w:t>
      </w:r>
    </w:p>
    <w:p w14:paraId="0D8DF46A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SPV_GOOGLE_user_type</w:t>
      </w:r>
    </w:p>
    <w:p w14:paraId="19E633C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SPV_KHR_ray_tracing_position_fetch</w:t>
      </w:r>
    </w:p>
    <w:p w14:paraId="2F5CB4F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</w:t>
      </w:r>
    </w:p>
    <w:p w14:paraId="1296CAD0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SPV_KHR_ray_query</w:t>
      </w:r>
    </w:p>
    <w:p w14:paraId="4A54DD3C" w14:textId="3DEF3CB1" w:rsidR="00B87C35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SPV_NV_shader_atomic_float</w:t>
      </w:r>
      <w:r w:rsidR="00784CDB">
        <w:rPr>
          <w:rFonts w:asciiTheme="minorHAnsi" w:eastAsiaTheme="minorHAnsi" w:hAnsiTheme="minorHAnsi" w:cstheme="minorBidi"/>
          <w:color w:val="auto"/>
          <w:sz w:val="20"/>
          <w:szCs w:val="20"/>
        </w:rPr>
        <w:tab/>
      </w:r>
    </w:p>
    <w:p w14:paraId="34B81267" w14:textId="77777777" w:rsidR="00B87C35" w:rsidRDefault="00B87C35" w:rsidP="00B87C35">
      <w:pPr>
        <w:pStyle w:val="Heading2"/>
      </w:pPr>
      <w:r>
        <w:lastRenderedPageBreak/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>VGPR Pressure feature: certain instructions (image_* in particular) may report more live registers than actually used.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As of version 2.0, RGA allows developers to replace the Lightning Compiler package that ships with the product with a user-provided LLVM-based package. For more information, see the Radeon GPU Analyzer GUI app’s help manual, or run the command line tool with –s opencl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Latest Adrenalin or amdgpu-pro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 xml:space="preserve">All Vulkan offline modes (vk-offline, vk-spv-offline and vk-spv-txt-offline)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7BFE11F4" w:rsidR="00B87C35" w:rsidRDefault="00B87C35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It is recommended to use the latest Adrenalin drivers for the best experience in DirectX 12</w:t>
      </w:r>
      <w:r w:rsidR="008C7410" w:rsidRPr="00BB4C5B">
        <w:rPr>
          <w:sz w:val="20"/>
          <w:szCs w:val="20"/>
        </w:rPr>
        <w:t xml:space="preserve"> and DXR modes.</w:t>
      </w:r>
    </w:p>
    <w:p w14:paraId="20B84218" w14:textId="6504F02F" w:rsidR="00BB4C5B" w:rsidRPr="00BB4C5B" w:rsidRDefault="00BB4C5B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 xml:space="preserve">Please note that </w:t>
      </w:r>
      <w:r w:rsidRPr="00BB4C5B">
        <w:rPr>
          <w:sz w:val="20"/>
          <w:szCs w:val="20"/>
        </w:rPr>
        <w:t>to</w:t>
      </w:r>
      <w:r w:rsidRPr="00BB4C5B">
        <w:rPr>
          <w:sz w:val="20"/>
          <w:szCs w:val="20"/>
        </w:rPr>
        <w:t xml:space="preserve"> enable the D3D12 debug layer (--debug-layer option), your Windows system must have the Graphics Tools feature installed (on Windows, go to Settings -&gt; Apps -&gt; Apps &amp; features/Optional features).</w:t>
      </w:r>
      <w:r>
        <w:rPr>
          <w:sz w:val="20"/>
          <w:szCs w:val="20"/>
        </w:rPr>
        <w:t xml:space="preserve"> This</w:t>
      </w:r>
      <w:r w:rsidRPr="00BB4C5B">
        <w:rPr>
          <w:sz w:val="20"/>
          <w:szCs w:val="20"/>
        </w:rPr>
        <w:t xml:space="preserve"> is a D3D12 requirement which is unrelated to RGA.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opencl)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lastRenderedPageBreak/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>(-s opengl)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8330" w14:textId="77777777" w:rsidR="00EB39A3" w:rsidRDefault="00EB39A3" w:rsidP="007D0022">
      <w:pPr>
        <w:spacing w:after="0" w:line="240" w:lineRule="auto"/>
      </w:pPr>
      <w:r>
        <w:separator/>
      </w:r>
    </w:p>
  </w:endnote>
  <w:endnote w:type="continuationSeparator" w:id="0">
    <w:p w14:paraId="210AA371" w14:textId="77777777" w:rsidR="00EB39A3" w:rsidRDefault="00EB39A3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6602" w14:textId="77777777" w:rsidR="00EB39A3" w:rsidRDefault="00EB39A3" w:rsidP="007D0022">
      <w:pPr>
        <w:spacing w:after="0" w:line="240" w:lineRule="auto"/>
      </w:pPr>
      <w:r>
        <w:separator/>
      </w:r>
    </w:p>
  </w:footnote>
  <w:footnote w:type="continuationSeparator" w:id="0">
    <w:p w14:paraId="0B4A365B" w14:textId="77777777" w:rsidR="00EB39A3" w:rsidRDefault="00EB39A3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2E2A86"/>
    <w:multiLevelType w:val="hybridMultilevel"/>
    <w:tmpl w:val="C9F2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45606">
    <w:abstractNumId w:val="2"/>
  </w:num>
  <w:num w:numId="2" w16cid:durableId="16679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5"/>
  </w:num>
  <w:num w:numId="4" w16cid:durableId="2137986682">
    <w:abstractNumId w:val="7"/>
  </w:num>
  <w:num w:numId="5" w16cid:durableId="1149327981">
    <w:abstractNumId w:val="0"/>
  </w:num>
  <w:num w:numId="6" w16cid:durableId="1672374088">
    <w:abstractNumId w:val="1"/>
  </w:num>
  <w:num w:numId="7" w16cid:durableId="912854919">
    <w:abstractNumId w:val="6"/>
  </w:num>
  <w:num w:numId="8" w16cid:durableId="687293550">
    <w:abstractNumId w:val="2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4"/>
  </w:num>
  <w:num w:numId="12" w16cid:durableId="1091438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27F8B"/>
    <w:rsid w:val="00030BE7"/>
    <w:rsid w:val="000424DE"/>
    <w:rsid w:val="00067E19"/>
    <w:rsid w:val="00070662"/>
    <w:rsid w:val="00082419"/>
    <w:rsid w:val="000A035C"/>
    <w:rsid w:val="000B4317"/>
    <w:rsid w:val="000C2091"/>
    <w:rsid w:val="000C4068"/>
    <w:rsid w:val="000C5CAB"/>
    <w:rsid w:val="000D0D32"/>
    <w:rsid w:val="000D469A"/>
    <w:rsid w:val="000E19F8"/>
    <w:rsid w:val="000F289B"/>
    <w:rsid w:val="001017EA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0046"/>
    <w:rsid w:val="001C1DC6"/>
    <w:rsid w:val="001D083C"/>
    <w:rsid w:val="001D7DC6"/>
    <w:rsid w:val="001E23FD"/>
    <w:rsid w:val="001F00D7"/>
    <w:rsid w:val="001F0590"/>
    <w:rsid w:val="001F362E"/>
    <w:rsid w:val="00202589"/>
    <w:rsid w:val="00205386"/>
    <w:rsid w:val="002101E7"/>
    <w:rsid w:val="00210BDB"/>
    <w:rsid w:val="00211892"/>
    <w:rsid w:val="00215723"/>
    <w:rsid w:val="00225DD0"/>
    <w:rsid w:val="00233E30"/>
    <w:rsid w:val="002346CF"/>
    <w:rsid w:val="00237397"/>
    <w:rsid w:val="00243DF5"/>
    <w:rsid w:val="0026212F"/>
    <w:rsid w:val="0026681F"/>
    <w:rsid w:val="00273D34"/>
    <w:rsid w:val="0027479D"/>
    <w:rsid w:val="002A0290"/>
    <w:rsid w:val="002B4065"/>
    <w:rsid w:val="002D03C1"/>
    <w:rsid w:val="002D303A"/>
    <w:rsid w:val="002E0EA7"/>
    <w:rsid w:val="002E5426"/>
    <w:rsid w:val="002F113E"/>
    <w:rsid w:val="0030680C"/>
    <w:rsid w:val="00312744"/>
    <w:rsid w:val="00334D46"/>
    <w:rsid w:val="00335707"/>
    <w:rsid w:val="00336AF1"/>
    <w:rsid w:val="003527AE"/>
    <w:rsid w:val="00353AF6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6B8F"/>
    <w:rsid w:val="003C53EC"/>
    <w:rsid w:val="003C690A"/>
    <w:rsid w:val="003D1302"/>
    <w:rsid w:val="003D77C2"/>
    <w:rsid w:val="003E4424"/>
    <w:rsid w:val="003F532E"/>
    <w:rsid w:val="003F6274"/>
    <w:rsid w:val="00403315"/>
    <w:rsid w:val="00416193"/>
    <w:rsid w:val="00432EB9"/>
    <w:rsid w:val="00447F89"/>
    <w:rsid w:val="0045708D"/>
    <w:rsid w:val="004713C7"/>
    <w:rsid w:val="00472CC1"/>
    <w:rsid w:val="00474959"/>
    <w:rsid w:val="004B4F0D"/>
    <w:rsid w:val="004C0E27"/>
    <w:rsid w:val="004C1A5D"/>
    <w:rsid w:val="00502B74"/>
    <w:rsid w:val="00514D5A"/>
    <w:rsid w:val="00517FAB"/>
    <w:rsid w:val="005266F4"/>
    <w:rsid w:val="00533974"/>
    <w:rsid w:val="00541C4A"/>
    <w:rsid w:val="00544740"/>
    <w:rsid w:val="00544F66"/>
    <w:rsid w:val="00547BFA"/>
    <w:rsid w:val="005544F0"/>
    <w:rsid w:val="00556329"/>
    <w:rsid w:val="00566AFE"/>
    <w:rsid w:val="0058355E"/>
    <w:rsid w:val="00583EF7"/>
    <w:rsid w:val="00587D87"/>
    <w:rsid w:val="005A50ED"/>
    <w:rsid w:val="005A771F"/>
    <w:rsid w:val="005C1D70"/>
    <w:rsid w:val="005C5A66"/>
    <w:rsid w:val="005D2E95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10E0"/>
    <w:rsid w:val="0068204B"/>
    <w:rsid w:val="006833B2"/>
    <w:rsid w:val="006900A7"/>
    <w:rsid w:val="00690DC5"/>
    <w:rsid w:val="00691E6E"/>
    <w:rsid w:val="0069238B"/>
    <w:rsid w:val="0069325E"/>
    <w:rsid w:val="00694D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43CD8"/>
    <w:rsid w:val="007508E3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24FC"/>
    <w:rsid w:val="00812B63"/>
    <w:rsid w:val="008156CE"/>
    <w:rsid w:val="00820D31"/>
    <w:rsid w:val="00824322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7C57"/>
    <w:rsid w:val="0093260B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3AB"/>
    <w:rsid w:val="009C5E84"/>
    <w:rsid w:val="009D31D2"/>
    <w:rsid w:val="009D3EE5"/>
    <w:rsid w:val="009E538A"/>
    <w:rsid w:val="009F63D7"/>
    <w:rsid w:val="009F7405"/>
    <w:rsid w:val="00A023BD"/>
    <w:rsid w:val="00A06600"/>
    <w:rsid w:val="00A06802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95DEE"/>
    <w:rsid w:val="00BB4C5B"/>
    <w:rsid w:val="00BB5A88"/>
    <w:rsid w:val="00BD5E77"/>
    <w:rsid w:val="00BE2C82"/>
    <w:rsid w:val="00C067A2"/>
    <w:rsid w:val="00C241EB"/>
    <w:rsid w:val="00C42ABE"/>
    <w:rsid w:val="00C528FA"/>
    <w:rsid w:val="00C5364D"/>
    <w:rsid w:val="00C538E5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30EEE"/>
    <w:rsid w:val="00D32DCC"/>
    <w:rsid w:val="00D34195"/>
    <w:rsid w:val="00D36328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B1331"/>
    <w:rsid w:val="00DD2907"/>
    <w:rsid w:val="00DD30AB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6377"/>
    <w:rsid w:val="00EA7418"/>
    <w:rsid w:val="00EA74BC"/>
    <w:rsid w:val="00EB37F1"/>
    <w:rsid w:val="00EB39A3"/>
    <w:rsid w:val="00EB4726"/>
    <w:rsid w:val="00EB48BE"/>
    <w:rsid w:val="00EB4C9B"/>
    <w:rsid w:val="00EB7423"/>
    <w:rsid w:val="00EC166F"/>
    <w:rsid w:val="00EC6DDC"/>
    <w:rsid w:val="00ED5B44"/>
    <w:rsid w:val="00EE5716"/>
    <w:rsid w:val="00F1562C"/>
    <w:rsid w:val="00F16CBD"/>
    <w:rsid w:val="00F20C71"/>
    <w:rsid w:val="00F2507C"/>
    <w:rsid w:val="00F37931"/>
    <w:rsid w:val="00F452AF"/>
    <w:rsid w:val="00F4746B"/>
    <w:rsid w:val="00F664B0"/>
    <w:rsid w:val="00F7245F"/>
    <w:rsid w:val="00F80F39"/>
    <w:rsid w:val="00F879F9"/>
    <w:rsid w:val="00F930B3"/>
    <w:rsid w:val="00FE436A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Ben-Moshe, Amit</cp:lastModifiedBy>
  <cp:revision>33</cp:revision>
  <cp:lastPrinted>2021-06-21T22:35:00Z</cp:lastPrinted>
  <dcterms:created xsi:type="dcterms:W3CDTF">2022-12-09T15:42:00Z</dcterms:created>
  <dcterms:modified xsi:type="dcterms:W3CDTF">2023-09-12T14:01:00Z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