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A34E4" w14:textId="77777777" w:rsidR="001851E5" w:rsidRPr="001851E5" w:rsidRDefault="001851E5" w:rsidP="001851E5">
      <w:pPr>
        <w:rPr>
          <w:b/>
          <w:bCs/>
          <w:sz w:val="32"/>
          <w:szCs w:val="32"/>
        </w:rPr>
      </w:pPr>
      <w:r w:rsidRPr="001851E5">
        <w:rPr>
          <w:b/>
          <w:bCs/>
          <w:sz w:val="32"/>
          <w:szCs w:val="32"/>
        </w:rPr>
        <w:t>Insights e Hipóteses sobre o Comportamento da Base</w:t>
      </w:r>
    </w:p>
    <w:p w14:paraId="213BEDB1" w14:textId="77777777" w:rsidR="001851E5" w:rsidRDefault="001851E5" w:rsidP="001851E5"/>
    <w:p w14:paraId="73A730CF" w14:textId="2AF27A5F" w:rsidR="001851E5" w:rsidRDefault="001851E5" w:rsidP="001851E5">
      <w:r>
        <w:t>A análise indica que a inadimplência tem apresentado tendência de crescimento, passando de 0,27% em junho para 1,52% em julho, o que sugere um possível aumento de risco no curto prazo. Embora o volume de meses analisados ainda seja baixo, esse salto pode indicar um período de maior pressão financeira ou mudanças recentes no perfil da carteira.</w:t>
      </w:r>
    </w:p>
    <w:p w14:paraId="0BD26D1B" w14:textId="334D55C5" w:rsidR="001851E5" w:rsidRDefault="001851E5" w:rsidP="001851E5">
      <w:r>
        <w:t>No recorte por faixa etária, observamos que clientes acima de 60 anos concentram a maior taxa de inadimplência (11,76%), seguidos pelos muito jovens (&lt;25 anos, com 9,32%). Isso sugere dois perfis distintos de risco:</w:t>
      </w:r>
    </w:p>
    <w:p w14:paraId="6146450E" w14:textId="38E03671" w:rsidR="001851E5" w:rsidRDefault="001851E5" w:rsidP="001851E5">
      <w:pPr>
        <w:pStyle w:val="PargrafodaLista"/>
        <w:numPr>
          <w:ilvl w:val="0"/>
          <w:numId w:val="1"/>
        </w:numPr>
      </w:pPr>
      <w:r>
        <w:t>consumidores mais velhos possivelmente mais expostos a restrições de crédito;</w:t>
      </w:r>
    </w:p>
    <w:p w14:paraId="63B8ABFE" w14:textId="0C9558A8" w:rsidR="001851E5" w:rsidRDefault="001851E5" w:rsidP="001851E5">
      <w:pPr>
        <w:pStyle w:val="PargrafodaLista"/>
        <w:numPr>
          <w:ilvl w:val="0"/>
          <w:numId w:val="1"/>
        </w:numPr>
      </w:pPr>
      <w:r>
        <w:t>clientes jovens com menor histórico financeiro ou menor capacidade de pagamento.</w:t>
      </w:r>
    </w:p>
    <w:p w14:paraId="44835872" w14:textId="3AD37060" w:rsidR="001851E5" w:rsidRDefault="001851E5" w:rsidP="001851E5">
      <w:r>
        <w:t xml:space="preserve">Ao analisar o número da parcela, o risco aumenta de forma progressiva até atingir o pico entre a 5ª e 7ª parcela, chegando a 18,82%. Esse comportamento indica que muitos clientes conseguem manter os pagamentos iniciais, mas perdem capacidade de honrar o compromisso ao longo do tempo — padrão típico de exaustão de renda ou </w:t>
      </w:r>
      <w:proofErr w:type="spellStart"/>
      <w:r>
        <w:t>superalavancagem</w:t>
      </w:r>
      <w:proofErr w:type="spellEnd"/>
      <w:r>
        <w:t>.</w:t>
      </w:r>
    </w:p>
    <w:p w14:paraId="520134DA" w14:textId="5C8AE1A0" w:rsidR="001851E5" w:rsidRDefault="001851E5" w:rsidP="001851E5">
      <w:r>
        <w:t>Quanto ao valor da parcela, não há concentração clara de inadimplência em valores altos. As faixas entre 151</w:t>
      </w:r>
      <w:proofErr w:type="gramStart"/>
      <w:r>
        <w:t>–</w:t>
      </w:r>
      <w:proofErr w:type="gramEnd"/>
      <w:r>
        <w:t>300 reais são as que apresentam maiores porcentuais, mas sem tendência crescente contínua. Isso sugere que o risco não está necessariamente ligado ao valor absoluto da parcela, mas sim ao perfil e comportamento do cliente ao longo do ciclo de pagamento.</w:t>
      </w:r>
    </w:p>
    <w:p w14:paraId="5168B063" w14:textId="56FE8D4B" w:rsidR="001851E5" w:rsidRDefault="001851E5" w:rsidP="001851E5">
      <w:r>
        <w:t>A análise geográfica mostra variação entre estados, sugerindo que fatores regionais — como renda média, custo de vida ou políticas regionais de crédito — podem influenciar o índice de inadimplência.</w:t>
      </w:r>
    </w:p>
    <w:p w14:paraId="140EC241" w14:textId="7E7F4BBC" w:rsidR="001851E5" w:rsidRDefault="001851E5" w:rsidP="001851E5">
      <w:r>
        <w:t>Hipóteses principais:</w:t>
      </w:r>
    </w:p>
    <w:p w14:paraId="2B269383" w14:textId="74897529" w:rsidR="001851E5" w:rsidRDefault="001851E5" w:rsidP="001851E5">
      <w:pPr>
        <w:pStyle w:val="PargrafodaLista"/>
        <w:numPr>
          <w:ilvl w:val="0"/>
          <w:numId w:val="2"/>
        </w:numPr>
      </w:pPr>
      <w:r>
        <w:t>O crescimento recente pode indicar início de sazonalidade negativa ou impacto de fatores econômicos no período analisado.</w:t>
      </w:r>
    </w:p>
    <w:p w14:paraId="4BCC6362" w14:textId="5860AE7D" w:rsidR="001851E5" w:rsidRDefault="001851E5" w:rsidP="001851E5">
      <w:pPr>
        <w:pStyle w:val="PargrafodaLista"/>
        <w:numPr>
          <w:ilvl w:val="0"/>
          <w:numId w:val="2"/>
        </w:numPr>
      </w:pPr>
      <w:r>
        <w:t>Perfis etários extremos (&lt;25 e &gt;60) representam maior risco e podem demandar políticas de crédito diferenciadas.</w:t>
      </w:r>
    </w:p>
    <w:p w14:paraId="4DD1F113" w14:textId="1012D059" w:rsidR="001851E5" w:rsidRDefault="001851E5" w:rsidP="001851E5">
      <w:pPr>
        <w:pStyle w:val="PargrafodaLista"/>
        <w:numPr>
          <w:ilvl w:val="0"/>
          <w:numId w:val="2"/>
        </w:numPr>
      </w:pPr>
      <w:r>
        <w:t>O aumento de inadimplência nas parcelas intermediárias aponta para necessidade de monitoramento recorrente durante o ciclo de pagamento.</w:t>
      </w:r>
    </w:p>
    <w:p w14:paraId="7966CE43" w14:textId="0A1A3867" w:rsidR="00F72449" w:rsidRDefault="001851E5" w:rsidP="001851E5">
      <w:pPr>
        <w:pStyle w:val="PargrafodaLista"/>
        <w:numPr>
          <w:ilvl w:val="0"/>
          <w:numId w:val="2"/>
        </w:numPr>
      </w:pPr>
      <w:r>
        <w:t>Risco pouco relacionado ao valor da parcela, reforçando a importância de modelos de crédito focados em comportamento e histórico, não apenas no ticket.</w:t>
      </w:r>
    </w:p>
    <w:sectPr w:rsidR="00F7244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AE4C8F"/>
    <w:multiLevelType w:val="hybridMultilevel"/>
    <w:tmpl w:val="90B88E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4F3321"/>
    <w:multiLevelType w:val="hybridMultilevel"/>
    <w:tmpl w:val="8BA4A3B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0783376">
    <w:abstractNumId w:val="1"/>
  </w:num>
  <w:num w:numId="2" w16cid:durableId="995760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1E5"/>
    <w:rsid w:val="001851E5"/>
    <w:rsid w:val="00242889"/>
    <w:rsid w:val="00BA6DB5"/>
    <w:rsid w:val="00F72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143206"/>
  <w15:chartTrackingRefBased/>
  <w15:docId w15:val="{8E3CD31E-137C-45BC-9FE1-CAD19E416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851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851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851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851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851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851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851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851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851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851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851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851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851E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851E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851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851E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851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851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851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851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851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851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851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851E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851E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851E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851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851E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851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347</Words>
  <Characters>1876</Characters>
  <Application>Microsoft Office Word</Application>
  <DocSecurity>0</DocSecurity>
  <Lines>15</Lines>
  <Paragraphs>4</Paragraphs>
  <ScaleCrop>false</ScaleCrop>
  <Company/>
  <LinksUpToDate>false</LinksUpToDate>
  <CharactersWithSpaces>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Alexander de Miranda</dc:creator>
  <cp:keywords/>
  <dc:description/>
  <cp:lastModifiedBy>Gustavo Alexander de Miranda</cp:lastModifiedBy>
  <cp:revision>1</cp:revision>
  <dcterms:created xsi:type="dcterms:W3CDTF">2025-11-14T21:34:00Z</dcterms:created>
  <dcterms:modified xsi:type="dcterms:W3CDTF">2025-11-14T21:35:00Z</dcterms:modified>
</cp:coreProperties>
</file>