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C2A3A"/>
          <w:sz w:val="52"/>
        </w:rPr>
        <w:t>Umusaruro</w:t>
      </w:r>
    </w:p>
    <w:p>
      <w:r>
        <w:rPr>
          <w:rFonts w:ascii="Calibri" w:hAnsi="Calibri"/>
          <w:b w:val="0"/>
          <w:color w:val="5C6772"/>
          <w:sz w:val="24"/>
        </w:rPr>
        <w:t>Evidence contract  ·  Phase 1  ·  15 October 2026</w:t>
      </w:r>
    </w:p>
    <w:p>
      <w:pPr>
        <w:spacing w:after="160"/>
      </w:pPr>
      <w:r>
        <w:rPr>
          <w:rFonts w:ascii="Calibri" w:hAnsi="Calibri"/>
          <w:b w:val="0"/>
          <w:color w:val="20242A"/>
          <w:sz w:val="22"/>
        </w:rPr>
        <w:t>This document locks the product. A number may appear on a screen only when this contract names its survey, table, and year. A blank cell, or a dash, stays blank. It is not zero. The page is for a district agronomist and a planner at the Ministry of Agriculture and Animal Resources. They read it. They do not type figures into it.</w:t>
      </w:r>
    </w:p>
    <w:p>
      <w:pPr>
        <w:spacing w:after="160"/>
      </w:pPr>
      <w:r>
        <w:rPr>
          <w:rFonts w:ascii="Calibri" w:hAnsi="Calibri"/>
          <w:b w:val="0"/>
          <w:color w:val="20242A"/>
          <w:sz w:val="22"/>
        </w:rPr>
        <w:t>The cells below were read on 15 October 2026 from the Season A 2026 PDF and, for Season B, from the NISR publication page and the Season B workbook. Phase 2 still requires a second person to check every cell against the printed page before the file is trusted. This draft was prepared with model assistance. The competition requires that disclosure in the submission.</w:t>
      </w:r>
    </w:p>
    <w:p>
      <w:pPr>
        <w:spacing w:after="160"/>
      </w:pPr>
      <w:r>
        <w:rPr>
          <w:rFonts w:ascii="Calibri" w:hAnsi="Calibri"/>
          <w:b w:val="0"/>
          <w:color w:val="20242A"/>
          <w:sz w:val="22"/>
        </w:rPr>
        <w:t>Repository: https://gitlab.com/mukunzijonathan/umusaruro. The project is private. This file was written in the local folder because that remote asked for a username and could not be cloned from this machine.</w:t>
      </w:r>
    </w:p>
    <w:p>
      <w:pPr>
        <w:pStyle w:val="Heading1"/>
      </w:pPr>
      <w:r>
        <w:rPr>
          <w:color w:val="1C2A3A"/>
        </w:rPr>
        <w:t>1. The product</w:t>
      </w:r>
    </w:p>
    <w:p>
      <w:pPr>
        <w:spacing w:after="160"/>
      </w:pPr>
      <w:r>
        <w:rPr>
          <w:rFonts w:ascii="Calibri" w:hAnsi="Calibri"/>
          <w:b w:val="0"/>
          <w:color w:val="20242A"/>
          <w:sz w:val="22"/>
        </w:rPr>
        <w:t>Umusaruro, the Kinyarwanda word for harvest, is a district maize action sheet. For one district it shows Season A 2026 maize yield against the PSTA 5 milestones, then the lever the published tables support: irrigation, or all-crop improved seed, with inorganic fertilizer named when that table lags. It is the agriculture track of the NISR 2026 Big Data Hackathon. A submission is a public Git repository, a deployed application, and documentation. The deadline is 23:59 on 30 October 2026.</w:t>
      </w:r>
    </w:p>
    <w:p>
      <w:pPr>
        <w:pStyle w:val="Heading1"/>
      </w:pPr>
      <w:r>
        <w:rPr>
          <w:color w:val="1C2A3A"/>
        </w:rPr>
        <w:t>2. The milestones</w:t>
      </w:r>
    </w:p>
    <w:p>
      <w:pPr>
        <w:spacing w:after="160"/>
      </w:pPr>
      <w:r>
        <w:rPr>
          <w:rFonts w:ascii="Calibri" w:hAnsi="Calibri"/>
          <w:b w:val="0"/>
          <w:color w:val="20242A"/>
          <w:sz w:val="22"/>
        </w:rPr>
        <w:t>PSTA 5 measures maize productivity with the Seasonal Agricultural Survey, in tonnes per hectare. The results-framework header is Baseline (2023), then five annual columns. Season A 2026 maize, all farms, is 1,994 kg/ha, which is 1.99 t/ha after dividing by 1,000 and rounding half up to two decimals. That figure is under the 2025/26 milestone of 2.06 and under the 2026/27 milestone of 2.26. Parliament’s “2.26” is the 2026/27 column. The page names the year.</w:t>
      </w:r>
    </w:p>
    <w:tbl>
      <w:tblPr>
        <w:tblStyle w:val="TableGrid"/>
        <w:tblW w:type="auto" w:w="0"/>
        <w:tblLook w:firstColumn="1" w:firstRow="1" w:lastColumn="0" w:lastRow="0" w:noHBand="0" w:noVBand="1" w:val="04A0"/>
      </w:tblPr>
      <w:tblGrid>
        <w:gridCol w:w="3437"/>
        <w:gridCol w:w="3437"/>
        <w:gridCol w:w="3437"/>
      </w:tblGrid>
      <w:tr>
        <w:tc>
          <w:tcPr>
            <w:tcW w:type="dxa" w:w="3437"/>
            <w:shd w:fill="1C2A3A" w:val="clear"/>
          </w:tcPr>
          <w:p>
            <w:r>
              <w:rPr>
                <w:rFonts w:ascii="Calibri" w:hAnsi="Calibri"/>
                <w:b/>
                <w:color w:val="FFFFFF"/>
                <w:sz w:val="16"/>
              </w:rPr>
              <w:t>Column</w:t>
            </w:r>
          </w:p>
        </w:tc>
        <w:tc>
          <w:tcPr>
            <w:tcW w:type="dxa" w:w="3437"/>
            <w:shd w:fill="1C2A3A" w:val="clear"/>
          </w:tcPr>
          <w:p>
            <w:r>
              <w:rPr>
                <w:rFonts w:ascii="Calibri" w:hAnsi="Calibri"/>
                <w:b/>
                <w:color w:val="FFFFFF"/>
                <w:sz w:val="16"/>
              </w:rPr>
              <w:t>Maize, t/ha</w:t>
            </w:r>
          </w:p>
        </w:tc>
        <w:tc>
          <w:tcPr>
            <w:tcW w:type="dxa" w:w="3437"/>
            <w:shd w:fill="1C2A3A" w:val="clear"/>
          </w:tcPr>
          <w:p>
            <w:r>
              <w:rPr>
                <w:rFonts w:ascii="Calibri" w:hAnsi="Calibri"/>
                <w:b/>
                <w:color w:val="FFFFFF"/>
                <w:sz w:val="16"/>
              </w:rPr>
              <w:t>Source</w:t>
            </w:r>
          </w:p>
        </w:tc>
      </w:tr>
      <w:tr>
        <w:tc>
          <w:tcPr>
            <w:tcW w:type="dxa" w:w="3437"/>
          </w:tcPr>
          <w:p>
            <w:r>
              <w:rPr>
                <w:rFonts w:ascii="Calibri" w:hAnsi="Calibri"/>
                <w:sz w:val="16"/>
              </w:rPr>
              <w:t>Baseline (2023)</w:t>
            </w:r>
          </w:p>
        </w:tc>
        <w:tc>
          <w:tcPr>
            <w:tcW w:type="dxa" w:w="3437"/>
          </w:tcPr>
          <w:p>
            <w:r>
              <w:rPr>
                <w:rFonts w:ascii="Calibri" w:hAnsi="Calibri"/>
                <w:sz w:val="16"/>
              </w:rPr>
              <w:t>1.70</w:t>
            </w:r>
          </w:p>
        </w:tc>
        <w:tc>
          <w:tcPr>
            <w:tcW w:type="dxa" w:w="3437"/>
          </w:tcPr>
          <w:p>
            <w:r>
              <w:rPr>
                <w:rFonts w:ascii="Calibri" w:hAnsi="Calibri"/>
                <w:sz w:val="16"/>
              </w:rPr>
              <w:t>PSTA 5 results framework</w:t>
            </w:r>
          </w:p>
        </w:tc>
      </w:tr>
      <w:tr>
        <w:tc>
          <w:tcPr>
            <w:tcW w:type="dxa" w:w="3437"/>
          </w:tcPr>
          <w:p>
            <w:r>
              <w:rPr>
                <w:rFonts w:ascii="Calibri" w:hAnsi="Calibri"/>
                <w:sz w:val="16"/>
              </w:rPr>
              <w:t>2024/25</w:t>
            </w:r>
          </w:p>
        </w:tc>
        <w:tc>
          <w:tcPr>
            <w:tcW w:type="dxa" w:w="3437"/>
          </w:tcPr>
          <w:p>
            <w:r>
              <w:rPr>
                <w:rFonts w:ascii="Calibri" w:hAnsi="Calibri"/>
                <w:sz w:val="16"/>
              </w:rPr>
              <w:t>1.87</w:t>
            </w:r>
          </w:p>
        </w:tc>
        <w:tc>
          <w:tcPr>
            <w:tcW w:type="dxa" w:w="3437"/>
          </w:tcPr>
          <w:p>
            <w:r>
              <w:rPr>
                <w:rFonts w:ascii="Calibri" w:hAnsi="Calibri"/>
                <w:sz w:val="16"/>
              </w:rPr>
              <w:t>PSTA 5 results framework</w:t>
            </w:r>
          </w:p>
        </w:tc>
      </w:tr>
      <w:tr>
        <w:tc>
          <w:tcPr>
            <w:tcW w:type="dxa" w:w="3437"/>
          </w:tcPr>
          <w:p>
            <w:r>
              <w:rPr>
                <w:rFonts w:ascii="Calibri" w:hAnsi="Calibri"/>
                <w:sz w:val="16"/>
              </w:rPr>
              <w:t>2025/26</w:t>
            </w:r>
          </w:p>
        </w:tc>
        <w:tc>
          <w:tcPr>
            <w:tcW w:type="dxa" w:w="3437"/>
          </w:tcPr>
          <w:p>
            <w:r>
              <w:rPr>
                <w:rFonts w:ascii="Calibri" w:hAnsi="Calibri"/>
                <w:sz w:val="16"/>
              </w:rPr>
              <w:t>2.06</w:t>
            </w:r>
          </w:p>
        </w:tc>
        <w:tc>
          <w:tcPr>
            <w:tcW w:type="dxa" w:w="3437"/>
          </w:tcPr>
          <w:p>
            <w:r>
              <w:rPr>
                <w:rFonts w:ascii="Calibri" w:hAnsi="Calibri"/>
                <w:sz w:val="16"/>
              </w:rPr>
              <w:t>PSTA 5 results framework</w:t>
            </w:r>
          </w:p>
        </w:tc>
      </w:tr>
      <w:tr>
        <w:tc>
          <w:tcPr>
            <w:tcW w:type="dxa" w:w="3437"/>
          </w:tcPr>
          <w:p>
            <w:r>
              <w:rPr>
                <w:rFonts w:ascii="Calibri" w:hAnsi="Calibri"/>
                <w:sz w:val="16"/>
              </w:rPr>
              <w:t>2026/27</w:t>
            </w:r>
          </w:p>
        </w:tc>
        <w:tc>
          <w:tcPr>
            <w:tcW w:type="dxa" w:w="3437"/>
          </w:tcPr>
          <w:p>
            <w:r>
              <w:rPr>
                <w:rFonts w:ascii="Calibri" w:hAnsi="Calibri"/>
                <w:sz w:val="16"/>
              </w:rPr>
              <w:t>2.26</w:t>
            </w:r>
          </w:p>
        </w:tc>
        <w:tc>
          <w:tcPr>
            <w:tcW w:type="dxa" w:w="3437"/>
          </w:tcPr>
          <w:p>
            <w:r>
              <w:rPr>
                <w:rFonts w:ascii="Calibri" w:hAnsi="Calibri"/>
                <w:sz w:val="16"/>
              </w:rPr>
              <w:t>PSTA 5 results framework</w:t>
            </w:r>
          </w:p>
        </w:tc>
      </w:tr>
      <w:tr>
        <w:tc>
          <w:tcPr>
            <w:tcW w:type="dxa" w:w="3437"/>
          </w:tcPr>
          <w:p>
            <w:r>
              <w:rPr>
                <w:rFonts w:ascii="Calibri" w:hAnsi="Calibri"/>
                <w:sz w:val="16"/>
              </w:rPr>
              <w:t>2027/28</w:t>
            </w:r>
          </w:p>
        </w:tc>
        <w:tc>
          <w:tcPr>
            <w:tcW w:type="dxa" w:w="3437"/>
          </w:tcPr>
          <w:p>
            <w:r>
              <w:rPr>
                <w:rFonts w:ascii="Calibri" w:hAnsi="Calibri"/>
                <w:sz w:val="16"/>
              </w:rPr>
              <w:t>2.49</w:t>
            </w:r>
          </w:p>
        </w:tc>
        <w:tc>
          <w:tcPr>
            <w:tcW w:type="dxa" w:w="3437"/>
          </w:tcPr>
          <w:p>
            <w:r>
              <w:rPr>
                <w:rFonts w:ascii="Calibri" w:hAnsi="Calibri"/>
                <w:sz w:val="16"/>
              </w:rPr>
              <w:t>PSTA 5 results framework</w:t>
            </w:r>
          </w:p>
        </w:tc>
      </w:tr>
      <w:tr>
        <w:tc>
          <w:tcPr>
            <w:tcW w:type="dxa" w:w="3437"/>
          </w:tcPr>
          <w:p>
            <w:r>
              <w:rPr>
                <w:rFonts w:ascii="Calibri" w:hAnsi="Calibri"/>
                <w:sz w:val="16"/>
              </w:rPr>
              <w:t>2028/29</w:t>
            </w:r>
          </w:p>
        </w:tc>
        <w:tc>
          <w:tcPr>
            <w:tcW w:type="dxa" w:w="3437"/>
          </w:tcPr>
          <w:p>
            <w:r>
              <w:rPr>
                <w:rFonts w:ascii="Calibri" w:hAnsi="Calibri"/>
                <w:sz w:val="16"/>
              </w:rPr>
              <w:t>2.74</w:t>
            </w:r>
          </w:p>
        </w:tc>
        <w:tc>
          <w:tcPr>
            <w:tcW w:type="dxa" w:w="3437"/>
          </w:tcPr>
          <w:p>
            <w:r>
              <w:rPr>
                <w:rFonts w:ascii="Calibri" w:hAnsi="Calibri"/>
                <w:sz w:val="16"/>
              </w:rPr>
              <w:t>PSTA 5 results framework</w:t>
            </w:r>
          </w:p>
        </w:tc>
      </w:tr>
    </w:tbl>
    <w:p/>
    <w:p>
      <w:pPr>
        <w:pStyle w:val="Heading1"/>
      </w:pPr>
      <w:r>
        <w:rPr>
          <w:color w:val="1C2A3A"/>
        </w:rPr>
        <w:t>3. What Season A 2026 may show</w:t>
      </w:r>
    </w:p>
    <w:p>
      <w:pPr>
        <w:spacing w:after="160"/>
      </w:pPr>
      <w:r>
        <w:rPr>
          <w:rFonts w:ascii="Calibri" w:hAnsi="Calibri"/>
          <w:b w:val="0"/>
          <w:color w:val="20242A"/>
          <w:sz w:val="22"/>
        </w:rPr>
        <w:t>The base file is the Season A 2026 report. It is the latest report that prints district maize yield and district irrigation by farm type together, and Season A is the main maize season. It is not the whole year. The screen stores the figure as printed. Kilograms per hectare are shown as tonnes only by dividing by 1,000 and rounding half up to two decimals.</w:t>
      </w:r>
    </w:p>
    <w:tbl>
      <w:tblPr>
        <w:tblStyle w:val="TableGrid"/>
        <w:tblW w:type="auto" w:w="0"/>
        <w:tblLook w:firstColumn="1" w:firstRow="1" w:lastColumn="0" w:lastRow="0" w:noHBand="0" w:noVBand="1" w:val="04A0"/>
      </w:tblPr>
      <w:tblGrid>
        <w:gridCol w:w="3437"/>
        <w:gridCol w:w="3437"/>
        <w:gridCol w:w="3437"/>
      </w:tblGrid>
      <w:tr>
        <w:tc>
          <w:tcPr>
            <w:tcW w:type="dxa" w:w="3437"/>
            <w:shd w:fill="1C2A3A" w:val="clear"/>
          </w:tcPr>
          <w:p>
            <w:r>
              <w:rPr>
                <w:rFonts w:ascii="Calibri" w:hAnsi="Calibri"/>
                <w:b/>
                <w:color w:val="FFFFFF"/>
                <w:sz w:val="16"/>
              </w:rPr>
              <w:t>What</w:t>
            </w:r>
          </w:p>
        </w:tc>
        <w:tc>
          <w:tcPr>
            <w:tcW w:type="dxa" w:w="3437"/>
            <w:shd w:fill="1C2A3A" w:val="clear"/>
          </w:tcPr>
          <w:p>
            <w:r>
              <w:rPr>
                <w:rFonts w:ascii="Calibri" w:hAnsi="Calibri"/>
                <w:b/>
                <w:color w:val="FFFFFF"/>
                <w:sz w:val="16"/>
              </w:rPr>
              <w:t>Table</w:t>
            </w:r>
          </w:p>
        </w:tc>
        <w:tc>
          <w:tcPr>
            <w:tcW w:type="dxa" w:w="3437"/>
            <w:shd w:fill="1C2A3A" w:val="clear"/>
          </w:tcPr>
          <w:p>
            <w:r>
              <w:rPr>
                <w:rFonts w:ascii="Calibri" w:hAnsi="Calibri"/>
                <w:b/>
                <w:color w:val="FFFFFF"/>
                <w:sz w:val="16"/>
              </w:rPr>
              <w:t>Level</w:t>
            </w:r>
          </w:p>
        </w:tc>
      </w:tr>
      <w:tr>
        <w:tc>
          <w:tcPr>
            <w:tcW w:type="dxa" w:w="3437"/>
          </w:tcPr>
          <w:p>
            <w:r>
              <w:rPr>
                <w:rFonts w:ascii="Calibri" w:hAnsi="Calibri"/>
                <w:sz w:val="16"/>
              </w:rPr>
              <w:t>Maize yield, kg/ha</w:t>
            </w:r>
          </w:p>
        </w:tc>
        <w:tc>
          <w:tcPr>
            <w:tcW w:type="dxa" w:w="3437"/>
          </w:tcPr>
          <w:p>
            <w:r>
              <w:rPr>
                <w:rFonts w:ascii="Calibri" w:hAnsi="Calibri"/>
                <w:sz w:val="16"/>
              </w:rPr>
              <w:t>13</w:t>
            </w:r>
          </w:p>
        </w:tc>
        <w:tc>
          <w:tcPr>
            <w:tcW w:type="dxa" w:w="3437"/>
          </w:tcPr>
          <w:p>
            <w:r>
              <w:rPr>
                <w:rFonts w:ascii="Calibri" w:hAnsi="Calibri"/>
                <w:sz w:val="16"/>
              </w:rPr>
              <w:t>District, plus national SSF and LSF rows</w:t>
            </w:r>
          </w:p>
        </w:tc>
      </w:tr>
      <w:tr>
        <w:tc>
          <w:tcPr>
            <w:tcW w:type="dxa" w:w="3437"/>
          </w:tcPr>
          <w:p>
            <w:r>
              <w:rPr>
                <w:rFonts w:ascii="Calibri" w:hAnsi="Calibri"/>
                <w:sz w:val="16"/>
              </w:rPr>
              <w:t>Large-farm yield, kg/ha</w:t>
            </w:r>
          </w:p>
        </w:tc>
        <w:tc>
          <w:tcPr>
            <w:tcW w:type="dxa" w:w="3437"/>
          </w:tcPr>
          <w:p>
            <w:r>
              <w:rPr>
                <w:rFonts w:ascii="Calibri" w:hAnsi="Calibri"/>
                <w:sz w:val="16"/>
              </w:rPr>
              <w:t>14</w:t>
            </w:r>
          </w:p>
        </w:tc>
        <w:tc>
          <w:tcPr>
            <w:tcW w:type="dxa" w:w="3437"/>
          </w:tcPr>
          <w:p>
            <w:r>
              <w:rPr>
                <w:rFonts w:ascii="Calibri" w:hAnsi="Calibri"/>
                <w:sz w:val="16"/>
              </w:rPr>
              <w:t>District. A dash stays blank.</w:t>
            </w:r>
          </w:p>
        </w:tc>
      </w:tr>
      <w:tr>
        <w:tc>
          <w:tcPr>
            <w:tcW w:type="dxa" w:w="3437"/>
          </w:tcPr>
          <w:p>
            <w:r>
              <w:rPr>
                <w:rFonts w:ascii="Calibri" w:hAnsi="Calibri"/>
                <w:sz w:val="16"/>
              </w:rPr>
              <w:t>Improved seed, all crops, % of farmers</w:t>
            </w:r>
          </w:p>
        </w:tc>
        <w:tc>
          <w:tcPr>
            <w:tcW w:type="dxa" w:w="3437"/>
          </w:tcPr>
          <w:p>
            <w:r>
              <w:rPr>
                <w:rFonts w:ascii="Calibri" w:hAnsi="Calibri"/>
                <w:sz w:val="16"/>
              </w:rPr>
              <w:t>20</w:t>
            </w:r>
          </w:p>
        </w:tc>
        <w:tc>
          <w:tcPr>
            <w:tcW w:type="dxa" w:w="3437"/>
          </w:tcPr>
          <w:p>
            <w:r>
              <w:rPr>
                <w:rFonts w:ascii="Calibri" w:hAnsi="Calibri"/>
                <w:sz w:val="16"/>
              </w:rPr>
              <w:t>District, by farm type</w:t>
            </w:r>
          </w:p>
        </w:tc>
      </w:tr>
      <w:tr>
        <w:tc>
          <w:tcPr>
            <w:tcW w:type="dxa" w:w="3437"/>
          </w:tcPr>
          <w:p>
            <w:r>
              <w:rPr>
                <w:rFonts w:ascii="Calibri" w:hAnsi="Calibri"/>
                <w:sz w:val="16"/>
              </w:rPr>
              <w:t>Source of improved seed</w:t>
            </w:r>
          </w:p>
        </w:tc>
        <w:tc>
          <w:tcPr>
            <w:tcW w:type="dxa" w:w="3437"/>
          </w:tcPr>
          <w:p>
            <w:r>
              <w:rPr>
                <w:rFonts w:ascii="Calibri" w:hAnsi="Calibri"/>
                <w:sz w:val="16"/>
              </w:rPr>
              <w:t>22</w:t>
            </w:r>
          </w:p>
        </w:tc>
        <w:tc>
          <w:tcPr>
            <w:tcW w:type="dxa" w:w="3437"/>
          </w:tcPr>
          <w:p>
            <w:r>
              <w:rPr>
                <w:rFonts w:ascii="Calibri" w:hAnsi="Calibri"/>
                <w:sz w:val="16"/>
              </w:rPr>
              <w:t>District</w:t>
            </w:r>
          </w:p>
        </w:tc>
      </w:tr>
      <w:tr>
        <w:tc>
          <w:tcPr>
            <w:tcW w:type="dxa" w:w="3437"/>
          </w:tcPr>
          <w:p>
            <w:r>
              <w:rPr>
                <w:rFonts w:ascii="Calibri" w:hAnsi="Calibri"/>
                <w:sz w:val="16"/>
              </w:rPr>
              <w:t>Inorganic fertilizer, % of farmers</w:t>
            </w:r>
          </w:p>
        </w:tc>
        <w:tc>
          <w:tcPr>
            <w:tcW w:type="dxa" w:w="3437"/>
          </w:tcPr>
          <w:p>
            <w:r>
              <w:rPr>
                <w:rFonts w:ascii="Calibri" w:hAnsi="Calibri"/>
                <w:sz w:val="16"/>
              </w:rPr>
              <w:t>25</w:t>
            </w:r>
          </w:p>
        </w:tc>
        <w:tc>
          <w:tcPr>
            <w:tcW w:type="dxa" w:w="3437"/>
          </w:tcPr>
          <w:p>
            <w:r>
              <w:rPr>
                <w:rFonts w:ascii="Calibri" w:hAnsi="Calibri"/>
                <w:sz w:val="16"/>
              </w:rPr>
              <w:t>District, by farm type</w:t>
            </w:r>
          </w:p>
        </w:tc>
      </w:tr>
      <w:tr>
        <w:tc>
          <w:tcPr>
            <w:tcW w:type="dxa" w:w="3437"/>
          </w:tcPr>
          <w:p>
            <w:r>
              <w:rPr>
                <w:rFonts w:ascii="Calibri" w:hAnsi="Calibri"/>
                <w:sz w:val="16"/>
              </w:rPr>
              <w:t>Irrigation, % of farmers</w:t>
            </w:r>
          </w:p>
        </w:tc>
        <w:tc>
          <w:tcPr>
            <w:tcW w:type="dxa" w:w="3437"/>
          </w:tcPr>
          <w:p>
            <w:r>
              <w:rPr>
                <w:rFonts w:ascii="Calibri" w:hAnsi="Calibri"/>
                <w:sz w:val="16"/>
              </w:rPr>
              <w:t>31</w:t>
            </w:r>
          </w:p>
        </w:tc>
        <w:tc>
          <w:tcPr>
            <w:tcW w:type="dxa" w:w="3437"/>
          </w:tcPr>
          <w:p>
            <w:r>
              <w:rPr>
                <w:rFonts w:ascii="Calibri" w:hAnsi="Calibri"/>
                <w:sz w:val="16"/>
              </w:rPr>
              <w:t>District, by farm type</w:t>
            </w:r>
          </w:p>
        </w:tc>
      </w:tr>
      <w:tr>
        <w:tc>
          <w:tcPr>
            <w:tcW w:type="dxa" w:w="3437"/>
          </w:tcPr>
          <w:p>
            <w:r>
              <w:rPr>
                <w:rFonts w:ascii="Calibri" w:hAnsi="Calibri"/>
                <w:sz w:val="16"/>
              </w:rPr>
              <w:t>Maize seed 64.3% improved</w:t>
            </w:r>
          </w:p>
        </w:tc>
        <w:tc>
          <w:tcPr>
            <w:tcW w:type="dxa" w:w="3437"/>
          </w:tcPr>
          <w:p>
            <w:r>
              <w:rPr>
                <w:rFonts w:ascii="Calibri" w:hAnsi="Calibri"/>
                <w:sz w:val="16"/>
              </w:rPr>
              <w:t>21</w:t>
            </w:r>
          </w:p>
        </w:tc>
        <w:tc>
          <w:tcPr>
            <w:tcW w:type="dxa" w:w="3437"/>
          </w:tcPr>
          <w:p>
            <w:r>
              <w:rPr>
                <w:rFonts w:ascii="Calibri" w:hAnsi="Calibri"/>
                <w:sz w:val="16"/>
              </w:rPr>
              <w:t>National only. Method page.</w:t>
            </w:r>
          </w:p>
        </w:tc>
      </w:tr>
      <w:tr>
        <w:tc>
          <w:tcPr>
            <w:tcW w:type="dxa" w:w="3437"/>
          </w:tcPr>
          <w:p>
            <w:r>
              <w:rPr>
                <w:rFonts w:ascii="Calibri" w:hAnsi="Calibri"/>
                <w:sz w:val="16"/>
              </w:rPr>
              <w:t>Maize post-harvest loss 0.3% of use</w:t>
            </w:r>
          </w:p>
        </w:tc>
        <w:tc>
          <w:tcPr>
            <w:tcW w:type="dxa" w:w="3437"/>
          </w:tcPr>
          <w:p>
            <w:r>
              <w:rPr>
                <w:rFonts w:ascii="Calibri" w:hAnsi="Calibri"/>
                <w:sz w:val="16"/>
              </w:rPr>
              <w:t>16</w:t>
            </w:r>
          </w:p>
        </w:tc>
        <w:tc>
          <w:tcPr>
            <w:tcW w:type="dxa" w:w="3437"/>
          </w:tcPr>
          <w:p>
            <w:r>
              <w:rPr>
                <w:rFonts w:ascii="Calibri" w:hAnsi="Calibri"/>
                <w:sz w:val="16"/>
              </w:rPr>
              <w:t>National only. No district store.</w:t>
            </w:r>
          </w:p>
        </w:tc>
      </w:tr>
    </w:tbl>
    <w:p/>
    <w:p>
      <w:pPr>
        <w:spacing w:after="160"/>
      </w:pPr>
      <w:r>
        <w:rPr>
          <w:rFonts w:ascii="Calibri" w:hAnsi="Calibri"/>
          <w:b w:val="0"/>
          <w:color w:val="20242A"/>
          <w:sz w:val="22"/>
        </w:rPr>
        <w:t>National maize, Table 13: smallholders 1,897 kg/ha (1.90 t/ha), all farms 1,994 kg/ha (1.99 t/ha), large farms 4,337 kg/ha (4.34 t/ha). Irrigation, Table 31, percentage of farmers: overall 14.4, smallholders 12.6, large farms 60.3. Improved seed, Table 20, all crops, percentage of farmers: overall 37.0, smallholders 35.2, large farms 82.6. Table 21 is a different statistic: maize seed is 64.3% improved and 35.7% traditional, with no district column and no farm-size column. Bush bean improved seed is 0.5%. Beans in Table 13 are 700 kg/ha nationally and 542 kg/ha on large farms. The page does not tell a district to close a bean gap toward large farms.</w:t>
      </w:r>
    </w:p>
    <w:p>
      <w:pPr>
        <w:spacing w:after="160"/>
      </w:pPr>
      <w:r>
        <w:rPr>
          <w:rFonts w:ascii="Calibri" w:hAnsi="Calibri"/>
          <w:b w:val="0"/>
          <w:color w:val="20242A"/>
          <w:sz w:val="22"/>
        </w:rPr>
        <w:t>Table 20 is not the maize seed rate. The 35.2 against 82.6 comparison is all crops. A card that names seed says “all crops”.</w:t>
      </w:r>
    </w:p>
    <w:p>
      <w:pPr>
        <w:pStyle w:val="Heading1"/>
      </w:pPr>
      <w:r>
        <w:rPr>
          <w:color w:val="1C2A3A"/>
        </w:rPr>
        <w:t>4. Districts checked on 15 October 2026</w:t>
      </w:r>
    </w:p>
    <w:p>
      <w:pPr>
        <w:spacing w:after="160"/>
      </w:pPr>
      <w:r>
        <w:rPr>
          <w:rFonts w:ascii="Calibri" w:hAnsi="Calibri"/>
          <w:b w:val="0"/>
          <w:color w:val="20242A"/>
          <w:sz w:val="22"/>
        </w:rPr>
        <w:t>In Table 13, only Nyagatare (2,887 kg/ha, 2.89 t/ha) and Kirehe (2,515 kg/ha, 2.52 t/ha) are at or above 2.26 t/ha. The next three are Rulindo 2,096 kg/ha (2.10), Muhanga 2,081 (2.08), and Burera 2,042 (2.04). Nyagatare and Kirehe are not the reason the national figure is 1.99.</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shd w:fill="1C2A3A" w:val="clear"/>
          </w:tcPr>
          <w:p>
            <w:r>
              <w:rPr>
                <w:rFonts w:ascii="Calibri" w:hAnsi="Calibri"/>
                <w:b/>
                <w:color w:val="FFFFFF"/>
                <w:sz w:val="16"/>
              </w:rPr>
              <w:t>District</w:t>
            </w:r>
          </w:p>
        </w:tc>
        <w:tc>
          <w:tcPr>
            <w:tcW w:type="dxa" w:w="2062"/>
            <w:shd w:fill="1C2A3A" w:val="clear"/>
          </w:tcPr>
          <w:p>
            <w:r>
              <w:rPr>
                <w:rFonts w:ascii="Calibri" w:hAnsi="Calibri"/>
                <w:b/>
                <w:color w:val="FFFFFF"/>
                <w:sz w:val="16"/>
              </w:rPr>
              <w:t>Maize, Table 13</w:t>
            </w:r>
          </w:p>
        </w:tc>
        <w:tc>
          <w:tcPr>
            <w:tcW w:type="dxa" w:w="2062"/>
            <w:shd w:fill="1C2A3A" w:val="clear"/>
          </w:tcPr>
          <w:p>
            <w:r>
              <w:rPr>
                <w:rFonts w:ascii="Calibri" w:hAnsi="Calibri"/>
                <w:b/>
                <w:color w:val="FFFFFF"/>
                <w:sz w:val="16"/>
              </w:rPr>
              <w:t>Against 2.26</w:t>
            </w:r>
          </w:p>
        </w:tc>
        <w:tc>
          <w:tcPr>
            <w:tcW w:type="dxa" w:w="2062"/>
            <w:shd w:fill="1C2A3A" w:val="clear"/>
          </w:tcPr>
          <w:p>
            <w:r>
              <w:rPr>
                <w:rFonts w:ascii="Calibri" w:hAnsi="Calibri"/>
                <w:b/>
                <w:color w:val="FFFFFF"/>
                <w:sz w:val="16"/>
              </w:rPr>
              <w:t>SSF irrigating, Table 31</w:t>
            </w:r>
          </w:p>
        </w:tc>
        <w:tc>
          <w:tcPr>
            <w:tcW w:type="dxa" w:w="2062"/>
            <w:shd w:fill="1C2A3A" w:val="clear"/>
          </w:tcPr>
          <w:p>
            <w:r>
              <w:rPr>
                <w:rFonts w:ascii="Calibri" w:hAnsi="Calibri"/>
                <w:b/>
                <w:color w:val="FFFFFF"/>
                <w:sz w:val="16"/>
              </w:rPr>
              <w:t>LSF irrigating</w:t>
            </w:r>
          </w:p>
        </w:tc>
      </w:tr>
      <w:tr>
        <w:tc>
          <w:tcPr>
            <w:tcW w:type="dxa" w:w="2062"/>
          </w:tcPr>
          <w:p>
            <w:r>
              <w:rPr>
                <w:rFonts w:ascii="Calibri" w:hAnsi="Calibri"/>
                <w:sz w:val="16"/>
              </w:rPr>
              <w:t>Nyagatare</w:t>
            </w:r>
          </w:p>
        </w:tc>
        <w:tc>
          <w:tcPr>
            <w:tcW w:type="dxa" w:w="2062"/>
          </w:tcPr>
          <w:p>
            <w:r>
              <w:rPr>
                <w:rFonts w:ascii="Calibri" w:hAnsi="Calibri"/>
                <w:sz w:val="16"/>
              </w:rPr>
              <w:t>2,887 kg/ha (2.89 t/ha)</w:t>
            </w:r>
          </w:p>
        </w:tc>
        <w:tc>
          <w:tcPr>
            <w:tcW w:type="dxa" w:w="2062"/>
          </w:tcPr>
          <w:p>
            <w:r>
              <w:rPr>
                <w:rFonts w:ascii="Calibri" w:hAnsi="Calibri"/>
                <w:sz w:val="16"/>
              </w:rPr>
              <w:t>Above</w:t>
            </w:r>
          </w:p>
        </w:tc>
        <w:tc>
          <w:tcPr>
            <w:tcW w:type="dxa" w:w="2062"/>
          </w:tcPr>
          <w:p>
            <w:r>
              <w:rPr>
                <w:rFonts w:ascii="Calibri" w:hAnsi="Calibri"/>
                <w:sz w:val="16"/>
              </w:rPr>
              <w:t>6.4%</w:t>
            </w:r>
          </w:p>
        </w:tc>
        <w:tc>
          <w:tcPr>
            <w:tcW w:type="dxa" w:w="2062"/>
          </w:tcPr>
          <w:p>
            <w:r>
              <w:rPr>
                <w:rFonts w:ascii="Calibri" w:hAnsi="Calibri"/>
                <w:sz w:val="16"/>
              </w:rPr>
              <w:t>50.0%</w:t>
            </w:r>
          </w:p>
        </w:tc>
      </w:tr>
      <w:tr>
        <w:tc>
          <w:tcPr>
            <w:tcW w:type="dxa" w:w="2062"/>
          </w:tcPr>
          <w:p>
            <w:r>
              <w:rPr>
                <w:rFonts w:ascii="Calibri" w:hAnsi="Calibri"/>
                <w:sz w:val="16"/>
              </w:rPr>
              <w:t>Kirehe</w:t>
            </w:r>
          </w:p>
        </w:tc>
        <w:tc>
          <w:tcPr>
            <w:tcW w:type="dxa" w:w="2062"/>
          </w:tcPr>
          <w:p>
            <w:r>
              <w:rPr>
                <w:rFonts w:ascii="Calibri" w:hAnsi="Calibri"/>
                <w:sz w:val="16"/>
              </w:rPr>
              <w:t>2,515 kg/ha (2.52 t/ha)</w:t>
            </w:r>
          </w:p>
        </w:tc>
        <w:tc>
          <w:tcPr>
            <w:tcW w:type="dxa" w:w="2062"/>
          </w:tcPr>
          <w:p>
            <w:r>
              <w:rPr>
                <w:rFonts w:ascii="Calibri" w:hAnsi="Calibri"/>
                <w:sz w:val="16"/>
              </w:rPr>
              <w:t>Above</w:t>
            </w:r>
          </w:p>
        </w:tc>
        <w:tc>
          <w:tcPr>
            <w:tcW w:type="dxa" w:w="2062"/>
          </w:tcPr>
          <w:p>
            <w:r>
              <w:rPr>
                <w:rFonts w:ascii="Calibri" w:hAnsi="Calibri"/>
                <w:sz w:val="16"/>
              </w:rPr>
              <w:t>14.9%</w:t>
            </w:r>
          </w:p>
        </w:tc>
        <w:tc>
          <w:tcPr>
            <w:tcW w:type="dxa" w:w="2062"/>
          </w:tcPr>
          <w:p>
            <w:r>
              <w:rPr>
                <w:rFonts w:ascii="Calibri" w:hAnsi="Calibri"/>
                <w:sz w:val="16"/>
              </w:rPr>
              <w:t>78.6%</w:t>
            </w:r>
          </w:p>
        </w:tc>
      </w:tr>
      <w:tr>
        <w:tc>
          <w:tcPr>
            <w:tcW w:type="dxa" w:w="2062"/>
          </w:tcPr>
          <w:p>
            <w:r>
              <w:rPr>
                <w:rFonts w:ascii="Calibri" w:hAnsi="Calibri"/>
                <w:sz w:val="16"/>
              </w:rPr>
              <w:t>Kamonyi</w:t>
            </w:r>
          </w:p>
        </w:tc>
        <w:tc>
          <w:tcPr>
            <w:tcW w:type="dxa" w:w="2062"/>
          </w:tcPr>
          <w:p>
            <w:r>
              <w:rPr>
                <w:rFonts w:ascii="Calibri" w:hAnsi="Calibri"/>
                <w:sz w:val="16"/>
              </w:rPr>
              <w:t>1,863 kg/ha (1.86 t/ha)</w:t>
            </w:r>
          </w:p>
        </w:tc>
        <w:tc>
          <w:tcPr>
            <w:tcW w:type="dxa" w:w="2062"/>
          </w:tcPr>
          <w:p>
            <w:r>
              <w:rPr>
                <w:rFonts w:ascii="Calibri" w:hAnsi="Calibri"/>
                <w:sz w:val="16"/>
              </w:rPr>
              <w:t>Below</w:t>
            </w:r>
          </w:p>
        </w:tc>
        <w:tc>
          <w:tcPr>
            <w:tcW w:type="dxa" w:w="2062"/>
          </w:tcPr>
          <w:p>
            <w:r>
              <w:rPr>
                <w:rFonts w:ascii="Calibri" w:hAnsi="Calibri"/>
                <w:sz w:val="16"/>
              </w:rPr>
              <w:t>22.4%</w:t>
            </w:r>
          </w:p>
        </w:tc>
        <w:tc>
          <w:tcPr>
            <w:tcW w:type="dxa" w:w="2062"/>
          </w:tcPr>
          <w:p>
            <w:r>
              <w:rPr>
                <w:rFonts w:ascii="Calibri" w:hAnsi="Calibri"/>
                <w:sz w:val="16"/>
              </w:rPr>
              <w:t>93.3%</w:t>
            </w:r>
          </w:p>
        </w:tc>
      </w:tr>
    </w:tbl>
    <w:p/>
    <w:p>
      <w:pPr>
        <w:spacing w:after="160"/>
      </w:pPr>
      <w:r>
        <w:rPr>
          <w:rFonts w:ascii="Calibri" w:hAnsi="Calibri"/>
          <w:b w:val="0"/>
          <w:color w:val="20242A"/>
          <w:sz w:val="22"/>
        </w:rPr>
        <w:t>Kamonyi’s large-farm maize yield is 6,470 kg/ha (Table 14), which is 6.47 t/ha. Nyagatare’s large-farm maize yield is 5,292 kg/ha.</w:t>
      </w:r>
    </w:p>
    <w:p>
      <w:pPr>
        <w:spacing w:after="160"/>
      </w:pPr>
      <w:r>
        <w:rPr>
          <w:rFonts w:ascii="Calibri" w:hAnsi="Calibri"/>
          <w:b w:val="0"/>
          <w:color w:val="20242A"/>
          <w:sz w:val="22"/>
        </w:rPr>
        <w:t>All-crop improved seed, Table 20, smallholders against large farms: Nyagatare 53.8% against 92.9% (gap 39.1 points); Kamonyi 45.3% against 100% (gap 54.7); Kirehe 56.0% against 92.9% (gap 36.9); Rwamagana 53.6% against 78.1% (gap 24.5); Ngoma 44.9% against 57.1% (gap 12.2); Kicukiro 38.7% against 60.0% (gap 21.3); Gakenke 26.4% against 55.6% (gap 29.2).</w:t>
      </w:r>
    </w:p>
    <w:p>
      <w:pPr>
        <w:spacing w:after="160"/>
      </w:pPr>
      <w:r>
        <w:rPr>
          <w:rFonts w:ascii="Calibri" w:hAnsi="Calibri"/>
          <w:b w:val="0"/>
          <w:color w:val="20242A"/>
          <w:sz w:val="22"/>
        </w:rPr>
        <w:t>Inorganic fertilizer, Table 25, percentage of farmers: Kamonyi smallholders 47.2% against large farms 93.3% (gap 46.1); Nyagatare 67.9% against 91.7% (gap 23.8); Kirehe 76.0% against 92.9% (gap 16.9); Gakenke 85.1% against 66.7%, so smallholders are ahead and fertilizer is not named.</w:t>
      </w:r>
    </w:p>
    <w:p>
      <w:pPr>
        <w:pStyle w:val="Heading1"/>
      </w:pPr>
      <w:r>
        <w:rPr>
          <w:color w:val="1C2A3A"/>
        </w:rPr>
        <w:t>5. Rules the application may apply</w:t>
      </w:r>
    </w:p>
    <w:p>
      <w:pPr>
        <w:spacing w:after="160"/>
      </w:pPr>
      <w:r>
        <w:rPr>
          <w:rFonts w:ascii="Calibri" w:hAnsi="Calibri"/>
          <w:b w:val="0"/>
          <w:color w:val="20242A"/>
          <w:sz w:val="22"/>
        </w:rPr>
        <w:t>These constants are the team’s. They are not NISR thresholds. They live in one module, and the method page prints them. Changing a constant changes who appears in the data file.</w:t>
      </w:r>
    </w:p>
    <w:p>
      <w:pPr>
        <w:spacing w:after="160"/>
      </w:pPr>
      <w:r>
        <w:rPr>
          <w:rFonts w:ascii="Calibri" w:hAnsi="Calibri"/>
          <w:b w:val="0"/>
          <w:color w:val="20242A"/>
          <w:sz w:val="22"/>
        </w:rPr>
        <w:t>Irrigation is a candidate only when the large-farm rate minus the smallholder rate is at least 30 points and the smallholder rate is under 15%. It becomes the action only when the district’s CHIRPS total for September 2025 through February 2026 is also below the median of the 30 districts. Seed is named when the Table 20 farmer gap is at least 25 points. If irrigation and seed both fire, the larger gap is the action, unless seed leads by less than 5 points, in which case irrigation stays. Fertilizer is named on the same card when the Table 25 smallholder rate lags the large-farm rate by at least 15 points. A blank large-farm cell cannot fire a gap.</w:t>
      </w:r>
    </w:p>
    <w:p>
      <w:pPr>
        <w:spacing w:after="160"/>
      </w:pPr>
      <w:r>
        <w:rPr>
          <w:rFonts w:ascii="Calibri" w:hAnsi="Calibri"/>
          <w:b w:val="0"/>
          <w:color w:val="20242A"/>
          <w:sz w:val="22"/>
        </w:rPr>
        <w:t>This contract does not lock a rainfall total. Phase 2 computes CHIRPS and writes the district total, the number of grid cells, and the source file. Until that file exists, the ten districts below are candidates, not the action list. A claim that rainfall already drops the list to seven is not in this contract.</w:t>
      </w:r>
    </w:p>
    <w:tbl>
      <w:tblPr>
        <w:tblStyle w:val="TableGrid"/>
        <w:tblW w:type="auto" w:w="0"/>
        <w:tblLook w:firstColumn="1" w:firstRow="1" w:lastColumn="0" w:lastRow="0" w:noHBand="0" w:noVBand="1" w:val="04A0"/>
      </w:tblPr>
      <w:tblGrid>
        <w:gridCol w:w="2578"/>
        <w:gridCol w:w="2578"/>
        <w:gridCol w:w="2578"/>
        <w:gridCol w:w="2578"/>
      </w:tblGrid>
      <w:tr>
        <w:tc>
          <w:tcPr>
            <w:tcW w:type="dxa" w:w="2578"/>
            <w:shd w:fill="1C2A3A" w:val="clear"/>
          </w:tcPr>
          <w:p>
            <w:r>
              <w:rPr>
                <w:rFonts w:ascii="Calibri" w:hAnsi="Calibri"/>
                <w:b/>
                <w:color w:val="FFFFFF"/>
                <w:sz w:val="16"/>
              </w:rPr>
              <w:t>Candidate</w:t>
            </w:r>
          </w:p>
        </w:tc>
        <w:tc>
          <w:tcPr>
            <w:tcW w:type="dxa" w:w="2578"/>
            <w:shd w:fill="1C2A3A" w:val="clear"/>
          </w:tcPr>
          <w:p>
            <w:r>
              <w:rPr>
                <w:rFonts w:ascii="Calibri" w:hAnsi="Calibri"/>
                <w:b/>
                <w:color w:val="FFFFFF"/>
                <w:sz w:val="16"/>
              </w:rPr>
              <w:t>SSF %</w:t>
            </w:r>
          </w:p>
        </w:tc>
        <w:tc>
          <w:tcPr>
            <w:tcW w:type="dxa" w:w="2578"/>
            <w:shd w:fill="1C2A3A" w:val="clear"/>
          </w:tcPr>
          <w:p>
            <w:r>
              <w:rPr>
                <w:rFonts w:ascii="Calibri" w:hAnsi="Calibri"/>
                <w:b/>
                <w:color w:val="FFFFFF"/>
                <w:sz w:val="16"/>
              </w:rPr>
              <w:t>LSF %</w:t>
            </w:r>
          </w:p>
        </w:tc>
        <w:tc>
          <w:tcPr>
            <w:tcW w:type="dxa" w:w="2578"/>
            <w:shd w:fill="1C2A3A" w:val="clear"/>
          </w:tcPr>
          <w:p>
            <w:r>
              <w:rPr>
                <w:rFonts w:ascii="Calibri" w:hAnsi="Calibri"/>
                <w:b/>
                <w:color w:val="FFFFFF"/>
                <w:sz w:val="16"/>
              </w:rPr>
              <w:t>Gap, points</w:t>
            </w:r>
          </w:p>
        </w:tc>
      </w:tr>
      <w:tr>
        <w:tc>
          <w:tcPr>
            <w:tcW w:type="dxa" w:w="2578"/>
          </w:tcPr>
          <w:p>
            <w:r>
              <w:rPr>
                <w:rFonts w:ascii="Calibri" w:hAnsi="Calibri"/>
                <w:sz w:val="16"/>
              </w:rPr>
              <w:t>Kicukiro</w:t>
            </w:r>
          </w:p>
        </w:tc>
        <w:tc>
          <w:tcPr>
            <w:tcW w:type="dxa" w:w="2578"/>
          </w:tcPr>
          <w:p>
            <w:r>
              <w:rPr>
                <w:rFonts w:ascii="Calibri" w:hAnsi="Calibri"/>
                <w:sz w:val="16"/>
              </w:rPr>
              <w:t>9.9</w:t>
            </w:r>
          </w:p>
        </w:tc>
        <w:tc>
          <w:tcPr>
            <w:tcW w:type="dxa" w:w="2578"/>
          </w:tcPr>
          <w:p>
            <w:r>
              <w:rPr>
                <w:rFonts w:ascii="Calibri" w:hAnsi="Calibri"/>
                <w:sz w:val="16"/>
              </w:rPr>
              <w:t>80.0</w:t>
            </w:r>
          </w:p>
        </w:tc>
        <w:tc>
          <w:tcPr>
            <w:tcW w:type="dxa" w:w="2578"/>
          </w:tcPr>
          <w:p>
            <w:r>
              <w:rPr>
                <w:rFonts w:ascii="Calibri" w:hAnsi="Calibri"/>
                <w:sz w:val="16"/>
              </w:rPr>
              <w:t>70.1</w:t>
            </w:r>
          </w:p>
        </w:tc>
      </w:tr>
      <w:tr>
        <w:tc>
          <w:tcPr>
            <w:tcW w:type="dxa" w:w="2578"/>
          </w:tcPr>
          <w:p>
            <w:r>
              <w:rPr>
                <w:rFonts w:ascii="Calibri" w:hAnsi="Calibri"/>
                <w:sz w:val="16"/>
              </w:rPr>
              <w:t>Kayonza</w:t>
            </w:r>
          </w:p>
        </w:tc>
        <w:tc>
          <w:tcPr>
            <w:tcW w:type="dxa" w:w="2578"/>
          </w:tcPr>
          <w:p>
            <w:r>
              <w:rPr>
                <w:rFonts w:ascii="Calibri" w:hAnsi="Calibri"/>
                <w:sz w:val="16"/>
              </w:rPr>
              <w:t>12.8</w:t>
            </w:r>
          </w:p>
        </w:tc>
        <w:tc>
          <w:tcPr>
            <w:tcW w:type="dxa" w:w="2578"/>
          </w:tcPr>
          <w:p>
            <w:r>
              <w:rPr>
                <w:rFonts w:ascii="Calibri" w:hAnsi="Calibri"/>
                <w:sz w:val="16"/>
              </w:rPr>
              <w:t>78.7</w:t>
            </w:r>
          </w:p>
        </w:tc>
        <w:tc>
          <w:tcPr>
            <w:tcW w:type="dxa" w:w="2578"/>
          </w:tcPr>
          <w:p>
            <w:r>
              <w:rPr>
                <w:rFonts w:ascii="Calibri" w:hAnsi="Calibri"/>
                <w:sz w:val="16"/>
              </w:rPr>
              <w:t>65.9</w:t>
            </w:r>
          </w:p>
        </w:tc>
      </w:tr>
      <w:tr>
        <w:tc>
          <w:tcPr>
            <w:tcW w:type="dxa" w:w="2578"/>
          </w:tcPr>
          <w:p>
            <w:r>
              <w:rPr>
                <w:rFonts w:ascii="Calibri" w:hAnsi="Calibri"/>
                <w:sz w:val="16"/>
              </w:rPr>
              <w:t>Kirehe</w:t>
            </w:r>
          </w:p>
        </w:tc>
        <w:tc>
          <w:tcPr>
            <w:tcW w:type="dxa" w:w="2578"/>
          </w:tcPr>
          <w:p>
            <w:r>
              <w:rPr>
                <w:rFonts w:ascii="Calibri" w:hAnsi="Calibri"/>
                <w:sz w:val="16"/>
              </w:rPr>
              <w:t>14.9</w:t>
            </w:r>
          </w:p>
        </w:tc>
        <w:tc>
          <w:tcPr>
            <w:tcW w:type="dxa" w:w="2578"/>
          </w:tcPr>
          <w:p>
            <w:r>
              <w:rPr>
                <w:rFonts w:ascii="Calibri" w:hAnsi="Calibri"/>
                <w:sz w:val="16"/>
              </w:rPr>
              <w:t>78.6</w:t>
            </w:r>
          </w:p>
        </w:tc>
        <w:tc>
          <w:tcPr>
            <w:tcW w:type="dxa" w:w="2578"/>
          </w:tcPr>
          <w:p>
            <w:r>
              <w:rPr>
                <w:rFonts w:ascii="Calibri" w:hAnsi="Calibri"/>
                <w:sz w:val="16"/>
              </w:rPr>
              <w:t>63.7</w:t>
            </w:r>
          </w:p>
        </w:tc>
      </w:tr>
      <w:tr>
        <w:tc>
          <w:tcPr>
            <w:tcW w:type="dxa" w:w="2578"/>
          </w:tcPr>
          <w:p>
            <w:r>
              <w:rPr>
                <w:rFonts w:ascii="Calibri" w:hAnsi="Calibri"/>
                <w:sz w:val="16"/>
              </w:rPr>
              <w:t>Gatsibo</w:t>
            </w:r>
          </w:p>
        </w:tc>
        <w:tc>
          <w:tcPr>
            <w:tcW w:type="dxa" w:w="2578"/>
          </w:tcPr>
          <w:p>
            <w:r>
              <w:rPr>
                <w:rFonts w:ascii="Calibri" w:hAnsi="Calibri"/>
                <w:sz w:val="16"/>
              </w:rPr>
              <w:t>8.1</w:t>
            </w:r>
          </w:p>
        </w:tc>
        <w:tc>
          <w:tcPr>
            <w:tcW w:type="dxa" w:w="2578"/>
          </w:tcPr>
          <w:p>
            <w:r>
              <w:rPr>
                <w:rFonts w:ascii="Calibri" w:hAnsi="Calibri"/>
                <w:sz w:val="16"/>
              </w:rPr>
              <w:t>63.6</w:t>
            </w:r>
          </w:p>
        </w:tc>
        <w:tc>
          <w:tcPr>
            <w:tcW w:type="dxa" w:w="2578"/>
          </w:tcPr>
          <w:p>
            <w:r>
              <w:rPr>
                <w:rFonts w:ascii="Calibri" w:hAnsi="Calibri"/>
                <w:sz w:val="16"/>
              </w:rPr>
              <w:t>55.5</w:t>
            </w:r>
          </w:p>
        </w:tc>
      </w:tr>
      <w:tr>
        <w:tc>
          <w:tcPr>
            <w:tcW w:type="dxa" w:w="2578"/>
          </w:tcPr>
          <w:p>
            <w:r>
              <w:rPr>
                <w:rFonts w:ascii="Calibri" w:hAnsi="Calibri"/>
                <w:sz w:val="16"/>
              </w:rPr>
              <w:t>Ngoma</w:t>
            </w:r>
          </w:p>
        </w:tc>
        <w:tc>
          <w:tcPr>
            <w:tcW w:type="dxa" w:w="2578"/>
          </w:tcPr>
          <w:p>
            <w:r>
              <w:rPr>
                <w:rFonts w:ascii="Calibri" w:hAnsi="Calibri"/>
                <w:sz w:val="16"/>
              </w:rPr>
              <w:t>4.7</w:t>
            </w:r>
          </w:p>
        </w:tc>
        <w:tc>
          <w:tcPr>
            <w:tcW w:type="dxa" w:w="2578"/>
          </w:tcPr>
          <w:p>
            <w:r>
              <w:rPr>
                <w:rFonts w:ascii="Calibri" w:hAnsi="Calibri"/>
                <w:sz w:val="16"/>
              </w:rPr>
              <w:t>50.0</w:t>
            </w:r>
          </w:p>
        </w:tc>
        <w:tc>
          <w:tcPr>
            <w:tcW w:type="dxa" w:w="2578"/>
          </w:tcPr>
          <w:p>
            <w:r>
              <w:rPr>
                <w:rFonts w:ascii="Calibri" w:hAnsi="Calibri"/>
                <w:sz w:val="16"/>
              </w:rPr>
              <w:t>45.3</w:t>
            </w:r>
          </w:p>
        </w:tc>
      </w:tr>
      <w:tr>
        <w:tc>
          <w:tcPr>
            <w:tcW w:type="dxa" w:w="2578"/>
          </w:tcPr>
          <w:p>
            <w:r>
              <w:rPr>
                <w:rFonts w:ascii="Calibri" w:hAnsi="Calibri"/>
                <w:sz w:val="16"/>
              </w:rPr>
              <w:t>Nyagatare</w:t>
            </w:r>
          </w:p>
        </w:tc>
        <w:tc>
          <w:tcPr>
            <w:tcW w:type="dxa" w:w="2578"/>
          </w:tcPr>
          <w:p>
            <w:r>
              <w:rPr>
                <w:rFonts w:ascii="Calibri" w:hAnsi="Calibri"/>
                <w:sz w:val="16"/>
              </w:rPr>
              <w:t>6.4</w:t>
            </w:r>
          </w:p>
        </w:tc>
        <w:tc>
          <w:tcPr>
            <w:tcW w:type="dxa" w:w="2578"/>
          </w:tcPr>
          <w:p>
            <w:r>
              <w:rPr>
                <w:rFonts w:ascii="Calibri" w:hAnsi="Calibri"/>
                <w:sz w:val="16"/>
              </w:rPr>
              <w:t>50.0</w:t>
            </w:r>
          </w:p>
        </w:tc>
        <w:tc>
          <w:tcPr>
            <w:tcW w:type="dxa" w:w="2578"/>
          </w:tcPr>
          <w:p>
            <w:r>
              <w:rPr>
                <w:rFonts w:ascii="Calibri" w:hAnsi="Calibri"/>
                <w:sz w:val="16"/>
              </w:rPr>
              <w:t>43.6</w:t>
            </w:r>
          </w:p>
        </w:tc>
      </w:tr>
      <w:tr>
        <w:tc>
          <w:tcPr>
            <w:tcW w:type="dxa" w:w="2578"/>
          </w:tcPr>
          <w:p>
            <w:r>
              <w:rPr>
                <w:rFonts w:ascii="Calibri" w:hAnsi="Calibri"/>
                <w:sz w:val="16"/>
              </w:rPr>
              <w:t>Rwamagana</w:t>
            </w:r>
          </w:p>
        </w:tc>
        <w:tc>
          <w:tcPr>
            <w:tcW w:type="dxa" w:w="2578"/>
          </w:tcPr>
          <w:p>
            <w:r>
              <w:rPr>
                <w:rFonts w:ascii="Calibri" w:hAnsi="Calibri"/>
                <w:sz w:val="16"/>
              </w:rPr>
              <w:t>10.4</w:t>
            </w:r>
          </w:p>
        </w:tc>
        <w:tc>
          <w:tcPr>
            <w:tcW w:type="dxa" w:w="2578"/>
          </w:tcPr>
          <w:p>
            <w:r>
              <w:rPr>
                <w:rFonts w:ascii="Calibri" w:hAnsi="Calibri"/>
                <w:sz w:val="16"/>
              </w:rPr>
              <w:t>53.7</w:t>
            </w:r>
          </w:p>
        </w:tc>
        <w:tc>
          <w:tcPr>
            <w:tcW w:type="dxa" w:w="2578"/>
          </w:tcPr>
          <w:p>
            <w:r>
              <w:rPr>
                <w:rFonts w:ascii="Calibri" w:hAnsi="Calibri"/>
                <w:sz w:val="16"/>
              </w:rPr>
              <w:t>43.3</w:t>
            </w:r>
          </w:p>
        </w:tc>
      </w:tr>
      <w:tr>
        <w:tc>
          <w:tcPr>
            <w:tcW w:type="dxa" w:w="2578"/>
          </w:tcPr>
          <w:p>
            <w:r>
              <w:rPr>
                <w:rFonts w:ascii="Calibri" w:hAnsi="Calibri"/>
                <w:sz w:val="16"/>
              </w:rPr>
              <w:t>Karongi</w:t>
            </w:r>
          </w:p>
        </w:tc>
        <w:tc>
          <w:tcPr>
            <w:tcW w:type="dxa" w:w="2578"/>
          </w:tcPr>
          <w:p>
            <w:r>
              <w:rPr>
                <w:rFonts w:ascii="Calibri" w:hAnsi="Calibri"/>
                <w:sz w:val="16"/>
              </w:rPr>
              <w:t>10.8</w:t>
            </w:r>
          </w:p>
        </w:tc>
        <w:tc>
          <w:tcPr>
            <w:tcW w:type="dxa" w:w="2578"/>
          </w:tcPr>
          <w:p>
            <w:r>
              <w:rPr>
                <w:rFonts w:ascii="Calibri" w:hAnsi="Calibri"/>
                <w:sz w:val="16"/>
              </w:rPr>
              <w:t>50.0</w:t>
            </w:r>
          </w:p>
        </w:tc>
        <w:tc>
          <w:tcPr>
            <w:tcW w:type="dxa" w:w="2578"/>
          </w:tcPr>
          <w:p>
            <w:r>
              <w:rPr>
                <w:rFonts w:ascii="Calibri" w:hAnsi="Calibri"/>
                <w:sz w:val="16"/>
              </w:rPr>
              <w:t>39.2</w:t>
            </w:r>
          </w:p>
        </w:tc>
      </w:tr>
      <w:tr>
        <w:tc>
          <w:tcPr>
            <w:tcW w:type="dxa" w:w="2578"/>
          </w:tcPr>
          <w:p>
            <w:r>
              <w:rPr>
                <w:rFonts w:ascii="Calibri" w:hAnsi="Calibri"/>
                <w:sz w:val="16"/>
              </w:rPr>
              <w:t>Nyamasheke</w:t>
            </w:r>
          </w:p>
        </w:tc>
        <w:tc>
          <w:tcPr>
            <w:tcW w:type="dxa" w:w="2578"/>
          </w:tcPr>
          <w:p>
            <w:r>
              <w:rPr>
                <w:rFonts w:ascii="Calibri" w:hAnsi="Calibri"/>
                <w:sz w:val="16"/>
              </w:rPr>
              <w:t>8.8</w:t>
            </w:r>
          </w:p>
        </w:tc>
        <w:tc>
          <w:tcPr>
            <w:tcW w:type="dxa" w:w="2578"/>
          </w:tcPr>
          <w:p>
            <w:r>
              <w:rPr>
                <w:rFonts w:ascii="Calibri" w:hAnsi="Calibri"/>
                <w:sz w:val="16"/>
              </w:rPr>
              <w:t>46.2</w:t>
            </w:r>
          </w:p>
        </w:tc>
        <w:tc>
          <w:tcPr>
            <w:tcW w:type="dxa" w:w="2578"/>
          </w:tcPr>
          <w:p>
            <w:r>
              <w:rPr>
                <w:rFonts w:ascii="Calibri" w:hAnsi="Calibri"/>
                <w:sz w:val="16"/>
              </w:rPr>
              <w:t>37.4</w:t>
            </w:r>
          </w:p>
        </w:tc>
      </w:tr>
      <w:tr>
        <w:tc>
          <w:tcPr>
            <w:tcW w:type="dxa" w:w="2578"/>
          </w:tcPr>
          <w:p>
            <w:r>
              <w:rPr>
                <w:rFonts w:ascii="Calibri" w:hAnsi="Calibri"/>
                <w:sz w:val="16"/>
              </w:rPr>
              <w:t>Nyamagabe</w:t>
            </w:r>
          </w:p>
        </w:tc>
        <w:tc>
          <w:tcPr>
            <w:tcW w:type="dxa" w:w="2578"/>
          </w:tcPr>
          <w:p>
            <w:r>
              <w:rPr>
                <w:rFonts w:ascii="Calibri" w:hAnsi="Calibri"/>
                <w:sz w:val="16"/>
              </w:rPr>
              <w:t>8.8</w:t>
            </w:r>
          </w:p>
        </w:tc>
        <w:tc>
          <w:tcPr>
            <w:tcW w:type="dxa" w:w="2578"/>
          </w:tcPr>
          <w:p>
            <w:r>
              <w:rPr>
                <w:rFonts w:ascii="Calibri" w:hAnsi="Calibri"/>
                <w:sz w:val="16"/>
              </w:rPr>
              <w:t>42.9</w:t>
            </w:r>
          </w:p>
        </w:tc>
        <w:tc>
          <w:tcPr>
            <w:tcW w:type="dxa" w:w="2578"/>
          </w:tcPr>
          <w:p>
            <w:r>
              <w:rPr>
                <w:rFonts w:ascii="Calibri" w:hAnsi="Calibri"/>
                <w:sz w:val="16"/>
              </w:rPr>
              <w:t>34.1</w:t>
            </w:r>
          </w:p>
        </w:tc>
      </w:tr>
    </w:tbl>
    <w:p/>
    <w:p>
      <w:pPr>
        <w:spacing w:after="160"/>
      </w:pPr>
      <w:r>
        <w:rPr>
          <w:rFonts w:ascii="Calibri" w:hAnsi="Calibri"/>
          <w:b w:val="0"/>
          <w:color w:val="20242A"/>
          <w:sz w:val="22"/>
        </w:rPr>
        <w:t>Worked cards, before rainfall. Nyagatare: irrigation gap 43.6 and seed gap 39.1 both clear their lines, so irrigation is the action; fertilizer lag 23.8 also clears 15 and is named. The card does not say the yield is failing 2.26. Kamonyi: smallholder irrigation is 22.4%, so irrigation does not fire; the action is all-crop seed (gap 54.7), and fertilizer (gap 46.1) is named. Kirehe: irrigation gap 63.7 beats seed gap 36.9, so irrigation is the action if rainfall passes; fertilizer lag 16.9 is named. Gakenke: irrigation gap 28.7 does not fire; seed gap 29.2 does; fertilizer is not named. Ngoma: seed gap 12.2 does not fire, so the candidate action is irrigation, and fertilizer lag 18.2 is named.</w:t>
      </w:r>
    </w:p>
    <w:p>
      <w:pPr>
        <w:spacing w:after="160"/>
      </w:pPr>
      <w:r>
        <w:rPr>
          <w:rFonts w:ascii="Calibri" w:hAnsi="Calibri"/>
          <w:b w:val="0"/>
          <w:color w:val="20242A"/>
          <w:sz w:val="22"/>
        </w:rPr>
        <w:t>Boundaries that sit next to the constants on the method page. Kirehe smallholder irrigation is 14.9% against the 15% line. Muhanga is 15.2% and does not enter the candidate list. Gakenke’s irrigation gap is 28.7 points against 30. Rwamagana’s seed gap is 24.5 points against 25. Kirehe’s fertilizer lag is 16.9 points against 15, so it is named. One tenth of a point changes each of these.</w:t>
      </w:r>
    </w:p>
    <w:p>
      <w:pPr>
        <w:pStyle w:val="Heading1"/>
      </w:pPr>
      <w:r>
        <w:rPr>
          <w:color w:val="1C2A3A"/>
        </w:rPr>
        <w:t>6. What this contract refuses</w:t>
      </w:r>
    </w:p>
    <w:p>
      <w:pPr>
        <w:spacing w:after="160"/>
      </w:pPr>
      <w:r>
        <w:rPr>
          <w:rFonts w:ascii="Calibri" w:hAnsi="Calibri"/>
          <w:b w:val="0"/>
          <w:color w:val="20242A"/>
          <w:sz w:val="22"/>
        </w:rPr>
        <w:t>No district store. Table 16 puts maize post-harvest loss at 0.3% of use and other usage at 0.2%, one national row. A loss figure from another year is a different series and is not pasted onto this table.</w:t>
      </w:r>
    </w:p>
    <w:p>
      <w:pPr>
        <w:spacing w:after="160"/>
      </w:pPr>
      <w:r>
        <w:rPr>
          <w:rFonts w:ascii="Calibri" w:hAnsi="Calibri"/>
          <w:b w:val="0"/>
          <w:color w:val="20242A"/>
          <w:sz w:val="22"/>
        </w:rPr>
        <w:t>No maize variety. The 2025 plot questionnaire records improved, traditional, or both. It does not record a variety name. No satisfaction score. The closest item is a production-status reason, including inappropriate seeds, lack of improved seeds, unfertile soil, and good quality of seeds. That reason is not in the published district tables. It may be used only from microdata, after the file reproduces a published national rate, and it is labeled as a reason.</w:t>
      </w:r>
    </w:p>
    <w:p>
      <w:pPr>
        <w:spacing w:after="160"/>
      </w:pPr>
      <w:r>
        <w:rPr>
          <w:rFonts w:ascii="Calibri" w:hAnsi="Calibri"/>
          <w:b w:val="0"/>
          <w:color w:val="20242A"/>
          <w:sz w:val="22"/>
        </w:rPr>
        <w:t>No learned score of seed against soil and fertilizer. The Seasonal Agricultural Survey does not carry a soil test on the plot. The Rwanda Soil Information System, launched by the Rwanda Agriculture and Animal Resources Development Board in November 2024, recommends fertilizer from soil. Maize recommendations were still in testing at that launch. Umusaruro does not replace that system and does not train a model on it.</w:t>
      </w:r>
    </w:p>
    <w:p>
      <w:pPr>
        <w:spacing w:after="160"/>
      </w:pPr>
      <w:r>
        <w:rPr>
          <w:rFonts w:ascii="Calibri" w:hAnsi="Calibri"/>
          <w:b w:val="0"/>
          <w:color w:val="20242A"/>
          <w:sz w:val="22"/>
        </w:rPr>
        <w:t>Season B does not overwrite a Season A cell. Season C is not averaged into Season A. The irrigated-hectare path in NST2 is not re-estimated. A national rate is not copied onto a district. Rainfall does not replace a NISR cell.</w:t>
      </w:r>
    </w:p>
    <w:p>
      <w:pPr>
        <w:pStyle w:val="Heading1"/>
      </w:pPr>
      <w:r>
        <w:rPr>
          <w:color w:val="1C2A3A"/>
        </w:rPr>
        <w:t>7. Season B 2026, as a check</w:t>
      </w:r>
    </w:p>
    <w:p>
      <w:pPr>
        <w:spacing w:after="160"/>
      </w:pPr>
      <w:r>
        <w:rPr>
          <w:rFonts w:ascii="Calibri" w:hAnsi="Calibri"/>
          <w:b w:val="0"/>
          <w:color w:val="20242A"/>
          <w:sz w:val="22"/>
        </w:rPr>
        <w:t>NISR released Season B 2026 on 22 September 2026. Collection ran from 19 April to 28 June 2026, in 1,200 segments and 505 large-scale farmers. The publication page states: improved seed 20.9% of farmers, 19.4% of smallholders, 65% of large farms; organic fertilizer 81.3%, 81.7%, and 71.3%; inorganic fertilizer 57.5%, 56.7%, and 80.2%; pesticides 39.1%, 37.7%, and 80%; irrigation 13.1% of farmers. The workbook’s national improved-seed row (Table 18) is 20.9, 19.36, and 64.98, which rounds to the page. Its national irrigation row (Table 29) is 13.08, 11.47, and 56.23. Maize yield in workbook Table 6 is 1.29 t/ha, from the cell 1.292, with production 122,370 tonnes. That is not the Season A yield of 1.99.</w:t>
      </w:r>
    </w:p>
    <w:p>
      <w:pPr>
        <w:spacing w:after="160"/>
      </w:pPr>
      <w:r>
        <w:rPr>
          <w:rFonts w:ascii="Calibri" w:hAnsi="Calibri"/>
          <w:b w:val="0"/>
          <w:color w:val="20242A"/>
          <w:sz w:val="22"/>
        </w:rPr>
        <w:t>Season B table numbers are not the Season A table numbers. Seed is Table 18, fertilizer is Table 23, irrigation is Table 29. The footer of workbook Table 29 still reads “SAS 2025”. No Season B irrigation cell goes on a screen until a second person resolves that footer. The page’s 13.1% sentence is the figure this contract relies on.</w:t>
      </w:r>
    </w:p>
    <w:p>
      <w:pPr>
        <w:pStyle w:val="Heading1"/>
      </w:pPr>
      <w:r>
        <w:rPr>
          <w:color w:val="1C2A3A"/>
        </w:rPr>
        <w:t>8. Links</w:t>
      </w:r>
    </w:p>
    <w:p>
      <w:pPr>
        <w:spacing w:after="40"/>
        <w:ind w:left="198"/>
      </w:pPr>
      <w:r>
        <w:rPr>
          <w:rFonts w:ascii="Calibri" w:hAnsi="Calibri"/>
          <w:b/>
          <w:color w:val="20242A"/>
          <w:sz w:val="22"/>
        </w:rPr>
        <w:t>NISR 2026 Big Data Hackathon</w:t>
      </w:r>
      <w:r>
        <w:br/>
      </w:r>
      <w:hyperlink r:id="rId9">
        <w:r>
          <w:rPr>
            <w:color w:val="1A56C4"/>
            <w:u w:val="single"/>
          </w:rPr>
          <w:t xml:space="preserve">https://statistics.gov.rw/about/hackathon/2026-hackathon-competition</w:t>
        </w:r>
      </w:hyperlink>
    </w:p>
    <w:p>
      <w:pPr>
        <w:spacing w:after="40"/>
        <w:ind w:left="198"/>
      </w:pPr>
      <w:r>
        <w:rPr>
          <w:rFonts w:ascii="Calibri" w:hAnsi="Calibri"/>
          <w:b/>
          <w:color w:val="20242A"/>
          <w:sz w:val="22"/>
        </w:rPr>
        <w:t>SAS Season A 2026, full report</w:t>
      </w:r>
      <w:r>
        <w:br/>
      </w:r>
      <w:hyperlink r:id="rId10">
        <w:r>
          <w:rPr>
            <w:color w:val="1A56C4"/>
            <w:u w:val="single"/>
          </w:rPr>
          <w:t xml:space="preserve">https://statistics.gov.rw/sites/default/files/documents/2026-04/SAS%202026%20Season%20A%20_Final%20Report.pdf</w:t>
        </w:r>
      </w:hyperlink>
    </w:p>
    <w:p>
      <w:pPr>
        <w:spacing w:after="40"/>
        <w:ind w:left="198"/>
      </w:pPr>
      <w:r>
        <w:rPr>
          <w:rFonts w:ascii="Calibri" w:hAnsi="Calibri"/>
          <w:b/>
          <w:color w:val="20242A"/>
          <w:sz w:val="22"/>
        </w:rPr>
        <w:t>SAS Season B 2026, publication page</w:t>
      </w:r>
      <w:r>
        <w:br/>
      </w:r>
      <w:hyperlink r:id="rId11">
        <w:r>
          <w:rPr>
            <w:color w:val="1A56C4"/>
            <w:u w:val="single"/>
          </w:rPr>
          <w:t xml:space="preserve">https://statistics.gov.rw/statistical-publications/agriculture-environment/seasonal-agricultural-survey-season-b-2026</w:t>
        </w:r>
      </w:hyperlink>
    </w:p>
    <w:p>
      <w:pPr>
        <w:spacing w:after="40"/>
        <w:ind w:left="198"/>
      </w:pPr>
      <w:r>
        <w:rPr>
          <w:rFonts w:ascii="Calibri" w:hAnsi="Calibri"/>
          <w:b/>
          <w:color w:val="20242A"/>
          <w:sz w:val="22"/>
        </w:rPr>
        <w:t>SAS Season B 2026, main report</w:t>
      </w:r>
      <w:r>
        <w:br/>
      </w:r>
      <w:hyperlink r:id="rId12">
        <w:r>
          <w:rPr>
            <w:color w:val="1A56C4"/>
            <w:u w:val="single"/>
          </w:rPr>
          <w:t xml:space="preserve">https://statistics.gov.rw/sites/default/files/documents/2026-09/SAS%202026B_Main%20report.pdf</w:t>
        </w:r>
      </w:hyperlink>
    </w:p>
    <w:p>
      <w:pPr>
        <w:spacing w:after="40"/>
        <w:ind w:left="198"/>
      </w:pPr>
      <w:r>
        <w:rPr>
          <w:rFonts w:ascii="Calibri" w:hAnsi="Calibri"/>
          <w:b/>
          <w:color w:val="20242A"/>
          <w:sz w:val="22"/>
        </w:rPr>
        <w:t>SAS Season B 2026, English summary</w:t>
      </w:r>
      <w:r>
        <w:br/>
      </w:r>
      <w:hyperlink r:id="rId13">
        <w:r>
          <w:rPr>
            <w:color w:val="1A56C4"/>
            <w:u w:val="single"/>
          </w:rPr>
          <w:t xml:space="preserve">https://statistics.gov.rw/sites/default/files/documents/2026-09/SAS%202026B_Summary%20in%20English.pdf</w:t>
        </w:r>
      </w:hyperlink>
    </w:p>
    <w:p>
      <w:pPr>
        <w:spacing w:after="40"/>
        <w:ind w:left="198"/>
      </w:pPr>
      <w:r>
        <w:rPr>
          <w:rFonts w:ascii="Calibri" w:hAnsi="Calibri"/>
          <w:b/>
          <w:color w:val="20242A"/>
          <w:sz w:val="22"/>
        </w:rPr>
        <w:t>SAS Season B 2026, workbook</w:t>
      </w:r>
      <w:r>
        <w:br/>
      </w:r>
      <w:hyperlink r:id="rId14">
        <w:r>
          <w:rPr>
            <w:color w:val="1A56C4"/>
            <w:u w:val="single"/>
          </w:rPr>
          <w:t xml:space="preserve">https://statistics.gov.rw/sites/default/files/documents/2026-09/Tables_2026%20Season%20B.xlsx</w:t>
        </w:r>
      </w:hyperlink>
    </w:p>
    <w:p>
      <w:pPr>
        <w:spacing w:after="40"/>
        <w:ind w:left="198"/>
      </w:pPr>
      <w:r>
        <w:rPr>
          <w:rFonts w:ascii="Calibri" w:hAnsi="Calibri"/>
          <w:b/>
          <w:color w:val="20242A"/>
          <w:sz w:val="22"/>
        </w:rPr>
        <w:t>SAS 2025 annual report</w:t>
      </w:r>
      <w:r>
        <w:br/>
      </w:r>
      <w:hyperlink r:id="rId15">
        <w:r>
          <w:rPr>
            <w:color w:val="1A56C4"/>
            <w:u w:val="single"/>
          </w:rPr>
          <w:t xml:space="preserve">https://statistics.gov.rw/sites/default/files/documents/2025-12/SAS%202025%20Final%20report.pdf</w:t>
        </w:r>
      </w:hyperlink>
    </w:p>
    <w:p>
      <w:pPr>
        <w:spacing w:after="40"/>
        <w:ind w:left="198"/>
      </w:pPr>
      <w:r>
        <w:rPr>
          <w:rFonts w:ascii="Calibri" w:hAnsi="Calibri"/>
          <w:b/>
          <w:color w:val="20242A"/>
          <w:sz w:val="22"/>
        </w:rPr>
        <w:t>SAS 2025 microdata catalogue</w:t>
      </w:r>
      <w:r>
        <w:br/>
      </w:r>
      <w:hyperlink r:id="rId16">
        <w:r>
          <w:rPr>
            <w:color w:val="1A56C4"/>
            <w:u w:val="single"/>
          </w:rPr>
          <w:t xml:space="preserve">https://microdata.statistics.gov.rw/index.php/catalog/124</w:t>
        </w:r>
      </w:hyperlink>
    </w:p>
    <w:p>
      <w:pPr>
        <w:spacing w:after="40"/>
        <w:ind w:left="198"/>
      </w:pPr>
      <w:r>
        <w:rPr>
          <w:rFonts w:ascii="Calibri" w:hAnsi="Calibri"/>
          <w:b/>
          <w:color w:val="20242A"/>
          <w:sz w:val="22"/>
        </w:rPr>
        <w:t>SAS 2025 plot questionnaire</w:t>
      </w:r>
      <w:r>
        <w:br/>
      </w:r>
      <w:hyperlink r:id="rId17">
        <w:r>
          <w:rPr>
            <w:color w:val="1A56C4"/>
            <w:u w:val="single"/>
          </w:rPr>
          <w:t xml:space="preserve">https://www.microdata.statistics.gov.rw/index.php/catalog/124/download/1114</w:t>
        </w:r>
      </w:hyperlink>
    </w:p>
    <w:p>
      <w:pPr>
        <w:spacing w:after="40"/>
        <w:ind w:left="198"/>
      </w:pPr>
      <w:r>
        <w:rPr>
          <w:rFonts w:ascii="Calibri" w:hAnsi="Calibri"/>
          <w:b/>
          <w:color w:val="20242A"/>
          <w:sz w:val="22"/>
        </w:rPr>
        <w:t>PSTA 5, abridged results framework</w:t>
      </w:r>
      <w:r>
        <w:br/>
      </w:r>
      <w:hyperlink r:id="rId18">
        <w:r>
          <w:rPr>
            <w:color w:val="1A56C4"/>
            <w:u w:val="single"/>
          </w:rPr>
          <w:t xml:space="preserve">https://www.minagri.gov.rw/fileadmin/user_upload/Minagri/Publications/Policies_and_strategies/PSTA_5_Abridged_version_Final.pdf</w:t>
        </w:r>
      </w:hyperlink>
    </w:p>
    <w:p>
      <w:pPr>
        <w:spacing w:after="40"/>
        <w:ind w:left="198"/>
      </w:pPr>
      <w:r>
        <w:rPr>
          <w:rFonts w:ascii="Calibri" w:hAnsi="Calibri"/>
          <w:b/>
          <w:color w:val="20242A"/>
          <w:sz w:val="22"/>
        </w:rPr>
        <w:t>NST2 2024–2029, abridged</w:t>
      </w:r>
      <w:r>
        <w:br/>
      </w:r>
      <w:hyperlink r:id="rId19">
        <w:r>
          <w:rPr>
            <w:color w:val="1A56C4"/>
            <w:u w:val="single"/>
          </w:rPr>
          <w:t xml:space="preserve">https://www.minecofin.gov.rw/fileadmin/user_upload/Minecofin/Publications/STRATEGIES/NST_2/NST2_2024-2029_Abridged.pdf</w:t>
        </w:r>
      </w:hyperlink>
    </w:p>
    <w:p>
      <w:pPr>
        <w:spacing w:after="40"/>
        <w:ind w:left="198"/>
      </w:pPr>
      <w:r>
        <w:rPr>
          <w:rFonts w:ascii="Calibri" w:hAnsi="Calibri"/>
          <w:b/>
          <w:color w:val="20242A"/>
          <w:sz w:val="22"/>
        </w:rPr>
        <w:t>Resolutions of the 20th Umushyikirano, 5–6 February 2026</w:t>
      </w:r>
      <w:r>
        <w:br/>
      </w:r>
      <w:hyperlink r:id="rId20">
        <w:r>
          <w:rPr>
            <w:color w:val="1A56C4"/>
            <w:u w:val="single"/>
          </w:rPr>
          <w:t xml:space="preserve">https://www.umushyikirano.gov.rw/fileadmin/user_upload/Umushyikirano/Imyanzuro/Resolutions_20th_UMUSHYIKIRANO_-_17_Feb_26.pdf</w:t>
        </w:r>
      </w:hyperlink>
    </w:p>
    <w:p>
      <w:pPr>
        <w:spacing w:after="40"/>
        <w:ind w:left="198"/>
      </w:pPr>
      <w:r>
        <w:rPr>
          <w:rFonts w:ascii="Calibri" w:hAnsi="Calibri"/>
          <w:b/>
          <w:color w:val="20242A"/>
          <w:sz w:val="22"/>
        </w:rPr>
        <w:t>Agricultural Household Survey 2024, main report</w:t>
      </w:r>
      <w:r>
        <w:br/>
      </w:r>
      <w:hyperlink r:id="rId21">
        <w:r>
          <w:rPr>
            <w:color w:val="1A56C4"/>
            <w:u w:val="single"/>
          </w:rPr>
          <w:t xml:space="preserve">https://statistics.gov.rw/sites/default/files/documents/2025-10/AHS%202024_Main%20report.pdf</w:t>
        </w:r>
      </w:hyperlink>
    </w:p>
    <w:p>
      <w:pPr>
        <w:spacing w:after="40"/>
        <w:ind w:left="198"/>
      </w:pPr>
      <w:r>
        <w:rPr>
          <w:rFonts w:ascii="Calibri" w:hAnsi="Calibri"/>
          <w:b/>
          <w:color w:val="20242A"/>
          <w:sz w:val="22"/>
        </w:rPr>
        <w:t>Agricultural Household Survey 2024, survey page</w:t>
      </w:r>
      <w:r>
        <w:br/>
      </w:r>
      <w:hyperlink r:id="rId22">
        <w:r>
          <w:rPr>
            <w:color w:val="1A56C4"/>
            <w:u w:val="single"/>
          </w:rPr>
          <w:t xml:space="preserve">https://statistics.gov.rw/data-sources/surveys/Agricultural-Household-Survey/agricultural-household-survey-2024</w:t>
        </w:r>
      </w:hyperlink>
    </w:p>
    <w:p>
      <w:pPr>
        <w:spacing w:after="40"/>
        <w:ind w:left="198"/>
      </w:pPr>
      <w:r>
        <w:rPr>
          <w:rFonts w:ascii="Calibri" w:hAnsi="Calibri"/>
          <w:b/>
          <w:color w:val="20242A"/>
          <w:sz w:val="22"/>
        </w:rPr>
        <w:t>CHIRPS rainfall</w:t>
      </w:r>
      <w:r>
        <w:br/>
      </w:r>
      <w:hyperlink r:id="rId23">
        <w:r>
          <w:rPr>
            <w:color w:val="1A56C4"/>
            <w:u w:val="single"/>
          </w:rPr>
          <w:t xml:space="preserve">https://www.chc.ucsb.edu/data/chirps</w:t>
        </w:r>
      </w:hyperlink>
    </w:p>
    <w:p>
      <w:pPr>
        <w:spacing w:after="40"/>
        <w:ind w:left="198"/>
      </w:pPr>
      <w:r>
        <w:rPr>
          <w:rFonts w:ascii="Calibri" w:hAnsi="Calibri"/>
          <w:b/>
          <w:color w:val="20242A"/>
          <w:sz w:val="22"/>
        </w:rPr>
        <w:t>RAB note on the Rwanda Soil Information System, 29 November 2024</w:t>
      </w:r>
      <w:r>
        <w:br/>
      </w:r>
      <w:hyperlink r:id="rId24">
        <w:r>
          <w:rPr>
            <w:color w:val="1A56C4"/>
            <w:u w:val="single"/>
          </w:rPr>
          <w:t xml:space="preserve">https://www.rab.gov.rw/1-1/news-details/rab-launches-rwanda-digital-soil-information-system-to-improve-agricultural-productivity</w:t>
        </w:r>
      </w:hyperlink>
    </w:p>
    <w:p>
      <w:pPr>
        <w:spacing w:after="40"/>
        <w:ind w:left="198"/>
      </w:pPr>
      <w:r>
        <w:rPr>
          <w:rFonts w:ascii="Calibri" w:hAnsi="Calibri"/>
          <w:b/>
          <w:color w:val="20242A"/>
          <w:sz w:val="22"/>
        </w:rPr>
        <w:t>SAS Season A 2024, earlier report, not the base file</w:t>
      </w:r>
      <w:r>
        <w:br/>
      </w:r>
      <w:hyperlink r:id="rId25">
        <w:r>
          <w:rPr>
            <w:color w:val="1A56C4"/>
            <w:u w:val="single"/>
          </w:rPr>
          <w:t xml:space="preserve">https://statistics.gov.rw/sites/default/files/documents/2024-10/SAS_2024%20Season%20A%20Final%20Report%20%282%29_compressed.pdf</w:t>
        </w:r>
      </w:hyperlink>
    </w:p>
    <w:p>
      <w:pPr>
        <w:spacing w:after="40"/>
        <w:ind w:left="198"/>
      </w:pPr>
      <w:r>
        <w:rPr>
          <w:rFonts w:ascii="Calibri" w:hAnsi="Calibri"/>
          <w:b/>
          <w:color w:val="20242A"/>
          <w:sz w:val="22"/>
        </w:rPr>
        <w:t>GitLab repository</w:t>
      </w:r>
      <w:r>
        <w:br/>
      </w:r>
      <w:hyperlink r:id="rId26">
        <w:r>
          <w:rPr>
            <w:color w:val="1A56C4"/>
            <w:u w:val="single"/>
          </w:rPr>
          <w:t xml:space="preserve">https://gitlab.com/mukunzijonathan/umusaruro</w:t>
        </w:r>
      </w:hyperlink>
    </w:p>
    <w:p>
      <w:pPr>
        <w:spacing w:after="160"/>
      </w:pPr>
      <w:r>
        <w:rPr>
          <w:rFonts w:ascii="Calibri" w:hAnsi="Calibri"/>
          <w:b w:val="0"/>
          <w:color w:val="20242A"/>
          <w:sz w:val="22"/>
        </w:rPr>
        <w:t>Secondary. These describe a public meeting. They are not a survey cell.</w:t>
      </w:r>
    </w:p>
    <w:p>
      <w:pPr>
        <w:spacing w:after="40"/>
        <w:ind w:left="198"/>
      </w:pPr>
      <w:r>
        <w:rPr>
          <w:rFonts w:ascii="Calibri" w:hAnsi="Calibri"/>
          <w:b/>
          <w:color w:val="20242A"/>
          <w:sz w:val="22"/>
        </w:rPr>
        <w:t>KT Press, 23 March 2026, Gako meeting on agricultural follow-through</w:t>
      </w:r>
      <w:r>
        <w:br/>
      </w:r>
      <w:hyperlink r:id="rId27">
        <w:r>
          <w:rPr>
            <w:color w:val="1A56C4"/>
            <w:u w:val="single"/>
          </w:rPr>
          <w:t xml:space="preserve">https://www.ktpress.rw/2026/03/kagame-criticizes-slow-progress-in-agriculture-urges-shift-from-promises-to-action/</w:t>
        </w:r>
      </w:hyperlink>
    </w:p>
    <w:p>
      <w:pPr>
        <w:spacing w:after="40"/>
        <w:ind w:left="198"/>
      </w:pPr>
      <w:r>
        <w:rPr>
          <w:rFonts w:ascii="Calibri" w:hAnsi="Calibri"/>
          <w:b/>
          <w:color w:val="20242A"/>
          <w:sz w:val="22"/>
        </w:rPr>
        <w:t>AllAfrica, 29 June 2026, Parliament and the maize yield. A news report, not the Hansard.</w:t>
      </w:r>
      <w:r>
        <w:br/>
      </w:r>
      <w:hyperlink r:id="rId28">
        <w:r>
          <w:rPr>
            <w:color w:val="1A56C4"/>
            <w:u w:val="single"/>
          </w:rPr>
          <w:t xml:space="preserve">https://allafrica.com/stories/202606300076.html</w:t>
        </w:r>
      </w:hyperlink>
    </w:p>
    <w:p>
      <w:pPr>
        <w:pStyle w:val="Heading1"/>
      </w:pPr>
      <w:r>
        <w:rPr>
          <w:color w:val="1C2A3A"/>
        </w:rPr>
        <w:t>9. Phases</w:t>
      </w:r>
    </w:p>
    <w:tbl>
      <w:tblPr>
        <w:tblStyle w:val="TableGrid"/>
        <w:tblW w:type="auto" w:w="0"/>
        <w:tblLook w:firstColumn="1" w:firstRow="1" w:lastColumn="0" w:lastRow="0" w:noHBand="0" w:noVBand="1" w:val="04A0"/>
      </w:tblPr>
      <w:tblGrid>
        <w:gridCol w:w="5156"/>
        <w:gridCol w:w="5156"/>
      </w:tblGrid>
      <w:tr>
        <w:tc>
          <w:tcPr>
            <w:tcW w:type="dxa" w:w="5156"/>
            <w:shd w:fill="1C2A3A" w:val="clear"/>
          </w:tcPr>
          <w:p>
            <w:r>
              <w:rPr>
                <w:rFonts w:ascii="Calibri" w:hAnsi="Calibri"/>
                <w:b/>
                <w:color w:val="FFFFFF"/>
                <w:sz w:val="16"/>
              </w:rPr>
              <w:t>Phase</w:t>
            </w:r>
          </w:p>
        </w:tc>
        <w:tc>
          <w:tcPr>
            <w:tcW w:type="dxa" w:w="5156"/>
            <w:shd w:fill="1C2A3A" w:val="clear"/>
          </w:tcPr>
          <w:p>
            <w:r>
              <w:rPr>
                <w:rFonts w:ascii="Calibri" w:hAnsi="Calibri"/>
                <w:b/>
                <w:color w:val="FFFFFF"/>
                <w:sz w:val="16"/>
              </w:rPr>
              <w:t>Done when</w:t>
            </w:r>
          </w:p>
        </w:tc>
      </w:tr>
      <w:tr>
        <w:tc>
          <w:tcPr>
            <w:tcW w:type="dxa" w:w="5156"/>
          </w:tcPr>
          <w:p>
            <w:r>
              <w:rPr>
                <w:rFonts w:ascii="Calibri" w:hAnsi="Calibri"/>
                <w:sz w:val="16"/>
              </w:rPr>
              <w:t>1. This contract</w:t>
            </w:r>
          </w:p>
        </w:tc>
        <w:tc>
          <w:tcPr>
            <w:tcW w:type="dxa" w:w="5156"/>
          </w:tcPr>
          <w:p>
            <w:r>
              <w:rPr>
                <w:rFonts w:ascii="Calibri" w:hAnsi="Calibri"/>
                <w:sz w:val="16"/>
              </w:rPr>
              <w:t>Both teammates accept the links, the checked cells, and the refusals. No screen exists yet.</w:t>
            </w:r>
          </w:p>
        </w:tc>
      </w:tr>
      <w:tr>
        <w:tc>
          <w:tcPr>
            <w:tcW w:type="dxa" w:w="5156"/>
          </w:tcPr>
          <w:p>
            <w:r>
              <w:rPr>
                <w:rFonts w:ascii="Calibri" w:hAnsi="Calibri"/>
                <w:sz w:val="16"/>
              </w:rPr>
              <w:t>2. Data file</w:t>
            </w:r>
          </w:p>
        </w:tc>
        <w:tc>
          <w:tcPr>
            <w:tcW w:type="dxa" w:w="5156"/>
          </w:tcPr>
          <w:p>
            <w:r>
              <w:rPr>
                <w:rFonts w:ascii="Calibri" w:hAnsi="Calibri"/>
                <w:sz w:val="16"/>
              </w:rPr>
              <w:t>Tables 13, 14, 20, 22, 25, and 31 are transcribed. A second person checks every cell. Blanks stay blank. The file reproduces 1,897, 1,994, 4,337, 12.6, and 60.3. CHIRPS totals are computed and stored with the grid-cell count.</w:t>
            </w:r>
          </w:p>
        </w:tc>
      </w:tr>
      <w:tr>
        <w:tc>
          <w:tcPr>
            <w:tcW w:type="dxa" w:w="5156"/>
          </w:tcPr>
          <w:p>
            <w:r>
              <w:rPr>
                <w:rFonts w:ascii="Calibri" w:hAnsi="Calibri"/>
                <w:sz w:val="16"/>
              </w:rPr>
              <w:t>3. Rules</w:t>
            </w:r>
          </w:p>
        </w:tc>
        <w:tc>
          <w:tcPr>
            <w:tcW w:type="dxa" w:w="5156"/>
          </w:tcPr>
          <w:p>
            <w:r>
              <w:rPr>
                <w:rFonts w:ascii="Calibri" w:hAnsi="Calibri"/>
                <w:sz w:val="16"/>
              </w:rPr>
              <w:t>One module holds 30, 15, 25, 5, and 15. Tests cover Nyagatare, Kirehe, Kamonyi, Gakenke, Ngoma, and a blank large-farm cell (Gicumbi irrigation, or Karongi maize in Table 14).</w:t>
            </w:r>
          </w:p>
        </w:tc>
      </w:tr>
      <w:tr>
        <w:tc>
          <w:tcPr>
            <w:tcW w:type="dxa" w:w="5156"/>
          </w:tcPr>
          <w:p>
            <w:r>
              <w:rPr>
                <w:rFonts w:ascii="Calibri" w:hAnsi="Calibri"/>
                <w:sz w:val="16"/>
              </w:rPr>
              <w:t>4. Application</w:t>
            </w:r>
          </w:p>
        </w:tc>
        <w:tc>
          <w:tcPr>
            <w:tcW w:type="dxa" w:w="5156"/>
          </w:tcPr>
          <w:p>
            <w:r>
              <w:rPr>
                <w:rFonts w:ascii="Calibri" w:hAnsi="Calibri"/>
                <w:sz w:val="16"/>
              </w:rPr>
              <w:t>Django. A map, a district page, and a method page. A statistic cannot render without survey, table, and year.</w:t>
            </w:r>
          </w:p>
        </w:tc>
      </w:tr>
      <w:tr>
        <w:tc>
          <w:tcPr>
            <w:tcW w:type="dxa" w:w="5156"/>
          </w:tcPr>
          <w:p>
            <w:r>
              <w:rPr>
                <w:rFonts w:ascii="Calibri" w:hAnsi="Calibri"/>
                <w:sz w:val="16"/>
              </w:rPr>
              <w:t>5. Season B check</w:t>
            </w:r>
          </w:p>
        </w:tc>
        <w:tc>
          <w:tcPr>
            <w:tcW w:type="dxa" w:w="5156"/>
          </w:tcPr>
          <w:p>
            <w:r>
              <w:rPr>
                <w:rFonts w:ascii="Calibri" w:hAnsi="Calibri"/>
                <w:sz w:val="16"/>
              </w:rPr>
              <w:t>Season B loads beside Season A, with its own table numbers, and cannot overwrite Season A. The Table 29 footer is resolved first.</w:t>
            </w:r>
          </w:p>
        </w:tc>
      </w:tr>
      <w:tr>
        <w:tc>
          <w:tcPr>
            <w:tcW w:type="dxa" w:w="5156"/>
          </w:tcPr>
          <w:p>
            <w:r>
              <w:rPr>
                <w:rFonts w:ascii="Calibri" w:hAnsi="Calibri"/>
                <w:sz w:val="16"/>
              </w:rPr>
              <w:t>6. Submission</w:t>
            </w:r>
          </w:p>
        </w:tc>
        <w:tc>
          <w:tcPr>
            <w:tcW w:type="dxa" w:w="5156"/>
          </w:tcPr>
          <w:p>
            <w:r>
              <w:rPr>
                <w:rFonts w:ascii="Calibri" w:hAnsi="Calibri"/>
                <w:sz w:val="16"/>
              </w:rPr>
              <w:t>Public repository, deployed link, method page, and a disclosure of model assistance. Deadline 30 October 2026, 23:59.</w:t>
            </w:r>
          </w:p>
        </w:tc>
      </w:tr>
    </w:tbl>
    <w:p/>
    <w:p>
      <w:pPr>
        <w:spacing w:after="160"/>
      </w:pPr>
      <w:r>
        <w:rPr>
          <w:rFonts w:ascii="Calibri" w:hAnsi="Calibri"/>
          <w:b w:val="0"/>
          <w:color w:val="20242A"/>
          <w:sz w:val="22"/>
        </w:rPr>
        <w:t>Phase 2 starts when both teammates accept this contract. Microdata is a later pass, and only if a weighted file reproduces a published national rate such as 64.3% or 35.2%. Until then the PDF tables are the numbers.</w:t>
      </w:r>
    </w:p>
    <w:sectPr w:rsidR="00FC693F" w:rsidRPr="0006063C" w:rsidSect="00034616">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atistics.gov.rw/about/hackathon/2026-hackathon-competition" TargetMode="External"/><Relationship Id="rId10" Type="http://schemas.openxmlformats.org/officeDocument/2006/relationships/hyperlink" Target="https://statistics.gov.rw/sites/default/files/documents/2026-04/SAS%202026%20Season%20A%20_Final%20Report.pdf" TargetMode="External"/><Relationship Id="rId11" Type="http://schemas.openxmlformats.org/officeDocument/2006/relationships/hyperlink" Target="https://statistics.gov.rw/statistical-publications/agriculture-environment/seasonal-agricultural-survey-season-b-2026" TargetMode="External"/><Relationship Id="rId12" Type="http://schemas.openxmlformats.org/officeDocument/2006/relationships/hyperlink" Target="https://statistics.gov.rw/sites/default/files/documents/2026-09/SAS%202026B_Main%20report.pdf" TargetMode="External"/><Relationship Id="rId13" Type="http://schemas.openxmlformats.org/officeDocument/2006/relationships/hyperlink" Target="https://statistics.gov.rw/sites/default/files/documents/2026-09/SAS%202026B_Summary%20in%20English.pdf" TargetMode="External"/><Relationship Id="rId14" Type="http://schemas.openxmlformats.org/officeDocument/2006/relationships/hyperlink" Target="https://statistics.gov.rw/sites/default/files/documents/2026-09/Tables_2026%20Season%20B.xlsx" TargetMode="External"/><Relationship Id="rId15" Type="http://schemas.openxmlformats.org/officeDocument/2006/relationships/hyperlink" Target="https://statistics.gov.rw/sites/default/files/documents/2025-12/SAS%202025%20Final%20report.pdf" TargetMode="External"/><Relationship Id="rId16" Type="http://schemas.openxmlformats.org/officeDocument/2006/relationships/hyperlink" Target="https://microdata.statistics.gov.rw/index.php/catalog/124" TargetMode="External"/><Relationship Id="rId17" Type="http://schemas.openxmlformats.org/officeDocument/2006/relationships/hyperlink" Target="https://www.microdata.statistics.gov.rw/index.php/catalog/124/download/1114" TargetMode="External"/><Relationship Id="rId18" Type="http://schemas.openxmlformats.org/officeDocument/2006/relationships/hyperlink" Target="https://www.minagri.gov.rw/fileadmin/user_upload/Minagri/Publications/Policies_and_strategies/PSTA_5_Abridged_version_Final.pdf" TargetMode="External"/><Relationship Id="rId19" Type="http://schemas.openxmlformats.org/officeDocument/2006/relationships/hyperlink" Target="https://www.minecofin.gov.rw/fileadmin/user_upload/Minecofin/Publications/STRATEGIES/NST_2/NST2_2024-2029_Abridged.pdf" TargetMode="External"/><Relationship Id="rId20" Type="http://schemas.openxmlformats.org/officeDocument/2006/relationships/hyperlink" Target="https://www.umushyikirano.gov.rw/fileadmin/user_upload/Umushyikirano/Imyanzuro/Resolutions_20th_UMUSHYIKIRANO_-_17_Feb_26.pdf" TargetMode="External"/><Relationship Id="rId21" Type="http://schemas.openxmlformats.org/officeDocument/2006/relationships/hyperlink" Target="https://statistics.gov.rw/sites/default/files/documents/2025-10/AHS%202024_Main%20report.pdf" TargetMode="External"/><Relationship Id="rId22" Type="http://schemas.openxmlformats.org/officeDocument/2006/relationships/hyperlink" Target="https://statistics.gov.rw/data-sources/surveys/Agricultural-Household-Survey/agricultural-household-survey-2024" TargetMode="External"/><Relationship Id="rId23" Type="http://schemas.openxmlformats.org/officeDocument/2006/relationships/hyperlink" Target="https://www.chc.ucsb.edu/data/chirps" TargetMode="External"/><Relationship Id="rId24" Type="http://schemas.openxmlformats.org/officeDocument/2006/relationships/hyperlink" Target="https://www.rab.gov.rw/1-1/news-details/rab-launches-rwanda-digital-soil-information-system-to-improve-agricultural-productivity" TargetMode="External"/><Relationship Id="rId25" Type="http://schemas.openxmlformats.org/officeDocument/2006/relationships/hyperlink" Target="https://statistics.gov.rw/sites/default/files/documents/2024-10/SAS_2024%20Season%20A%20Final%20Report%20%282%29_compressed.pdf" TargetMode="External"/><Relationship Id="rId26" Type="http://schemas.openxmlformats.org/officeDocument/2006/relationships/hyperlink" Target="https://gitlab.com/mukunzijonathan/umusaruro" TargetMode="External"/><Relationship Id="rId27" Type="http://schemas.openxmlformats.org/officeDocument/2006/relationships/hyperlink" Target="https://www.ktpress.rw/2026/03/kagame-criticizes-slow-progress-in-agriculture-urges-shift-from-promises-to-action/" TargetMode="External"/><Relationship Id="rId28" Type="http://schemas.openxmlformats.org/officeDocument/2006/relationships/hyperlink" Target="https://allafrica.com/stories/2026063000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