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Model B simulation speedup</w:t>
      </w:r>
    </w:p>
    <w:p>
      <w:r>
        <w:rPr>
          <w:b w:val="0"/>
          <w:sz w:val="18"/>
        </w:rPr>
        <w:t>Research brief for Dr Ratcliff  |  Aniket Chaudhari  |  15 October 2026</w:t>
      </w:r>
    </w:p>
    <w:p>
      <w:r>
        <w:rPr>
          <w:b w:val="0"/>
        </w:rPr>
        <w:t>We added blockwise early stopping to Gowrish's existing JAX and K-L implementation. Model B forward simulation was 10.9 times faster on the tested H100 workload. The simulation result is reproducible; faster fitting at acceptable accuracy is still unproven.</w:t>
      </w:r>
    </w:p>
    <w:p>
      <w:pPr>
        <w:pStyle w:val="Heading1"/>
      </w:pPr>
      <w:r>
        <w:t>What we changed</w:t>
      </w:r>
    </w:p>
    <w:p>
      <w:r>
        <w:rPr>
          <w:b w:val="0"/>
        </w:rPr>
        <w:t>The existing code generated noise fields through the full 400-step horizon. We generate 32-step blocks, check every step for the first decision, save finished trials, and repack only unfinished trials for the next block. The K-L approximation is unchanged.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46520" cy="859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rly-stop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8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Measured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1584"/>
        <w:gridCol w:w="1584"/>
        <w:gridCol w:w="1800"/>
      </w:tblGrid>
      <w:tr>
        <w:trPr>
          <w:cantSplit/>
          <w:tblHeader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36434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18"/>
              </w:rPr>
              <w:t>Comparison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36434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Before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36434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After</w:t>
            </w:r>
          </w:p>
        </w:tc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36434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Speedup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18"/>
              </w:rPr>
              <w:t>June JAX objective  FFT to K-L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10.66 s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4.71 s</w:t>
            </w:r>
          </w:p>
        </w:tc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2.26x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3F5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18"/>
              </w:rPr>
              <w:t>October H100 simulation  K-L to early stop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3F5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3.9447 s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3F5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0.3618 s</w:t>
            </w:r>
          </w:p>
        </w:tc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3F5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10.90x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18"/>
              </w:rPr>
              <w:t>Laptop RTX 3060 simulation  K-L to early stop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90.85 s</w:t>
            </w:r>
          </w:p>
        </w:tc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8.60 s</w:t>
            </w:r>
          </w:p>
        </w:tc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8"/>
              </w:rPr>
              <w:t>10.56x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These are different workloads and hardware comparisons; the speedup factors must not be multiplied. Historical Fortran timings provide context, but no exact overall Fortran-to-new-fit multiplier is established.</w:t>
      </w:r>
    </w:p>
    <w:p>
      <w:pPr>
        <w:pStyle w:val="Heading1"/>
      </w:pPr>
      <w:r>
        <w:t>How we confirmed the simulation result</w:t>
      </w:r>
    </w:p>
    <w:p>
      <w:r>
        <w:rPr>
          <w:b w:val="0"/>
        </w:rPr>
        <w:t>H100: 9,000 trials per condition, two conditions, seven warmed timed calls with GPU completion waits. Across 12 random seeds, all 216,000 paired trial comparisons matched the full-horizon blocked control exactly in both choice and reaction time. Independent original-versus-new distribution screens passed at this parameter setting. The 95% timing bootstrap interval was 10.83-10.91x.</w:t>
      </w:r>
    </w:p>
    <w:p>
      <w:r>
        <w:rPr>
          <w:b w:val="0"/>
        </w:rPr>
        <w:t>Laptop: three parameter settings and three seeds at 512 trials per condition gave 9,216 further exact paired comparisons and 8.94-10.78x simulation speedups. Settings, seeds, source fingerprints and hashed raw outputs are preserved.</w:t>
      </w:r>
    </w:p>
    <w:p>
      <w:pPr>
        <w:pStyle w:val="Heading1"/>
      </w:pPr>
      <w:r>
        <w:t>What remains before publication</w:t>
      </w:r>
    </w:p>
    <w:p>
      <w:r>
        <w:rPr>
          <w:b w:val="0"/>
        </w:rPr>
        <w:t>All eight laptop fits missed the accuracy target. CPU replay confirmed flat search plateaus, and diagnostics found noisy 512-trial scores and K-L coefficient reassignment under tiny parameter changes. June's recovery example started at 3.32% error, already below today's 5% recovery threshold. Repairing these fitting limitations still requires recovery tests.</w:t>
      </w:r>
    </w:p>
    <w:p>
      <w:r>
        <w:rPr>
          <w:b w:val="0"/>
        </w:rPr>
        <w:t>We can start a Model B simulation-methods draft now. Before finalizing its claims, agree scientific tolerances, expand parameter and boundary-case checks, and repeat matched benchmarks from a frozen version. A claim about faster accurate fitting additionally needs successful, quality-matched recovery studies.</w:t>
      </w:r>
    </w:p>
    <w:p>
      <w:r>
        <w:rPr>
          <w:b w:val="0"/>
          <w:sz w:val="18"/>
        </w:rPr>
        <w:t>Evidence and methods are documented in the accompanying report. The current result supports tested simulation acceleration, not universal equivalence or a new diffusion model.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80"/>
    </w:pPr>
    <w:rPr>
      <w:rFonts w:ascii="Calibri" w:hAnsi="Calibri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Model B simulation acceleration and validation</dc:subject>
  <dc:creator>Aniket Chaudhari</dc:creator>
  <cp:keywords>Model B, spatial diffusion, early stopping, JAX, validation</cp:keywords>
  <dc:description>generated by python-docx</dc:description>
  <cp:lastModifiedBy/>
  <cp:revision>1</cp:revision>
  <dcterms:created xsi:type="dcterms:W3CDTF">2026-10-15T00:00:00Z</dcterms:created>
  <dcterms:modified xsi:type="dcterms:W3CDTF">2013-12-23T23:15:00Z</dcterms:modified>
  <cp:category/>
</cp:coreProperties>
</file>