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Research Matchmaker</w:t>
      </w:r>
    </w:p>
    <w:p>
      <w:pPr>
        <w:pStyle w:val="Subtitle"/>
        <w:snapToGrid w:val="0"/>
      </w:pPr>
      <w:r>
        <w:t>学生科研探索 Agent 设计文档</w:t>
      </w:r>
    </w:p>
    <w:p>
      <w:pPr>
        <w:spacing w:after="220"/>
        <w:snapToGrid w:val="0"/>
      </w:pPr>
      <w:r>
        <w:rPr>
          <w:b/>
        </w:rPr>
        <w:t>帮助学生把“我想做科研，但不知道从哪里开始”，变成一个愿意尝试的方向、一份适合当前基础的准备计划，以及一次有依据的教授联系。</w:t>
      </w:r>
    </w:p>
    <w:p>
      <w:pPr>
        <w:pStyle w:val="Heading2"/>
        <w:snapToGrid w:val="0"/>
      </w:pPr>
      <w:r>
        <w:t>1 产品定位</w:t>
      </w:r>
    </w:p>
    <w:p>
      <w:pPr>
        <w:snapToGrid w:val="0"/>
      </w:pPr>
      <w:r>
        <w:t>Research Matchmaker 是面向本科生的科研探索伙伴。学生可以用日常语言描述兴趣，也可以选择上传简历或 CV。Agent 通过简短对话理解学生，帮助他们发现研究问题、比较方向，并决定下一步行动。</w:t>
      </w:r>
    </w:p>
    <w:p>
      <w:pPr>
        <w:snapToGrid w:val="0"/>
      </w:pPr>
      <w:r>
        <w:t>产品最重要的价值是降低开始科研的难度。第一次使用结束时，学生应该能回答：我想进一步了解什么？为什么值得尝试？这周可以做哪一件事？</w:t>
      </w:r>
    </w:p>
    <w:p>
      <w:pPr>
        <w:pStyle w:val="Heading2"/>
        <w:snapToGrid w:val="0"/>
      </w:pPr>
      <w:r>
        <w:t>要解决的问题</w:t>
      </w:r>
    </w:p>
    <w:p>
      <w:pPr>
        <w:snapToGrid w:val="0"/>
      </w:pPr>
      <w:r>
        <w:t>学生面对的困难往往连在一起：兴趣模糊，不熟悉学科中的细分方向，不知道自己的基础是否够用，也不知道如何找到并联系教授。只给出论文、课程或导师名单，仍然需要学生自己把这些信息连接起来。</w:t>
      </w:r>
    </w:p>
    <w:p>
      <w:pPr>
        <w:snapToGrid w:val="0"/>
      </w:pPr>
      <w:r>
        <w:t>Agent 负责解释这些信息之间的关系。例如，学生喜欢某类现实问题，可能对应哪些研究方向；已有课程能支持什么入门任务；哪位教授的工作与这些问题相关，以及联系时可以具体谈什么。</w:t>
      </w:r>
    </w:p>
    <w:p>
      <w:pPr>
        <w:pStyle w:val="Heading2"/>
        <w:snapToGrid w:val="0"/>
      </w:pPr>
      <w:r>
        <w:t>主要服务的学生</w:t>
      </w:r>
    </w:p>
    <w:p>
      <w:pPr>
        <w:pStyle w:val="ListBullet"/>
        <w:snapToGrid w:val="0"/>
      </w:pPr>
      <w:r>
        <w:t>尚未确定专业或兴趣方向，希望先了解科研是什么。</w:t>
      </w:r>
    </w:p>
    <w:p>
      <w:pPr>
        <w:pStyle w:val="ListBullet"/>
        <w:snapToGrid w:val="0"/>
      </w:pPr>
      <w:r>
        <w:t>知道自己喜欢计算机、生物等领域，但不熟悉具体研究问题。</w:t>
      </w:r>
    </w:p>
    <w:p>
      <w:pPr>
        <w:pStyle w:val="ListBullet"/>
        <w:snapToGrid w:val="0"/>
      </w:pPr>
      <w:r>
        <w:t>已有初步方向，希望判断准备重点并找到合适的教授。</w:t>
      </w:r>
    </w:p>
    <w:p>
      <w:pPr>
        <w:pStyle w:val="Heading2"/>
        <w:snapToGrid w:val="0"/>
      </w:pPr>
      <w:r>
        <w:t>一次体验的主要产出</w:t>
      </w:r>
    </w:p>
    <w:p>
      <w:pPr>
        <w:snapToGrid w:val="0"/>
      </w:pPr>
      <w:r>
        <w:t>一份可修改的兴趣总结、2–3 个候选方向、未来一周的行动计划，以及在学生需要时提供的教授候选和个性化联系邮件草稿。学生已经有明确目标时，可以直接进入准备或联系阶段。</w:t>
      </w:r>
    </w:p>
    <w:p>
      <w:pPr>
        <w:pStyle w:val="Heading2"/>
        <w:snapToGrid w:val="0"/>
      </w:pPr>
      <w:r>
        <w:t>Agent 的核心行为指引</w:t>
      </w:r>
    </w:p>
    <w:p>
      <w:pPr>
        <w:snapToGrid w:val="0"/>
      </w:pPr>
      <w:r>
        <w:t>用学生能理解的语言解释科研。把推荐当成可尝试的选项，尊重学生自己的选择。每轮对话优先解决一个阻碍，结束时给出清楚的下一步。涉及真实人物、资源和机会时提供来源；涉及个人经历时保持真实。</w:t>
      </w:r>
    </w:p>
    <w:p>
      <w:pPr>
        <w:pStyle w:val="Heading1"/>
        <w:pageBreakBefore/>
        <w:snapToGrid w:val="0"/>
      </w:pPr>
      <w:r>
        <w:t>2 从兴趣走向可尝试的方向</w:t>
      </w:r>
    </w:p>
    <w:p>
      <w:pPr>
        <w:pStyle w:val="Heading2"/>
        <w:snapToGrid w:val="0"/>
      </w:pPr>
      <w:r>
        <w:t>先理解学生</w:t>
      </w:r>
    </w:p>
    <w:p>
      <w:pPr>
        <w:snapToGrid w:val="0"/>
      </w:pPr>
      <w:r>
        <w:t>Agent 每次只问 1–2 个有助于推进的问题，避免一开始就要求填写长问卷。优先了解学生喜欢解决的问题、做过的事情、熟悉的课程或技能，以及每周能投入的时间。学校、年级和地点限制在寻找教授时补充。</w:t>
      </w:r>
    </w:p>
    <w:p>
      <w:pPr>
        <w:snapToGrid w:val="0"/>
      </w:pPr>
      <w:r>
        <w:t>如果学生说“不知道”，Agent 就给具体场景帮助比较，例如：你更想理解人的行为、分析数据，还是动手搭建东西？没有简历、没有研究经历或尚未确定专业，都可以继续。简历提取出的经历先由学生确认，不把课程名称直接当成已经掌握的能力。</w:t>
      </w:r>
    </w:p>
    <w:p>
      <w:pPr>
        <w:pStyle w:val="Heading2"/>
        <w:snapToGrid w:val="0"/>
      </w:pPr>
      <w:r>
        <w:t>推荐少量方向并解释原因</w:t>
      </w:r>
    </w:p>
    <w:p>
      <w:pPr>
        <w:snapToGrid w:val="0"/>
      </w:pPr>
      <w:r>
        <w:t>每个方向都应说明它研究什么、为什么与学生的表达有关、通常会做什么，以及一个低成本的尝试。下面是针对“会一点 Python，对人如何使用技术感兴趣”的示例，实际推荐会随对话调整。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31"/>
        <w:gridCol w:w="3600"/>
        <w:gridCol w:w="4291"/>
      </w:tblGrid>
      <w:tr>
        <w:trPr>
          <w:cantSplit/>
          <w:tblHeader/>
        </w:trPr>
        <w:tc>
          <w:tcPr>
            <w:tcW w:type="dxa" w:w="2131"/>
            <w:vAlign w:val="center"/>
            <w:shd w:fill="E8EE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/>
                <w:sz w:val="22"/>
              </w:rPr>
              <w:t>候选方向</w:t>
            </w:r>
          </w:p>
        </w:tc>
        <w:tc>
          <w:tcPr>
            <w:tcW w:type="dxa" w:w="3600"/>
            <w:vAlign w:val="center"/>
            <w:shd w:fill="E8EE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/>
                <w:sz w:val="22"/>
              </w:rPr>
              <w:t>具体问题</w:t>
            </w:r>
          </w:p>
        </w:tc>
        <w:tc>
          <w:tcPr>
            <w:tcW w:type="dxa" w:w="4291"/>
            <w:vAlign w:val="center"/>
            <w:shd w:fill="E8EE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/>
                <w:sz w:val="22"/>
              </w:rPr>
              <w:t>第一次尝试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人机交互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为什么同一个界面会让不同的人感到困惑</w:t>
            </w:r>
          </w:p>
        </w:tc>
        <w:tc>
          <w:tcPr>
            <w:tcW w:type="dxa" w:w="429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观察一个常用应用，记录 3 个使用障碍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推荐系统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推荐结果如何影响人们发现新内容</w:t>
            </w:r>
          </w:p>
        </w:tc>
        <w:tc>
          <w:tcPr>
            <w:tcW w:type="dxa" w:w="429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比较两种推荐方式，写下你想验证的问题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计算社会科学</w:t>
            </w:r>
          </w:p>
        </w:tc>
        <w:tc>
          <w:tcPr>
            <w:tcW w:type="dxa" w:w="360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如何通过数据研究群体行为</w:t>
            </w:r>
          </w:p>
        </w:tc>
        <w:tc>
          <w:tcPr>
            <w:tcW w:type="dxa" w:w="429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阅读一段研究摘要，找出问题和所用数据</w:t>
            </w:r>
          </w:p>
        </w:tc>
      </w:tr>
    </w:tbl>
    <w:p>
      <w:pPr>
        <w:spacing w:after="0" w:before="0" w:line="240" w:lineRule="auto"/>
        <w:snapToGrid w:val="0"/>
      </w:pPr>
      <w:r>
        <w:rPr>
          <w:sz w:val="8"/>
        </w:rPr>
      </w:r>
    </w:p>
    <w:p>
      <w:pPr>
        <w:snapToGrid w:val="0"/>
      </w:pPr>
      <w:r>
        <w:t>学生可以选择一个方向、比较两个方向，或说明都不感兴趣。Agent 根据反馈调整，不给出“你最适合某领域”的确定性结论，也不使用看似精确却无法解释的匹配分数。</w:t>
      </w:r>
    </w:p>
    <w:p>
      <w:pPr>
        <w:pStyle w:val="Heading2"/>
        <w:snapToGrid w:val="0"/>
      </w:pPr>
      <w:r>
        <w:t>把准备压缩成一周内能完成的行动</w:t>
      </w:r>
    </w:p>
    <w:p>
      <w:pPr>
        <w:snapToGrid w:val="0"/>
      </w:pPr>
      <w:r>
        <w:t>学生选定一个暂时方向后，Agent 结合当前基础推荐少量课程主题、入门材料或小项目。每项都说明用途、预计时间和完成后的产物；只有核实过的具体资源才附上链接。</w:t>
      </w:r>
    </w:p>
    <w:p>
      <w:pPr>
        <w:pStyle w:val="ListBullet"/>
        <w:snapToGrid w:val="0"/>
      </w:pPr>
      <w:r>
        <w:t>现在就能做：读一篇通俗介绍，写下一个感兴趣的问题。</w:t>
      </w:r>
    </w:p>
    <w:p>
      <w:pPr>
        <w:pStyle w:val="ListBullet"/>
        <w:snapToGrid w:val="0"/>
      </w:pPr>
      <w:r>
        <w:t>为下一步补足：学习与入门任务直接相关的概念，完成一个可展示的小产物。</w:t>
      </w:r>
    </w:p>
    <w:p>
      <w:pPr>
        <w:pStyle w:val="ListBullet"/>
        <w:snapToGrid w:val="0"/>
      </w:pPr>
      <w:r>
        <w:t>以后再深入：保留进阶课程，避免把完整课程表变成联系教授的前置门槛。</w:t>
      </w:r>
    </w:p>
    <w:p>
      <w:pPr>
        <w:snapToGrid w:val="0"/>
      </w:pPr>
      <w:r>
        <w:t>准备程度与具体任务有关。Agent 可以建议边学习边联系教授；进入某个实验室需要什么基础，应以公开要求或教授回复为准。</w:t>
      </w:r>
    </w:p>
    <w:p>
      <w:pPr>
        <w:pStyle w:val="Heading1"/>
        <w:pageBreakBefore/>
        <w:snapToGrid w:val="0"/>
      </w:pPr>
      <w:r>
        <w:t>3 找到教授并建立联系</w:t>
      </w:r>
    </w:p>
    <w:p>
      <w:pPr>
        <w:pStyle w:val="Heading2"/>
        <w:snapToGrid w:val="0"/>
      </w:pPr>
      <w:r>
        <w:t>把兴趣连接到真实研究</w:t>
      </w:r>
    </w:p>
    <w:p>
      <w:pPr>
        <w:snapToGrid w:val="0"/>
      </w:pPr>
      <w:r>
        <w:t>当学生希望寻找教授时，Agent 先确认学校或地区、感兴趣的问题、可投入时间，以及是否需要有报酬的机会，再查找学校官网、实验室页面和公开招募信息。优先提供 3 位有明确相关依据的候选；找不到足够合适的候选时，说明缺口。</w:t>
      </w:r>
    </w:p>
    <w:p>
      <w:pPr>
        <w:snapToGrid w:val="0"/>
      </w:pPr>
      <w:r>
        <w:t>每位候选展示研究问题的通俗解释、与学生兴趣的连接、学生可讨论的经历、需要补足的基础，以及信息来源和核查日期。推荐依据要指向具体项目、论文摘要或研究介绍，不能只因为双方都提到了“AI”。</w:t>
      </w:r>
    </w:p>
    <w:p>
      <w:pPr>
        <w:pStyle w:val="Heading2"/>
        <w:snapToGrid w:val="0"/>
      </w:pPr>
      <w:r>
        <w:t>清楚区分相关性与招募状态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64"/>
        <w:gridCol w:w="7358"/>
      </w:tblGrid>
      <w:tr>
        <w:trPr>
          <w:cantSplit/>
          <w:tblHeader/>
        </w:trPr>
        <w:tc>
          <w:tcPr>
            <w:tcW w:type="dxa" w:w="2664"/>
            <w:vAlign w:val="center"/>
            <w:shd w:fill="E8EE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/>
                <w:sz w:val="22"/>
              </w:rPr>
              <w:t>显示状态</w:t>
            </w:r>
          </w:p>
        </w:tc>
        <w:tc>
          <w:tcPr>
            <w:tcW w:type="dxa" w:w="7358"/>
            <w:vAlign w:val="center"/>
            <w:shd w:fill="E8EE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/>
                <w:sz w:val="22"/>
              </w:rPr>
              <w:t>含义与下一步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有公开招募信息</w:t>
            </w:r>
          </w:p>
        </w:tc>
        <w:tc>
          <w:tcPr>
            <w:tcW w:type="dxa" w:w="735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提供原始页面、申请要求和期限，并核实是否仍然有效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研究相关 招募未知</w:t>
            </w:r>
          </w:p>
        </w:tc>
        <w:tc>
          <w:tcPr>
            <w:tcW w:type="dxa" w:w="735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说明研究为何相关，建议向教授确认是否接收本科生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信息待核实</w:t>
            </w:r>
          </w:p>
        </w:tc>
        <w:tc>
          <w:tcPr>
            <w:tcW w:type="dxa" w:w="735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展示信息缺口，不把它列为已经确认的研究机会</w:t>
            </w:r>
          </w:p>
        </w:tc>
      </w:tr>
    </w:tbl>
    <w:p>
      <w:pPr>
        <w:spacing w:after="0" w:before="0" w:line="240" w:lineRule="auto"/>
        <w:snapToGrid w:val="0"/>
      </w:pPr>
      <w:r>
        <w:rPr>
          <w:sz w:val="8"/>
        </w:rPr>
      </w:r>
    </w:p>
    <w:p>
      <w:pPr>
        <w:snapToGrid w:val="0"/>
      </w:pPr>
      <w:r>
        <w:t>如果没有合适候选，Agent 可以在学生同意扩大范围后寻找相邻院系或校内本科科研项目，也可以给出进一步检索的方法。</w:t>
      </w:r>
    </w:p>
    <w:p>
      <w:pPr>
        <w:pStyle w:val="Heading2"/>
        <w:snapToGrid w:val="0"/>
      </w:pPr>
      <w:r>
        <w:t>帮助学生开始真实的交流</w:t>
      </w:r>
    </w:p>
    <w:p>
      <w:pPr>
        <w:snapToGrid w:val="0"/>
      </w:pPr>
      <w:r>
        <w:t>联系前，Agent 帮学生理解教授的一项工作，并形成一个自己真正想问的问题。可选择的接触方式包括 office hours、公开讲座后的交流、校内科研活动和邮件；具体安排以学校与教授公布的信息为准。</w:t>
      </w:r>
    </w:p>
    <w:p>
      <w:pPr>
        <w:snapToGrid w:val="0"/>
      </w:pPr>
      <w:r>
        <w:t>Cold email 草稿应包含简短自我介绍、与教授工作有关的具体兴趣、真实的相关经历，以及清楚且容易回应的请求。学生尚未完成的学习不能写成已有能力，未读过的论文不能写成“深入研读”。</w:t>
      </w:r>
    </w:p>
    <w:p>
      <w:pPr>
        <w:snapToGrid w:val="0"/>
      </w:pPr>
      <w:r>
        <w:t>发送前，学生确认收件人、研究描述、个人经历和附件。第一版产品提供复制或导出草稿，由学生自行发送。之后可粘贴回复，让 Agent 协助理解要求、准备见面问题或调整行动计划。</w:t>
      </w:r>
    </w:p>
    <w:p>
      <w:pPr>
        <w:pStyle w:val="Heading2"/>
        <w:snapToGrid w:val="0"/>
      </w:pPr>
      <w:r>
        <w:t>让第一次接触有准备</w:t>
      </w:r>
    </w:p>
    <w:p>
      <w:pPr>
        <w:snapToGrid w:val="0"/>
      </w:pPr>
      <w:r>
        <w:t>Agent 可生成一段简短自我介绍、2–3 个围绕研究内容的问题，以及需要确认的事项，例如本科生可能承担的任务、时间投入和指导方式。教授没有回复或暂不招人时，帮助学生选择下一步，不把结果解读为学生不适合科研。</w:t>
      </w:r>
    </w:p>
    <w:p>
      <w:pPr>
        <w:pStyle w:val="Heading1"/>
        <w:pageBreakBefore/>
        <w:snapToGrid w:val="0"/>
      </w:pPr>
      <w:r>
        <w:t>4 Agent 如何工作</w:t>
      </w:r>
    </w:p>
    <w:p>
      <w:pPr>
        <w:pStyle w:val="Heading2"/>
        <w:snapToGrid w:val="0"/>
      </w:pPr>
      <w:r>
        <w:t>一个主 Agent 配合少量工具</w:t>
      </w:r>
    </w:p>
    <w:p>
      <w:pPr>
        <w:snapToGrid w:val="0"/>
      </w:pPr>
      <w:r>
        <w:t>学生始终与同一个科研探索伙伴对话。主 Agent 负责理解目标、决定现在该问问题还是查资料，并把结果整理成下一步。第一版只需要四项能力，不必拆成多个独立 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64"/>
        <w:gridCol w:w="7358"/>
      </w:tblGrid>
      <w:tr>
        <w:trPr>
          <w:cantSplit/>
          <w:tblHeader/>
        </w:trPr>
        <w:tc>
          <w:tcPr>
            <w:tcW w:type="dxa" w:w="2664"/>
            <w:vAlign w:val="center"/>
            <w:shd w:fill="E8EE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/>
                <w:sz w:val="22"/>
              </w:rPr>
              <w:t>能力</w:t>
            </w:r>
          </w:p>
        </w:tc>
        <w:tc>
          <w:tcPr>
            <w:tcW w:type="dxa" w:w="7358"/>
            <w:vAlign w:val="center"/>
            <w:shd w:fill="E8EE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/>
                <w:sz w:val="22"/>
              </w:rPr>
              <w:t>作用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理解学生</w:t>
            </w:r>
          </w:p>
        </w:tc>
        <w:tc>
          <w:tcPr>
            <w:tcW w:type="dxa" w:w="735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从对话和可选简历中提取兴趣、经历、基础与约束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查找和核实资料</w:t>
            </w:r>
          </w:p>
        </w:tc>
        <w:tc>
          <w:tcPr>
            <w:tcW w:type="dxa" w:w="735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阅读课程、研究介绍、教授主页及公开招募页面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规划下一步</w:t>
            </w:r>
          </w:p>
        </w:tc>
        <w:tc>
          <w:tcPr>
            <w:tcW w:type="dxa" w:w="735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结合学生反馈生成少量可完成的探索或准备任务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协助表达</w:t>
            </w:r>
          </w:p>
        </w:tc>
        <w:tc>
          <w:tcPr>
            <w:tcW w:type="dxa" w:w="735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320" w:lineRule="exact"/>
              <w:snapToGrid w:val="0"/>
            </w:pPr>
            <w:r>
              <w:rPr>
                <w:b w:val="0"/>
                <w:sz w:val="22"/>
              </w:rPr>
              <w:t>整理研究兴趣、联系邮件和见面准备内容</w:t>
            </w:r>
          </w:p>
        </w:tc>
      </w:tr>
    </w:tbl>
    <w:p>
      <w:pPr>
        <w:spacing w:after="0" w:before="0" w:line="240" w:lineRule="auto"/>
        <w:snapToGrid w:val="0"/>
      </w:pPr>
      <w:r>
        <w:rPr>
          <w:sz w:val="8"/>
        </w:rPr>
      </w:r>
    </w:p>
    <w:p>
      <w:pPr>
        <w:pStyle w:val="Heading2"/>
        <w:snapToGrid w:val="0"/>
      </w:pPr>
      <w:r>
        <w:t>推进对话的判断方式</w:t>
      </w:r>
    </w:p>
    <w:p>
      <w:pPr>
        <w:snapToGrid w:val="0"/>
      </w:pPr>
      <w:r>
        <w:t>兴趣还模糊时，优先给具体例子和探索任务；已有方向但不了解研究时，帮助读懂一个研究问题；希望联系教授时，查找候选并准备表达。学生已经知道目标教授时，可以直接从该教授的公开研究开始。</w:t>
      </w:r>
    </w:p>
    <w:p>
      <w:pPr>
        <w:snapToGrid w:val="0"/>
      </w:pPr>
      <w:r>
        <w:t>每完成一次小任务，Agent 都询问哪些部分有趣、哪些部分困难，并据此更新方向与任务难度。找不到来源、页面无法访问或信息相互矛盾时，应指出缺口，请学生提供链接或保留待确认项，避免凭空补齐。</w:t>
      </w:r>
    </w:p>
    <w:p>
      <w:pPr>
        <w:pStyle w:val="Heading2"/>
        <w:snapToGrid w:val="0"/>
      </w:pPr>
      <w:r>
        <w:t>保留学生能理解和修改的记录</w:t>
      </w:r>
    </w:p>
    <w:p>
      <w:pPr>
        <w:snapToGrid w:val="0"/>
      </w:pPr>
      <w:r>
        <w:t>保存经学生确认的兴趣、已完成课程或项目、时间限制、当前候选方向和任务进度。每条信息区分“学生确认”“公开来源事实”和“Agent 推测”；推测应邀请学生确认。学生可以修改或清除记录，并选择是否保留简历。</w:t>
      </w:r>
    </w:p>
    <w:p>
      <w:pPr>
        <w:snapToGrid w:val="0"/>
      </w:pPr>
      <w:r>
        <w:t>用于查找教授的搜索词只需包含研究主题、学校等必要信息。简历原文和联系方式不应被默认带入外部搜索，也不应在没有学生确认的情况下发给教授。</w:t>
      </w:r>
    </w:p>
    <w:p>
      <w:pPr>
        <w:pStyle w:val="Heading2"/>
        <w:snapToGrid w:val="0"/>
      </w:pPr>
      <w:r>
        <w:t>界面保持简单</w:t>
      </w:r>
    </w:p>
    <w:p>
      <w:pPr>
        <w:snapToGrid w:val="0"/>
      </w:pPr>
      <w:r>
        <w:t>主界面由对话区和“我的下一步”区域组成。方向以简短卡片供比较；行动计划显示任务、预计时间和完成产物；教授卡片显示推荐依据、来源和招募状态。学生随时可以选择“换个方向”“降低难度”或“我想先联系教授”。</w:t>
      </w:r>
    </w:p>
    <w:p>
      <w:pPr>
        <w:pStyle w:val="Heading1"/>
        <w:pageBreakBefore/>
        <w:snapToGrid w:val="0"/>
      </w:pPr>
      <w:r>
        <w:t>5 示例体验与第一版范围</w:t>
      </w:r>
    </w:p>
    <w:p>
      <w:pPr>
        <w:pStyle w:val="Heading2"/>
        <w:snapToGrid w:val="0"/>
      </w:pPr>
      <w:r>
        <w:t>一次完整体验</w:t>
      </w:r>
    </w:p>
    <w:p>
      <w:pPr>
        <w:snapToGrid w:val="0"/>
      </w:pPr>
      <w:r>
        <w:t>示例学生是计算机专业大二学生，会一点 Python，喜欢教育相关问题，每周可以投入约 4 小时。这个场景用于演示产品流程。</w:t>
      </w:r>
    </w:p>
    <w:p>
      <w:pPr>
        <w:snapToGrid w:val="0"/>
      </w:pPr>
      <w:r>
        <w:t>学生说：“我想做 AI 相关研究，但是不知道从哪里开始。”Agent 追问：“你对 AI 本身的算法更感兴趣，还是想用它解决某个问题？有没有你一直想改善的学习体验？”</w:t>
      </w:r>
    </w:p>
    <w:p>
      <w:pPr>
        <w:snapToGrid w:val="0"/>
      </w:pPr>
      <w:r>
        <w:t>学生提到学习应用后，Agent 给出教育技术中的人机交互、学习分析和教育推荐系统三个选项。学生选择先探索学习分析，Agent 为本周安排：花 1 小时理解一个研究介绍，1 小时学习与问题相关的数据概念，再用 2 小时写一页问题笔记，说明想研究什么、需要哪些数据。</w:t>
      </w:r>
    </w:p>
    <w:p>
      <w:pPr>
        <w:snapToGrid w:val="0"/>
      </w:pPr>
      <w:r>
        <w:t>学生反馈自己更关心界面如何帮助学习后，Agent 调整到人机交互方向，并查找本校相关教授。找到有公开依据的候选后，帮助学生理解其研究，再生成邮件草稿。</w:t>
      </w:r>
    </w:p>
    <w:p>
      <w:pPr>
        <w:pStyle w:val="Heading2"/>
        <w:snapToGrid w:val="0"/>
      </w:pPr>
      <w:r>
        <w:t>联系邮件示例</w:t>
      </w:r>
    </w:p>
    <w:p>
      <w:pPr>
        <w:snapToGrid w:val="0"/>
      </w:pPr>
      <w:r>
        <w:t>主题：本科生对 [研究主题] 的兴趣与交流请求</w:t>
      </w:r>
    </w:p>
    <w:p>
      <w:pPr>
        <w:snapToGrid w:val="0"/>
      </w:pPr>
      <w:r>
        <w:t>[教授姓名] 教授您好：</w:t>
        <w:br/>
        <w:t>我是 [学校] 计算机专业大二学生 [姓名]，对技术如何支持学习很感兴趣。我在您的 [已核实项目页面] 中看到 [具体研究问题]，想进一步了解 [学生真实想问的问题]。</w:t>
        <w:br/>
        <w:t>我有基础 Python 经验，目前每周可投入约 4 小时。我想请教本科生是否有参与相关工作的可能，或您建议我先做哪些准备。若方便，是否可以安排一次简短交流？</w:t>
        <w:br/>
        <w:t>感谢您的时间。</w:t>
        <w:br/>
        <w:t>[姓名]</w:t>
      </w:r>
    </w:p>
    <w:p>
      <w:pPr>
        <w:snapToGrid w:val="0"/>
      </w:pPr>
      <w:r>
        <w:t>所有方括号内容都需要基于真实信息填写并确认。</w:t>
      </w:r>
    </w:p>
    <w:p>
      <w:pPr>
        <w:pStyle w:val="Heading2"/>
        <w:snapToGrid w:val="0"/>
      </w:pPr>
      <w:r>
        <w:t>适合 Hackathon 的第一版</w:t>
      </w:r>
    </w:p>
    <w:p>
      <w:pPr>
        <w:snapToGrid w:val="0"/>
      </w:pPr>
      <w:r>
        <w:t>聚焦一所学校和少量研究方向，用经过人工核实的公开教授资料支持演示。实现一条完整流程：简短对话 → 2–3 个方向 → 一周计划 → 教授候选 → 邮件草稿。优先支持文字输入；简历解析可作为增强功能。自动发送、全校实时机会追踪和长期课程管理留到后续。</w:t>
      </w:r>
    </w:p>
    <w:p>
      <w:pPr>
        <w:pStyle w:val="Heading2"/>
        <w:snapToGrid w:val="0"/>
      </w:pPr>
      <w:r>
        <w:t>如何判断设计是否有效</w:t>
      </w:r>
    </w:p>
    <w:p>
      <w:pPr>
        <w:snapToGrid w:val="0"/>
      </w:pPr>
      <w:r>
        <w:t>邀请约 5–10 位目标学生试用，观察他们能否解释一个想尝试的方向、是否知道本周第一步、是否完成探索任务，以及是否认为推荐理由贴合自己。同时人工检查教授信息和邮件的真实性。教授回复率可作后续参考；第一版的重点是学生是否更容易开始行动。</w:t>
      </w:r>
    </w:p>
    <w:sectPr w:rsidR="00FC693F" w:rsidRPr="0006063C" w:rsidSect="00034616">
      <w:pgSz w:w="12240" w:h="15840"/>
      <w:pgMar w:top="1037" w:right="1109" w:bottom="950" w:left="11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Arial" w:hAnsi="Arial" w:cs="Arial" w:eastAsia="Arial Unicode MS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64" w:lineRule="auto"/>
      <w:outlineLvl w:val="0"/>
    </w:pPr>
    <w:rPr>
      <w:rFonts w:ascii="Arial" w:hAnsi="Arial" w:cs="Arial" w:eastAsia="Arial Unicode MS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64" w:lineRule="auto"/>
      <w:outlineLvl w:val="1"/>
    </w:pPr>
    <w:rPr>
      <w:rFonts w:ascii="Arial" w:hAnsi="Arial" w:cs="Arial" w:eastAsia="Arial Unicode MS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64" w:lineRule="auto" w:before="0"/>
      <w:contextualSpacing/>
    </w:pPr>
    <w:rPr>
      <w:rFonts w:ascii="Arial" w:hAnsi="Arial" w:cs="Arial" w:eastAsia="Arial Unicode MS"/>
      <w:b/>
      <w:i w:val="0"/>
      <w:color w:val="000000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264" w:lineRule="auto" w:before="0" w:after="320"/>
    </w:pPr>
    <w:rPr>
      <w:rFonts w:ascii="Arial" w:hAnsi="Arial" w:cs="Arial" w:eastAsia="Arial Unicode MS"/>
      <w:b w:val="0"/>
      <w:i w:val="0"/>
      <w:iCs/>
      <w:color w:val="000000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40" w:lineRule="exact"/>
      <w:contextualSpacing/>
    </w:pPr>
    <w:rPr>
      <w:rFonts w:ascii="Arial" w:hAnsi="Arial" w:cs="Arial" w:eastAsia="Arial Unicode MS"/>
      <w:color w:val="000000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Matchmaker 学生科研探索 Agent 设计文档</dc:title>
  <dc:subject>Product concept and student experience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