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Research Matchmaker</w:t>
      </w:r>
    </w:p>
    <w:p>
      <w:pPr>
        <w:pStyle w:val="Subtitle"/>
        <w:snapToGrid w:val="0"/>
      </w:pPr>
      <w:r>
        <w:t>Agent Design for Student Research Exploration</w:t>
      </w:r>
    </w:p>
    <w:p>
      <w:pPr>
        <w:spacing w:after="220"/>
        <w:snapToGrid w:val="0"/>
      </w:pPr>
      <w:r>
        <w:rPr>
          <w:b/>
        </w:rPr>
        <w:t>Help students turn “I want to do research, but I do not know where to start” into a direction to explore, a preparation plan suited to their background, and a thoughtful first contact with a professor.</w:t>
      </w:r>
    </w:p>
    <w:p>
      <w:pPr>
        <w:pStyle w:val="Heading2"/>
        <w:snapToGrid w:val="0"/>
      </w:pPr>
      <w:r>
        <w:t>1 Product purpose</w:t>
      </w:r>
    </w:p>
    <w:p>
      <w:pPr>
        <w:snapToGrid w:val="0"/>
      </w:pPr>
      <w:r>
        <w:t>Research Matchmaker is a research exploration companion for undergraduates. Students describe their interests in everyday language and can optionally upload a resume or CV. Through a short conversation, the agent helps them discover research questions, compare directions, and decide what to do next.</w:t>
      </w:r>
    </w:p>
    <w:p>
      <w:pPr>
        <w:snapToGrid w:val="0"/>
      </w:pPr>
      <w:r>
        <w:t>The main value is making research easier to begin. After the first session, a student should be able to answer: What would I like to explore? Why is it worth trying? What is one thing I can do this week?</w:t>
      </w:r>
    </w:p>
    <w:p>
      <w:pPr>
        <w:pStyle w:val="Heading2"/>
        <w:snapToGrid w:val="0"/>
      </w:pPr>
      <w:r>
        <w:t>The problem</w:t>
      </w:r>
    </w:p>
    <w:p>
      <w:pPr>
        <w:snapToGrid w:val="0"/>
      </w:pPr>
      <w:r>
        <w:t>Students may have unclear interests, little knowledge of subfields, uncertainty about their preparation, and no clear way to approach professors. A list of papers, courses, or faculty names still leaves them to connect the information themselves.</w:t>
      </w:r>
    </w:p>
    <w:p>
      <w:pPr>
        <w:snapToGrid w:val="0"/>
      </w:pPr>
      <w:r>
        <w:t>The agent explains those connections: which research areas relate to a real problem the student cares about, what their existing coursework supports, whose work is relevant, and what they could discuss when reaching out.</w:t>
      </w:r>
    </w:p>
    <w:p>
      <w:pPr>
        <w:pStyle w:val="Heading2"/>
        <w:snapToGrid w:val="0"/>
      </w:pPr>
      <w:r>
        <w:t>Who it serves</w:t>
      </w:r>
    </w:p>
    <w:p>
      <w:pPr>
        <w:pStyle w:val="ListBullet"/>
        <w:snapToGrid w:val="0"/>
      </w:pPr>
      <w:r>
        <w:t>Students who have not chosen a major or direction and want to understand research.</w:t>
      </w:r>
    </w:p>
    <w:p>
      <w:pPr>
        <w:pStyle w:val="ListBullet"/>
        <w:snapToGrid w:val="0"/>
      </w:pPr>
      <w:r>
        <w:t>Students interested in a broad field such as computing or biology who do not know its specific research questions.</w:t>
      </w:r>
    </w:p>
    <w:p>
      <w:pPr>
        <w:pStyle w:val="ListBullet"/>
        <w:snapToGrid w:val="0"/>
      </w:pPr>
      <w:r>
        <w:t>Students with an initial direction who need help preparing and identifying professors.</w:t>
      </w:r>
    </w:p>
    <w:p>
      <w:pPr>
        <w:pStyle w:val="Heading2"/>
        <w:snapToGrid w:val="0"/>
      </w:pPr>
      <w:r>
        <w:t>What a session produces</w:t>
      </w:r>
    </w:p>
    <w:p>
      <w:pPr>
        <w:snapToGrid w:val="0"/>
      </w:pPr>
      <w:r>
        <w:t>An editable interest summary, 2–3 possible directions, and an action plan for the coming week. When useful, the agent also provides professor suggestions and a personalized outreach draft. Students with a clear goal can move directly to preparation or outreach.</w:t>
      </w:r>
    </w:p>
    <w:p>
      <w:pPr>
        <w:pStyle w:val="Heading2"/>
        <w:snapToGrid w:val="0"/>
      </w:pPr>
      <w:r>
        <w:t>Core behavior instructions</w:t>
      </w:r>
    </w:p>
    <w:p>
      <w:pPr>
        <w:snapToGrid w:val="0"/>
      </w:pPr>
      <w:r>
        <w:t>Explain research in accessible language. Present recommendations as options to try and respect the student’s choice. Address one obstacle at a time and end with a clear next step. Provide sources for real people, resources, and opportunities, and keep all claims about the student truthful.</w:t>
      </w:r>
    </w:p>
    <w:p>
      <w:pPr>
        <w:pStyle w:val="Heading1"/>
        <w:pageBreakBefore/>
        <w:snapToGrid w:val="0"/>
      </w:pPr>
      <w:r>
        <w:t>2 From interests to a direction to try</w:t>
      </w:r>
    </w:p>
    <w:p>
      <w:pPr>
        <w:pStyle w:val="Heading2"/>
        <w:snapToGrid w:val="0"/>
      </w:pPr>
      <w:r>
        <w:t>Understand the student</w:t>
      </w:r>
    </w:p>
    <w:p>
      <w:pPr>
        <w:snapToGrid w:val="0"/>
      </w:pPr>
      <w:r>
        <w:t>Ask only 1–2 useful questions at a time. Start with problems the student enjoys, things they have done, familiar courses or skills, and available time. Ask about their school, year, and location constraints when these become relevant to finding professors.</w:t>
      </w:r>
    </w:p>
    <w:p>
      <w:pPr>
        <w:snapToGrid w:val="0"/>
      </w:pPr>
      <w:r>
        <w:t>When a student says “I do not know,” offer concrete comparisons: Would you rather understand people, analyze data, or build something? Students can continue without a resume, research experience, or a declared major. Ask them to confirm details extracted from a resume; a course title alone does not prove mastery.</w:t>
      </w:r>
    </w:p>
    <w:p>
      <w:pPr>
        <w:pStyle w:val="Heading2"/>
        <w:snapToGrid w:val="0"/>
      </w:pPr>
      <w:r>
        <w:t>Offer a few directions with reasons</w:t>
      </w:r>
    </w:p>
    <w:p>
      <w:pPr>
        <w:snapToGrid w:val="0"/>
      </w:pPr>
      <w:r>
        <w:t>For each direction, explain its questions, why it connects to the student, what the work might involve, and a small way to try it. The following examples fit a student with basic Python who is curious about how people use technology. Actual suggestions change with their feedback.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31"/>
        <w:gridCol w:w="3600"/>
        <w:gridCol w:w="4291"/>
      </w:tblGrid>
      <w:tr>
        <w:trPr>
          <w:cantSplit/>
          <w:tblHeader/>
        </w:trPr>
        <w:tc>
          <w:tcPr>
            <w:tcW w:type="dxa" w:w="2131"/>
            <w:vAlign w:val="center"/>
            <w:shd w:fill="E8EEF2"/>
            <w:tcMar>
              <w:top w:w="100" w:type="dxa"/>
              <w:left w:w="100" w:type="dxa"/>
              <w:bottom w:w="100" w:type="dxa"/>
              <w:right w:w="100" w:type="dxa"/>
            </w:tcMar>
          </w:tcPr>
          <w:p>
            <w:pPr>
              <w:spacing w:after="0" w:before="0" w:line="264" w:lineRule="auto"/>
              <w:snapToGrid w:val="0"/>
            </w:pPr>
            <w:r>
              <w:rPr>
                <w:b/>
                <w:sz w:val="21"/>
              </w:rPr>
              <w:t>Direction</w:t>
            </w:r>
          </w:p>
        </w:tc>
        <w:tc>
          <w:tcPr>
            <w:tcW w:type="dxa" w:w="3600"/>
            <w:vAlign w:val="center"/>
            <w:shd w:fill="E8EEF2"/>
            <w:tcMar>
              <w:top w:w="100" w:type="dxa"/>
              <w:left w:w="100" w:type="dxa"/>
              <w:bottom w:w="100" w:type="dxa"/>
              <w:right w:w="100" w:type="dxa"/>
            </w:tcMar>
          </w:tcPr>
          <w:p>
            <w:pPr>
              <w:spacing w:after="0" w:before="0" w:line="264" w:lineRule="auto"/>
              <w:snapToGrid w:val="0"/>
            </w:pPr>
            <w:r>
              <w:rPr>
                <w:b/>
                <w:sz w:val="21"/>
              </w:rPr>
              <w:t>Example question</w:t>
            </w:r>
          </w:p>
        </w:tc>
        <w:tc>
          <w:tcPr>
            <w:tcW w:type="dxa" w:w="4291"/>
            <w:vAlign w:val="center"/>
            <w:shd w:fill="E8EEF2"/>
            <w:tcMar>
              <w:top w:w="100" w:type="dxa"/>
              <w:left w:w="100" w:type="dxa"/>
              <w:bottom w:w="100" w:type="dxa"/>
              <w:right w:w="100" w:type="dxa"/>
            </w:tcMar>
          </w:tcPr>
          <w:p>
            <w:pPr>
              <w:spacing w:after="0" w:before="0" w:line="264" w:lineRule="auto"/>
              <w:snapToGrid w:val="0"/>
            </w:pPr>
            <w:r>
              <w:rPr>
                <w:b/>
                <w:sz w:val="21"/>
              </w:rPr>
              <w:t>First exploration</w:t>
            </w:r>
          </w:p>
        </w:tc>
      </w:tr>
      <w:tr>
        <w:trPr>
          <w:cantSplit/>
        </w:trPr>
        <w:tc>
          <w:tcPr>
            <w:tcW w:type="dxa" w:w="2131"/>
            <w:vAlign w:val="center"/>
            <w:shd w:fill="FFFFFF"/>
            <w:tcMar>
              <w:top w:w="100" w:type="dxa"/>
              <w:left w:w="100" w:type="dxa"/>
              <w:bottom w:w="100" w:type="dxa"/>
              <w:right w:w="100" w:type="dxa"/>
            </w:tcMar>
          </w:tcPr>
          <w:p>
            <w:pPr>
              <w:spacing w:after="0" w:before="0" w:line="264" w:lineRule="auto"/>
              <w:snapToGrid w:val="0"/>
            </w:pPr>
            <w:r>
              <w:rPr>
                <w:b w:val="0"/>
                <w:sz w:val="21"/>
              </w:rPr>
              <w:t>Human computer interaction</w:t>
            </w:r>
          </w:p>
        </w:tc>
        <w:tc>
          <w:tcPr>
            <w:tcW w:type="dxa" w:w="3600"/>
            <w:vAlign w:val="center"/>
            <w:shd w:fill="FFFFFF"/>
            <w:tcMar>
              <w:top w:w="100" w:type="dxa"/>
              <w:left w:w="100" w:type="dxa"/>
              <w:bottom w:w="100" w:type="dxa"/>
              <w:right w:w="100" w:type="dxa"/>
            </w:tcMar>
          </w:tcPr>
          <w:p>
            <w:pPr>
              <w:spacing w:after="0" w:before="0" w:line="264" w:lineRule="auto"/>
              <w:snapToGrid w:val="0"/>
            </w:pPr>
            <w:r>
              <w:rPr>
                <w:b w:val="0"/>
                <w:sz w:val="21"/>
              </w:rPr>
              <w:t>Why do people find the same interface confusing in different ways?</w:t>
            </w:r>
          </w:p>
        </w:tc>
        <w:tc>
          <w:tcPr>
            <w:tcW w:type="dxa" w:w="4291"/>
            <w:vAlign w:val="center"/>
            <w:shd w:fill="FFFFFF"/>
            <w:tcMar>
              <w:top w:w="100" w:type="dxa"/>
              <w:left w:w="100" w:type="dxa"/>
              <w:bottom w:w="100" w:type="dxa"/>
              <w:right w:w="100" w:type="dxa"/>
            </w:tcMar>
          </w:tcPr>
          <w:p>
            <w:pPr>
              <w:spacing w:after="0" w:before="0" w:line="264" w:lineRule="auto"/>
              <w:snapToGrid w:val="0"/>
            </w:pPr>
            <w:r>
              <w:rPr>
                <w:b w:val="0"/>
                <w:sz w:val="21"/>
              </w:rPr>
              <w:t>Observe a familiar app and note 3 usability obstacles.</w:t>
            </w:r>
          </w:p>
        </w:tc>
      </w:tr>
      <w:tr>
        <w:trPr>
          <w:cantSplit/>
        </w:trPr>
        <w:tc>
          <w:tcPr>
            <w:tcW w:type="dxa" w:w="2131"/>
            <w:vAlign w:val="center"/>
            <w:shd w:fill="FFFFFF"/>
            <w:tcMar>
              <w:top w:w="100" w:type="dxa"/>
              <w:left w:w="100" w:type="dxa"/>
              <w:bottom w:w="100" w:type="dxa"/>
              <w:right w:w="100" w:type="dxa"/>
            </w:tcMar>
          </w:tcPr>
          <w:p>
            <w:pPr>
              <w:spacing w:after="0" w:before="0" w:line="264" w:lineRule="auto"/>
              <w:snapToGrid w:val="0"/>
            </w:pPr>
            <w:r>
              <w:rPr>
                <w:b w:val="0"/>
                <w:sz w:val="21"/>
              </w:rPr>
              <w:t>Recommender systems</w:t>
            </w:r>
          </w:p>
        </w:tc>
        <w:tc>
          <w:tcPr>
            <w:tcW w:type="dxa" w:w="3600"/>
            <w:vAlign w:val="center"/>
            <w:shd w:fill="FFFFFF"/>
            <w:tcMar>
              <w:top w:w="100" w:type="dxa"/>
              <w:left w:w="100" w:type="dxa"/>
              <w:bottom w:w="100" w:type="dxa"/>
              <w:right w:w="100" w:type="dxa"/>
            </w:tcMar>
          </w:tcPr>
          <w:p>
            <w:pPr>
              <w:spacing w:after="0" w:before="0" w:line="264" w:lineRule="auto"/>
              <w:snapToGrid w:val="0"/>
            </w:pPr>
            <w:r>
              <w:rPr>
                <w:b w:val="0"/>
                <w:sz w:val="21"/>
              </w:rPr>
              <w:t>How do recommendations affect discovery of new content?</w:t>
            </w:r>
          </w:p>
        </w:tc>
        <w:tc>
          <w:tcPr>
            <w:tcW w:type="dxa" w:w="4291"/>
            <w:vAlign w:val="center"/>
            <w:shd w:fill="FFFFFF"/>
            <w:tcMar>
              <w:top w:w="100" w:type="dxa"/>
              <w:left w:w="100" w:type="dxa"/>
              <w:bottom w:w="100" w:type="dxa"/>
              <w:right w:w="100" w:type="dxa"/>
            </w:tcMar>
          </w:tcPr>
          <w:p>
            <w:pPr>
              <w:spacing w:after="0" w:before="0" w:line="264" w:lineRule="auto"/>
              <w:snapToGrid w:val="0"/>
            </w:pPr>
            <w:r>
              <w:rPr>
                <w:b w:val="0"/>
                <w:sz w:val="21"/>
              </w:rPr>
              <w:t>Compare two recommendation approaches and write a question to investigate.</w:t>
            </w:r>
          </w:p>
        </w:tc>
      </w:tr>
      <w:tr>
        <w:trPr>
          <w:cantSplit/>
        </w:trPr>
        <w:tc>
          <w:tcPr>
            <w:tcW w:type="dxa" w:w="2131"/>
            <w:vAlign w:val="center"/>
            <w:shd w:fill="FFFFFF"/>
            <w:tcMar>
              <w:top w:w="100" w:type="dxa"/>
              <w:left w:w="100" w:type="dxa"/>
              <w:bottom w:w="100" w:type="dxa"/>
              <w:right w:w="100" w:type="dxa"/>
            </w:tcMar>
          </w:tcPr>
          <w:p>
            <w:pPr>
              <w:spacing w:after="0" w:before="0" w:line="264" w:lineRule="auto"/>
              <w:snapToGrid w:val="0"/>
            </w:pPr>
            <w:r>
              <w:rPr>
                <w:b w:val="0"/>
                <w:sz w:val="21"/>
              </w:rPr>
              <w:t>Computational social science</w:t>
            </w:r>
          </w:p>
        </w:tc>
        <w:tc>
          <w:tcPr>
            <w:tcW w:type="dxa" w:w="3600"/>
            <w:vAlign w:val="center"/>
            <w:shd w:fill="FFFFFF"/>
            <w:tcMar>
              <w:top w:w="100" w:type="dxa"/>
              <w:left w:w="100" w:type="dxa"/>
              <w:bottom w:w="100" w:type="dxa"/>
              <w:right w:w="100" w:type="dxa"/>
            </w:tcMar>
          </w:tcPr>
          <w:p>
            <w:pPr>
              <w:spacing w:after="0" w:before="0" w:line="264" w:lineRule="auto"/>
              <w:snapToGrid w:val="0"/>
            </w:pPr>
            <w:r>
              <w:rPr>
                <w:b w:val="0"/>
                <w:sz w:val="21"/>
              </w:rPr>
              <w:t>How can data help us study group behavior?</w:t>
            </w:r>
          </w:p>
        </w:tc>
        <w:tc>
          <w:tcPr>
            <w:tcW w:type="dxa" w:w="4291"/>
            <w:vAlign w:val="center"/>
            <w:shd w:fill="FFFFFF"/>
            <w:tcMar>
              <w:top w:w="100" w:type="dxa"/>
              <w:left w:w="100" w:type="dxa"/>
              <w:bottom w:w="100" w:type="dxa"/>
              <w:right w:w="100" w:type="dxa"/>
            </w:tcMar>
          </w:tcPr>
          <w:p>
            <w:pPr>
              <w:spacing w:after="0" w:before="0" w:line="264" w:lineRule="auto"/>
              <w:snapToGrid w:val="0"/>
            </w:pPr>
            <w:r>
              <w:rPr>
                <w:b w:val="0"/>
                <w:sz w:val="21"/>
              </w:rPr>
              <w:t>Read a research abstract and identify its question and data.</w:t>
            </w:r>
          </w:p>
        </w:tc>
      </w:tr>
    </w:tbl>
    <w:p>
      <w:pPr>
        <w:spacing w:after="0" w:before="0" w:line="240" w:lineRule="auto"/>
        <w:snapToGrid w:val="0"/>
      </w:pPr>
      <w:r>
        <w:rPr>
          <w:sz w:val="8"/>
        </w:rPr>
      </w:r>
    </w:p>
    <w:p>
      <w:pPr>
        <w:snapToGrid w:val="0"/>
      </w:pPr>
      <w:r>
        <w:t>Students can choose one direction, compare two, or reject all of them. Revise the suggestions accordingly. Avoid declaring a single “best fit” or presenting precise match scores without an explainable basis.</w:t>
      </w:r>
    </w:p>
    <w:p>
      <w:pPr>
        <w:pStyle w:val="Heading2"/>
        <w:snapToGrid w:val="0"/>
      </w:pPr>
      <w:r>
        <w:t>Make preparation manageable</w:t>
      </w:r>
    </w:p>
    <w:p>
      <w:pPr>
        <w:snapToGrid w:val="0"/>
      </w:pPr>
      <w:r>
        <w:t>After a tentative choice, suggest a few course topics, introductory resources, or small projects. Explain each task’s purpose, estimated effort, and expected output. Link specific resources only after verifying them.</w:t>
      </w:r>
    </w:p>
    <w:p>
      <w:pPr>
        <w:pStyle w:val="ListBullet"/>
        <w:snapToGrid w:val="0"/>
      </w:pPr>
      <w:r>
        <w:t>Start now: read an accessible introduction and write one question of interest.</w:t>
      </w:r>
    </w:p>
    <w:p>
      <w:pPr>
        <w:pStyle w:val="ListBullet"/>
        <w:snapToGrid w:val="0"/>
      </w:pPr>
      <w:r>
        <w:t>Prepare for the next step: learn concepts directly needed for a starter task and create a small piece of work to discuss.</w:t>
      </w:r>
    </w:p>
    <w:p>
      <w:pPr>
        <w:pStyle w:val="ListBullet"/>
        <w:snapToGrid w:val="0"/>
      </w:pPr>
      <w:r>
        <w:t>Explore later: keep advanced courses optional rather than making a full curriculum a prerequisite for outreach.</w:t>
      </w:r>
    </w:p>
    <w:p>
      <w:pPr>
        <w:snapToGrid w:val="0"/>
      </w:pPr>
      <w:r>
        <w:t>Readiness depends on the task. Learning and contacting professors can happen together; a lab’s actual requirements should come from its published information or a professor’s response.</w:t>
      </w:r>
    </w:p>
    <w:p>
      <w:pPr>
        <w:pStyle w:val="Heading1"/>
        <w:pageBreakBefore/>
        <w:snapToGrid w:val="0"/>
      </w:pPr>
      <w:r>
        <w:t>3 Finding professors and making contact</w:t>
      </w:r>
    </w:p>
    <w:p>
      <w:pPr>
        <w:pStyle w:val="Heading2"/>
        <w:snapToGrid w:val="0"/>
      </w:pPr>
      <w:r>
        <w:t>Connect interests to real research</w:t>
      </w:r>
    </w:p>
    <w:p>
      <w:pPr>
        <w:snapToGrid w:val="0"/>
      </w:pPr>
      <w:r>
        <w:t>When a student wants professor suggestions, confirm their school or region, research interests, available time, and whether they need a paid opportunity. Search university websites, lab pages, and public recruitment notices. Aim for 3 relevant candidates with clear supporting evidence; explain any shortage.</w:t>
      </w:r>
    </w:p>
    <w:p>
      <w:pPr>
        <w:snapToGrid w:val="0"/>
      </w:pPr>
      <w:r>
        <w:t>Each candidate includes a plain explanation of their research, the connection to the student, relevant student experience to discuss, preparation needs, and sources with a date checked. Base the recommendation on a specific project, abstract, or research description, rather than a shared broad keyword such as “AI.”</w:t>
      </w:r>
    </w:p>
    <w:p>
      <w:pPr>
        <w:pStyle w:val="Heading2"/>
        <w:snapToGrid w:val="0"/>
      </w:pPr>
      <w:r>
        <w:t>Separate relevance from recruitment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7358"/>
      </w:tblGrid>
      <w:tr>
        <w:trPr>
          <w:cantSplit/>
          <w:tblHeader/>
        </w:trPr>
        <w:tc>
          <w:tcPr>
            <w:tcW w:type="dxa" w:w="2664"/>
            <w:vAlign w:val="center"/>
            <w:shd w:fill="E8EEF2"/>
            <w:tcMar>
              <w:top w:w="100" w:type="dxa"/>
              <w:left w:w="100" w:type="dxa"/>
              <w:bottom w:w="100" w:type="dxa"/>
              <w:right w:w="100" w:type="dxa"/>
            </w:tcMar>
          </w:tcPr>
          <w:p>
            <w:pPr>
              <w:spacing w:after="0" w:before="0" w:line="264" w:lineRule="auto"/>
              <w:snapToGrid w:val="0"/>
            </w:pPr>
            <w:r>
              <w:rPr>
                <w:b/>
                <w:sz w:val="21"/>
              </w:rPr>
              <w:t>Displayed status</w:t>
            </w:r>
          </w:p>
        </w:tc>
        <w:tc>
          <w:tcPr>
            <w:tcW w:type="dxa" w:w="7358"/>
            <w:vAlign w:val="center"/>
            <w:shd w:fill="E8EEF2"/>
            <w:tcMar>
              <w:top w:w="100" w:type="dxa"/>
              <w:left w:w="100" w:type="dxa"/>
              <w:bottom w:w="100" w:type="dxa"/>
              <w:right w:w="100" w:type="dxa"/>
            </w:tcMar>
          </w:tcPr>
          <w:p>
            <w:pPr>
              <w:spacing w:after="0" w:before="0" w:line="264" w:lineRule="auto"/>
              <w:snapToGrid w:val="0"/>
            </w:pPr>
            <w:r>
              <w:rPr>
                <w:b/>
                <w:sz w:val="21"/>
              </w:rPr>
              <w:t>Meaning and next step</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Public opening found</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Link the original notice, requirements, and deadline; check whether it remains active.</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Relevant research</w:t>
              <w:br/>
              <w:t>Availability unknown</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Explain the connection and suggest asking whether the professor accepts undergraduates.</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Needs verification</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Show the information gap and do not present it as a confirmed opportunity.</w:t>
            </w:r>
          </w:p>
        </w:tc>
      </w:tr>
    </w:tbl>
    <w:p>
      <w:pPr>
        <w:spacing w:after="0" w:before="0" w:line="240" w:lineRule="auto"/>
        <w:snapToGrid w:val="0"/>
      </w:pPr>
      <w:r>
        <w:rPr>
          <w:sz w:val="8"/>
        </w:rPr>
      </w:r>
    </w:p>
    <w:p>
      <w:pPr>
        <w:snapToGrid w:val="0"/>
      </w:pPr>
      <w:r>
        <w:t>If no suitable candidates appear, ask whether the student wants to broaden the search to adjacent departments or campus undergraduate research programs. Alternatively, explain how to continue searching.</w:t>
      </w:r>
    </w:p>
    <w:p>
      <w:pPr>
        <w:pStyle w:val="Heading2"/>
        <w:snapToGrid w:val="0"/>
      </w:pPr>
      <w:r>
        <w:t>Help students start a real conversation</w:t>
      </w:r>
    </w:p>
    <w:p>
      <w:pPr>
        <w:snapToGrid w:val="0"/>
      </w:pPr>
      <w:r>
        <w:t>Before outreach, help the student understand one piece of the professor’s work and develop a question they actually want to ask. Possible ways to connect include office hours, conversations after public talks, campus research events, and email. Use the school’s or professor’s published arrangements.</w:t>
      </w:r>
    </w:p>
    <w:p>
      <w:pPr>
        <w:snapToGrid w:val="0"/>
      </w:pPr>
      <w:r>
        <w:t>A cold email should contain a brief introduction, a specific research connection, genuine relevant experience, and a clear request that is easy to answer. Planned study must not become claimed expertise, and an unread paper must not become one the student says they studied closely.</w:t>
      </w:r>
    </w:p>
    <w:p>
      <w:pPr>
        <w:snapToGrid w:val="0"/>
      </w:pPr>
      <w:r>
        <w:t>Before sending, the student checks the recipient, research description, personal claims, and attachments. The first version offers a draft to copy or export, which the student sends themselves. They can later paste a reply for help interpreting requirements, preparing for a meeting, or revising their plan.</w:t>
      </w:r>
    </w:p>
    <w:p>
      <w:pPr>
        <w:pStyle w:val="Heading2"/>
        <w:snapToGrid w:val="0"/>
      </w:pPr>
      <w:r>
        <w:t>Prepare for the first conversation</w:t>
      </w:r>
    </w:p>
    <w:p>
      <w:pPr>
        <w:snapToGrid w:val="0"/>
      </w:pPr>
      <w:r>
        <w:t>The agent can help with a short introduction, 2–3 research questions, and practical topics such as possible undergraduate tasks, time expectations, and supervision. If a professor does not reply or has no opening, help the student choose another action without treating the outcome as a judgment of their research potential.</w:t>
      </w:r>
    </w:p>
    <w:p>
      <w:pPr>
        <w:pStyle w:val="Heading1"/>
        <w:pageBreakBefore/>
        <w:snapToGrid w:val="0"/>
      </w:pPr>
      <w:r>
        <w:t>4 How the agent works</w:t>
      </w:r>
    </w:p>
    <w:p>
      <w:pPr>
        <w:pStyle w:val="Heading2"/>
        <w:snapToGrid w:val="0"/>
      </w:pPr>
      <w:r>
        <w:t>One main agent with a few tools</w:t>
      </w:r>
    </w:p>
    <w:p>
      <w:pPr>
        <w:snapToGrid w:val="0"/>
      </w:pPr>
      <w:r>
        <w:t>Students talk to one consistent research companion. The main agent understands the goal, decides whether to ask a question or look up information, and turns the result into a next step. The first version needs four capabilities, without requiring separate agents for each.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7358"/>
      </w:tblGrid>
      <w:tr>
        <w:trPr>
          <w:cantSplit/>
          <w:tblHeader/>
        </w:trPr>
        <w:tc>
          <w:tcPr>
            <w:tcW w:type="dxa" w:w="2664"/>
            <w:vAlign w:val="center"/>
            <w:shd w:fill="E8EEF2"/>
            <w:tcMar>
              <w:top w:w="100" w:type="dxa"/>
              <w:left w:w="100" w:type="dxa"/>
              <w:bottom w:w="100" w:type="dxa"/>
              <w:right w:w="100" w:type="dxa"/>
            </w:tcMar>
          </w:tcPr>
          <w:p>
            <w:pPr>
              <w:spacing w:after="0" w:before="0" w:line="264" w:lineRule="auto"/>
              <w:snapToGrid w:val="0"/>
            </w:pPr>
            <w:r>
              <w:rPr>
                <w:b/>
                <w:sz w:val="21"/>
              </w:rPr>
              <w:t>Capability</w:t>
            </w:r>
          </w:p>
        </w:tc>
        <w:tc>
          <w:tcPr>
            <w:tcW w:type="dxa" w:w="7358"/>
            <w:vAlign w:val="center"/>
            <w:shd w:fill="E8EEF2"/>
            <w:tcMar>
              <w:top w:w="100" w:type="dxa"/>
              <w:left w:w="100" w:type="dxa"/>
              <w:bottom w:w="100" w:type="dxa"/>
              <w:right w:w="100" w:type="dxa"/>
            </w:tcMar>
          </w:tcPr>
          <w:p>
            <w:pPr>
              <w:spacing w:after="0" w:before="0" w:line="264" w:lineRule="auto"/>
              <w:snapToGrid w:val="0"/>
            </w:pPr>
            <w:r>
              <w:rPr>
                <w:b/>
                <w:sz w:val="21"/>
              </w:rPr>
              <w:t>Purpose</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Understand the student</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Extract interests, experience, preparation, and constraints from conversation and an optional resume.</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Find and verify information</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Read course materials, research descriptions, faculty pages, and public recruitment notices.</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Plan the next step</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Use feedback to propose a few achievable exploration or preparation tasks.</w:t>
            </w:r>
          </w:p>
        </w:tc>
      </w:tr>
      <w:tr>
        <w:trPr>
          <w:cantSplit/>
        </w:trPr>
        <w:tc>
          <w:tcPr>
            <w:tcW w:type="dxa" w:w="2664"/>
            <w:vAlign w:val="center"/>
            <w:shd w:fill="FFFFFF"/>
            <w:tcMar>
              <w:top w:w="100" w:type="dxa"/>
              <w:left w:w="100" w:type="dxa"/>
              <w:bottom w:w="100" w:type="dxa"/>
              <w:right w:w="100" w:type="dxa"/>
            </w:tcMar>
          </w:tcPr>
          <w:p>
            <w:pPr>
              <w:spacing w:after="0" w:before="0" w:line="264" w:lineRule="auto"/>
              <w:snapToGrid w:val="0"/>
            </w:pPr>
            <w:r>
              <w:rPr>
                <w:b w:val="0"/>
                <w:sz w:val="21"/>
              </w:rPr>
              <w:t>Support communication</w:t>
            </w:r>
          </w:p>
        </w:tc>
        <w:tc>
          <w:tcPr>
            <w:tcW w:type="dxa" w:w="7358"/>
            <w:vAlign w:val="center"/>
            <w:shd w:fill="FFFFFF"/>
            <w:tcMar>
              <w:top w:w="100" w:type="dxa"/>
              <w:left w:w="100" w:type="dxa"/>
              <w:bottom w:w="100" w:type="dxa"/>
              <w:right w:w="100" w:type="dxa"/>
            </w:tcMar>
          </w:tcPr>
          <w:p>
            <w:pPr>
              <w:spacing w:after="0" w:before="0" w:line="264" w:lineRule="auto"/>
              <w:snapToGrid w:val="0"/>
            </w:pPr>
            <w:r>
              <w:rPr>
                <w:b w:val="0"/>
                <w:sz w:val="21"/>
              </w:rPr>
              <w:t>Help express research interests, draft outreach, and prepare for conversations.</w:t>
            </w:r>
          </w:p>
        </w:tc>
      </w:tr>
    </w:tbl>
    <w:p>
      <w:pPr>
        <w:spacing w:after="0" w:before="0" w:line="240" w:lineRule="auto"/>
        <w:snapToGrid w:val="0"/>
      </w:pPr>
      <w:r>
        <w:rPr>
          <w:sz w:val="8"/>
        </w:rPr>
      </w:r>
    </w:p>
    <w:p>
      <w:pPr>
        <w:pStyle w:val="Heading2"/>
        <w:snapToGrid w:val="0"/>
      </w:pPr>
      <w:r>
        <w:t>Decide what would help now</w:t>
      </w:r>
    </w:p>
    <w:p>
      <w:pPr>
        <w:snapToGrid w:val="0"/>
      </w:pPr>
      <w:r>
        <w:t>For unclear interests, offer examples and exploration tasks. For a chosen area with little research knowledge, explain one concrete research question. For outreach, find candidates and prepare the message. A student who already has a target professor can begin with that professor’s public work.</w:t>
      </w:r>
    </w:p>
    <w:p>
      <w:pPr>
        <w:snapToGrid w:val="0"/>
      </w:pPr>
      <w:r>
        <w:t>After each task, ask what was interesting and what was difficult, then adjust the direction or difficulty. If sources are missing, inaccessible, or contradictory, state the gap, ask for a link, or leave the point unresolved rather than filling it in.</w:t>
      </w:r>
    </w:p>
    <w:p>
      <w:pPr>
        <w:pStyle w:val="Heading2"/>
        <w:snapToGrid w:val="0"/>
      </w:pPr>
      <w:r>
        <w:t>Keep a record the student can control</w:t>
      </w:r>
    </w:p>
    <w:p>
      <w:pPr>
        <w:snapToGrid w:val="0"/>
      </w:pPr>
      <w:r>
        <w:t>Retain confirmed interests, completed courses or projects, time constraints, current directions, and task progress. Distinguish student confirmation, public source facts, and agent inference; invite confirmation of inferences. Students can edit or clear the record and choose whether to retain their resume.</w:t>
      </w:r>
    </w:p>
    <w:p>
      <w:pPr>
        <w:snapToGrid w:val="0"/>
      </w:pPr>
      <w:r>
        <w:t>External searches need only relevant topics, schools, and other necessary details. Resume text and contact information should not automatically enter search queries or be shared with professors without the student’s confirmation.</w:t>
      </w:r>
    </w:p>
    <w:p>
      <w:pPr>
        <w:pStyle w:val="Heading2"/>
        <w:snapToGrid w:val="0"/>
      </w:pPr>
      <w:r>
        <w:t>Keep the interface simple</w:t>
      </w:r>
    </w:p>
    <w:p>
      <w:pPr>
        <w:snapToGrid w:val="0"/>
      </w:pPr>
      <w:r>
        <w:t>Use a conversation area beside “My next steps.” Direction cards support comparison; tasks show estimated effort and a concrete output; professor cards show reasons, sources, and recruitment status. Students can choose “Try another direction,” “Make this easier,” or “I want to contact a professor first.”</w:t>
      </w:r>
    </w:p>
    <w:p>
      <w:pPr>
        <w:pStyle w:val="Heading1"/>
        <w:pageBreakBefore/>
        <w:snapToGrid w:val="0"/>
      </w:pPr>
      <w:r>
        <w:t>5 Example experience and first version</w:t>
      </w:r>
    </w:p>
    <w:p>
      <w:pPr>
        <w:pStyle w:val="Heading2"/>
        <w:snapToGrid w:val="0"/>
      </w:pPr>
      <w:r>
        <w:t>A complete example</w:t>
      </w:r>
    </w:p>
    <w:p>
      <w:pPr>
        <w:snapToGrid w:val="0"/>
      </w:pPr>
      <w:r>
        <w:t>The example student is a second year computer science major with basic Python, an interest in education, and about 4 hours a week. This scenario illustrates the product flow.</w:t>
      </w:r>
    </w:p>
    <w:p>
      <w:pPr>
        <w:snapToGrid w:val="0"/>
      </w:pPr>
      <w:r>
        <w:t>Student: “I want to do AI research, but I do not know where to start.”</w:t>
        <w:br/>
        <w:t>Agent: “Are you more interested in AI algorithms, or in using AI to solve a particular problem? Is there a learning experience you have wanted to improve?”</w:t>
      </w:r>
    </w:p>
    <w:p>
      <w:pPr>
        <w:snapToGrid w:val="0"/>
      </w:pPr>
      <w:r>
        <w:t>After the student mentions learning apps, the agent suggests human computer interaction in education, learning analytics, and educational recommender systems. The student chooses learning analytics. This week’s plan is 1 hour understanding a research overview, 1 hour learning relevant data concepts, and 2 hours writing a one-page note on a question and the data it would need.</w:t>
      </w:r>
    </w:p>
    <w:p>
      <w:pPr>
        <w:snapToGrid w:val="0"/>
      </w:pPr>
      <w:r>
        <w:t>The student later says interface design interests them most. The agent shifts toward human computer interaction and searches for relevant faculty at their school. After finding a candidate supported by public sources, it helps the student understand the work and draft an email.</w:t>
      </w:r>
    </w:p>
    <w:p>
      <w:pPr>
        <w:pStyle w:val="Heading2"/>
        <w:snapToGrid w:val="0"/>
      </w:pPr>
      <w:r>
        <w:t>Example outreach email</w:t>
      </w:r>
    </w:p>
    <w:p>
      <w:pPr>
        <w:snapToGrid w:val="0"/>
      </w:pPr>
      <w:r>
        <w:t>Subject: Undergraduate interest in [research topic]</w:t>
      </w:r>
    </w:p>
    <w:p>
      <w:pPr>
        <w:snapToGrid w:val="0"/>
      </w:pPr>
      <w:r>
        <w:t>Dear Professor [Name],</w:t>
        <w:br/>
        <w:t>I am [Name], a second year computer science student at [University], interested in how technology supports learning. Your [verified project page] describes [specific research question], and I would like to understand [the student’s genuine question].</w:t>
        <w:br/>
        <w:t>I have basic Python experience and can currently commit about 4 hours a week. Are there ways for an undergraduate to contribute, or preparation you would recommend? If convenient, would you be open to a brief conversation?</w:t>
        <w:br/>
        <w:t>Thank you for your time.</w:t>
        <w:br/>
        <w:t>[Name]</w:t>
      </w:r>
    </w:p>
    <w:p>
      <w:pPr>
        <w:snapToGrid w:val="0"/>
      </w:pPr>
      <w:r>
        <w:t>Fill and confirm every bracketed detail using real information.</w:t>
      </w:r>
    </w:p>
    <w:p>
      <w:pPr>
        <w:pStyle w:val="Heading2"/>
        <w:snapToGrid w:val="0"/>
      </w:pPr>
      <w:r>
        <w:t>A first version for a hackathon</w:t>
      </w:r>
    </w:p>
    <w:p>
      <w:pPr>
        <w:snapToGrid w:val="0"/>
      </w:pPr>
      <w:r>
        <w:t>Focus on one university and a few research directions, supported by manually verified public faculty information. Complete one flow: short conversation → 2–3 directions → weekly plan → professor suggestions → email draft. Start with text input; resume parsing can be an enhancement. Leave automatic sending, university-wide live opportunity tracking, and long-term course management for later.</w:t>
      </w:r>
    </w:p>
    <w:p>
      <w:pPr>
        <w:pStyle w:val="Heading2"/>
        <w:snapToGrid w:val="0"/>
      </w:pPr>
      <w:r>
        <w:t>How to evaluate the design</w:t>
      </w:r>
    </w:p>
    <w:p>
      <w:pPr>
        <w:snapToGrid w:val="0"/>
      </w:pPr>
      <w:r>
        <w:t>Invite about 5–10 target students to try it. Check whether they can explain a direction, name their first action, complete an exploration task, and recognize themselves in the recommendation reasons. Manually check faculty information and email claims. Professor replies can be tracked later; the first version should establish whether students can begin taking action more easily.</w:t>
      </w:r>
    </w:p>
    <w:sectPr w:rsidR="00FC693F" w:rsidRPr="0006063C" w:rsidSect="00034616">
      <w:pgSz w:w="12240" w:h="15840"/>
      <w:pgMar w:top="1037" w:right="1109" w:bottom="950"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s="Arial"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64" w:lineRule="auto"/>
      <w:outlineLvl w:val="0"/>
    </w:pPr>
    <w:rPr>
      <w:rFonts w:ascii="Arial" w:hAnsi="Arial" w:cs="Arial" w:eastAsia="Arial Unicode MS"/>
      <w:b/>
      <w:bCs/>
      <w:i w:val="0"/>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64" w:lineRule="auto"/>
      <w:outlineLvl w:val="1"/>
    </w:pPr>
    <w:rPr>
      <w:rFonts w:ascii="Arial" w:hAnsi="Arial" w:cs="Arial" w:eastAsia="Arial Unicode MS"/>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64" w:lineRule="auto" w:before="0"/>
      <w:contextualSpacing/>
    </w:pPr>
    <w:rPr>
      <w:rFonts w:ascii="Arial" w:hAnsi="Arial" w:cs="Arial" w:eastAsia="Arial Unicode MS"/>
      <w:b/>
      <w:i w:val="0"/>
      <w:color w:val="000000"/>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keepNext/>
      <w:numPr>
        <w:ilvl w:val="1"/>
      </w:numPr>
      <w:spacing w:line="264" w:lineRule="auto" w:before="0" w:after="320"/>
    </w:pPr>
    <w:rPr>
      <w:rFonts w:ascii="Arial" w:hAnsi="Arial" w:cs="Arial" w:eastAsia="Arial Unicode MS"/>
      <w:b w:val="0"/>
      <w:i w:val="0"/>
      <w:iCs/>
      <w:color w:val="000000"/>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rial" w:hAnsi="Arial" w:cs="Arial" w:eastAsia="Arial Unicode M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Matchmaker Agent Design</dc:title>
  <dc:subject>Product concept and student experience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