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80"/>
        <w:jc w:val="left"/>
      </w:pPr>
      <w:r>
        <w:rPr>
          <w:rFonts w:ascii="Calibri" w:cs="Calibri" w:eastAsia="Calibri" w:hAnsi="Calibri"/>
          <w:b/>
          <w:bCs/>
          <w:caps/>
          <w:color w:val="C77F00"/>
          <w:sz w:val="22"/>
          <w:szCs w:val="22"/>
        </w:rPr>
        <w:t xml:space="preserve">ENTERPRISE SYSTEM PROPOSAL</w:t>
      </w:r>
    </w:p>
    <w:p>
      <w:pPr>
        <w:spacing w:after="160"/>
      </w:pPr>
      <w:r>
        <w:rPr>
          <w:rFonts w:ascii="Cambria" w:cs="Cambria" w:eastAsia="Cambria" w:hAnsi="Cambria"/>
          <w:b/>
          <w:bCs/>
          <w:color w:val="1F2733"/>
          <w:sz w:val="56"/>
          <w:szCs w:val="56"/>
        </w:rPr>
        <w:t xml:space="preserve">Heavy Equipment Rental &amp; Fleet Intelligence Platform</w:t>
      </w:r>
    </w:p>
    <w:p>
      <w:pPr>
        <w:spacing w:after="2000"/>
      </w:pPr>
      <w:r>
        <w:rPr>
          <w:rFonts w:ascii="Calibri" w:cs="Calibri" w:eastAsia="Calibri" w:hAnsi="Calibri"/>
          <w:i/>
          <w:iCs/>
          <w:color w:val="5C6B7A"/>
          <w:sz w:val="24"/>
          <w:szCs w:val="24"/>
        </w:rPr>
        <w:t xml:space="preserve">A unified digital platform for excavator and heavy-duty vehicle rental operations, real-time fleet telematics, and financial management — engineered to enterprise standards of security, scalability, and reliability.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Document</w:t>
            </w:r>
          </w:p>
        </w:tc>
        <w:tc>
          <w:tcPr>
            <w:tcW w:type="dxa" w:w="72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Details</w:t>
            </w:r>
          </w:p>
        </w:tc>
      </w:tr>
      <w:tr>
        <w:tc>
          <w:tcPr>
            <w:tcW w:type="dxa" w:w="24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Title</w:t>
            </w:r>
          </w:p>
        </w:tc>
        <w:tc>
          <w:tcPr>
            <w:tcW w:type="dxa" w:w="72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Heavy Equipment Rental &amp; Fleet Intelligence Platform — System Proposal</w:t>
            </w:r>
          </w:p>
        </w:tc>
      </w:tr>
      <w:tr>
        <w:tc>
          <w:tcPr>
            <w:tcW w:type="dxa" w:w="24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Version</w:t>
            </w:r>
          </w:p>
        </w:tc>
        <w:tc>
          <w:tcPr>
            <w:tcW w:type="dxa" w:w="72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2.0 (Enterprise Edition)</w:t>
            </w:r>
          </w:p>
        </w:tc>
      </w:tr>
      <w:tr>
        <w:tc>
          <w:tcPr>
            <w:tcW w:type="dxa" w:w="24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Date</w:t>
            </w:r>
          </w:p>
        </w:tc>
        <w:tc>
          <w:tcPr>
            <w:tcW w:type="dxa" w:w="72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July 2026</w:t>
            </w:r>
          </w:p>
        </w:tc>
      </w:tr>
      <w:tr>
        <w:tc>
          <w:tcPr>
            <w:tcW w:type="dxa" w:w="24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Status</w:t>
            </w:r>
          </w:p>
        </w:tc>
        <w:tc>
          <w:tcPr>
            <w:tcW w:type="dxa" w:w="72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For Executive Review</w:t>
            </w:r>
          </w:p>
        </w:tc>
      </w:tr>
      <w:tr>
        <w:tc>
          <w:tcPr>
            <w:tcW w:type="dxa" w:w="24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Classification</w:t>
            </w:r>
          </w:p>
        </w:tc>
        <w:tc>
          <w:tcPr>
            <w:tcW w:type="dxa" w:w="72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Confidential — Internal &amp; Client Use Only</w:t>
            </w:r>
          </w:p>
        </w:tc>
      </w:tr>
    </w:tbl>
    <w:p>
      <w:r>
        <w:br w:type="page"/>
      </w:r>
    </w:p>
    <w:p>
      <w:pPr>
        <w:pStyle w:val="Heading1"/>
        <w:spacing w:after="200" w:before="360"/>
      </w:pPr>
      <w:r>
        <w:rPr>
          <w:rFonts w:ascii="Cambria" w:cs="Cambria" w:eastAsia="Cambria" w:hAnsi="Cambria"/>
          <w:b/>
          <w:bCs/>
          <w:color w:val="1F2733"/>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mbria" w:cs="Cambria" w:eastAsia="Cambria" w:hAnsi="Cambria"/>
          <w:b/>
          <w:bCs/>
          <w:color w:val="1F2733"/>
          <w:sz w:val="34"/>
          <w:szCs w:val="34"/>
        </w:rPr>
        <w:t xml:space="preserve">1. Executive Summary</w:t>
      </w:r>
    </w:p>
    <w:p>
      <w:pPr>
        <w:spacing w:after="160" w:line="300"/>
        <w:jc w:val="both"/>
      </w:pPr>
      <w:r>
        <w:rPr>
          <w:rFonts w:ascii="Calibri" w:cs="Calibri" w:eastAsia="Calibri" w:hAnsi="Calibri"/>
          <w:color w:val="222222"/>
          <w:sz w:val="22"/>
          <w:szCs w:val="22"/>
        </w:rPr>
        <w:t xml:space="preserve">This proposal presents an enterprise-grade digital platform for a heavy equipment rental organization operating in Ghana and positioned for regional expansion across West Africa. The platform unifies four capabilities that are today fragmented across manual processes and disconnected tools: online rental commerce, real-time fleet telematics, financial operations, and business analytics.</w:t>
      </w:r>
    </w:p>
    <w:p>
      <w:pPr>
        <w:spacing w:after="160" w:line="300"/>
        <w:jc w:val="both"/>
      </w:pPr>
      <w:r>
        <w:rPr>
          <w:rFonts w:ascii="Calibri" w:cs="Calibri" w:eastAsia="Calibri" w:hAnsi="Calibri"/>
          <w:color w:val="222222"/>
          <w:sz w:val="22"/>
          <w:szCs w:val="22"/>
        </w:rPr>
        <w:t xml:space="preserve">The solution replaces phone-and-paper booking workflows with a modern, self-service rental experience; gives operations teams a single command center for inventory, dispatch, and maintenance; and instruments every machine in the fleet with GPS and engine telemetry so that utilization, billing, and asset protection are driven by data rather than estimates.</w:t>
      </w:r>
    </w:p>
    <w:p>
      <w:pPr>
        <w:pStyle w:val="Heading3"/>
        <w:spacing w:after="120" w:before="220"/>
      </w:pPr>
      <w:r>
        <w:rPr>
          <w:rFonts w:ascii="Calibri" w:cs="Calibri" w:eastAsia="Calibri" w:hAnsi="Calibri"/>
          <w:b/>
          <w:bCs/>
          <w:color w:val="5C6B7A"/>
          <w:sz w:val="23"/>
          <w:szCs w:val="23"/>
        </w:rPr>
        <w:t xml:space="preserve">Expected Business Outcomes</w:t>
      </w:r>
    </w:p>
    <w:p>
      <w:pPr>
        <w:pStyle w:val="ListParagraph"/>
        <w:numPr>
          <w:ilvl w:val="0"/>
          <w:numId w:val="2"/>
        </w:numPr>
        <w:spacing w:after="100" w:line="290"/>
      </w:pPr>
      <w:r>
        <w:rPr>
          <w:rFonts w:ascii="Calibri" w:cs="Calibri" w:eastAsia="Calibri" w:hAnsi="Calibri"/>
          <w:color w:val="222222"/>
          <w:sz w:val="22"/>
          <w:szCs w:val="22"/>
        </w:rPr>
        <w:t xml:space="preserve">Increase fleet utilization by 15–25% through real-time availability, dynamic pricing, and data-driven redeployment of idle assets.</w:t>
      </w:r>
    </w:p>
    <w:p>
      <w:pPr>
        <w:pStyle w:val="ListParagraph"/>
        <w:numPr>
          <w:ilvl w:val="0"/>
          <w:numId w:val="2"/>
        </w:numPr>
        <w:spacing w:after="100" w:line="290"/>
      </w:pPr>
      <w:r>
        <w:rPr>
          <w:rFonts w:ascii="Calibri" w:cs="Calibri" w:eastAsia="Calibri" w:hAnsi="Calibri"/>
          <w:color w:val="222222"/>
          <w:sz w:val="22"/>
          <w:szCs w:val="22"/>
        </w:rPr>
        <w:t xml:space="preserve">Reduce revenue leakage by billing on verified engine hours and automated invoicing rather than manual logs.</w:t>
      </w:r>
    </w:p>
    <w:p>
      <w:pPr>
        <w:pStyle w:val="ListParagraph"/>
        <w:numPr>
          <w:ilvl w:val="0"/>
          <w:numId w:val="2"/>
        </w:numPr>
        <w:spacing w:after="100" w:line="290"/>
      </w:pPr>
      <w:r>
        <w:rPr>
          <w:rFonts w:ascii="Calibri" w:cs="Calibri" w:eastAsia="Calibri" w:hAnsi="Calibri"/>
          <w:color w:val="222222"/>
          <w:sz w:val="22"/>
          <w:szCs w:val="22"/>
        </w:rPr>
        <w:t xml:space="preserve">Cut equipment downtime by 20–30% with telemetry-triggered preventive maintenance.</w:t>
      </w:r>
    </w:p>
    <w:p>
      <w:pPr>
        <w:pStyle w:val="ListParagraph"/>
        <w:numPr>
          <w:ilvl w:val="0"/>
          <w:numId w:val="2"/>
        </w:numPr>
        <w:spacing w:after="100" w:line="290"/>
      </w:pPr>
      <w:r>
        <w:rPr>
          <w:rFonts w:ascii="Calibri" w:cs="Calibri" w:eastAsia="Calibri" w:hAnsi="Calibri"/>
          <w:color w:val="222222"/>
          <w:sz w:val="22"/>
          <w:szCs w:val="22"/>
        </w:rPr>
        <w:t xml:space="preserve">Protect high-value assets with geofencing, tamper alerts, and after-hours movement detection.</w:t>
      </w:r>
    </w:p>
    <w:p>
      <w:pPr>
        <w:pStyle w:val="ListParagraph"/>
        <w:numPr>
          <w:ilvl w:val="0"/>
          <w:numId w:val="2"/>
        </w:numPr>
        <w:spacing w:after="100" w:line="290"/>
      </w:pPr>
      <w:r>
        <w:rPr>
          <w:rFonts w:ascii="Calibri" w:cs="Calibri" w:eastAsia="Calibri" w:hAnsi="Calibri"/>
          <w:color w:val="222222"/>
          <w:sz w:val="22"/>
          <w:szCs w:val="22"/>
        </w:rPr>
        <w:t xml:space="preserve">Shorten the booking-to-deployment cycle from days to hours with online reservations, digital contracts, and integrated mobile money payments (MTN MoMo via Paystack).</w:t>
      </w:r>
    </w:p>
    <w:p>
      <w:pPr>
        <w:pStyle w:val="ListParagraph"/>
        <w:numPr>
          <w:ilvl w:val="0"/>
          <w:numId w:val="2"/>
        </w:numPr>
        <w:spacing w:after="100" w:line="290"/>
      </w:pPr>
      <w:r>
        <w:rPr>
          <w:rFonts w:ascii="Calibri" w:cs="Calibri" w:eastAsia="Calibri" w:hAnsi="Calibri"/>
          <w:color w:val="222222"/>
          <w:sz w:val="22"/>
          <w:szCs w:val="22"/>
        </w:rPr>
        <w:t xml:space="preserve">Establish an auditable, bank-grade financial control layer for deposits, invoicing, payouts, and reconciliation.</w:t>
      </w:r>
    </w:p>
    <w:p>
      <w:pPr>
        <w:spacing w:after="160" w:line="300"/>
        <w:jc w:val="both"/>
      </w:pPr>
      <w:r>
        <w:rPr>
          <w:rFonts w:ascii="Calibri" w:cs="Calibri" w:eastAsia="Calibri" w:hAnsi="Calibri"/>
          <w:color w:val="222222"/>
          <w:sz w:val="22"/>
          <w:szCs w:val="22"/>
        </w:rPr>
        <w:t xml:space="preserve">The programme is structured in four delivery phases over approximately nine months, beginning with a discovery and architecture sprint and culminating in a hardened, analytics-enabled platform with 99.9% availability targets, disaster recovery, and compliance with the Ghana Data Protection Act, 2012 (Act 843).</w:t>
      </w:r>
    </w:p>
    <w:p>
      <w:r>
        <w:br w:type="page"/>
      </w:r>
    </w:p>
    <w:p>
      <w:pPr>
        <w:pStyle w:val="Heading1"/>
        <w:spacing w:after="200" w:before="360"/>
      </w:pPr>
      <w:r>
        <w:rPr>
          <w:rFonts w:ascii="Cambria" w:cs="Cambria" w:eastAsia="Cambria" w:hAnsi="Cambria"/>
          <w:b/>
          <w:bCs/>
          <w:color w:val="1F2733"/>
          <w:sz w:val="34"/>
          <w:szCs w:val="34"/>
        </w:rPr>
        <w:t xml:space="preserve">2. Business Context &amp; Objectives</w:t>
      </w:r>
    </w:p>
    <w:p>
      <w:pPr>
        <w:pStyle w:val="Heading2"/>
        <w:spacing w:after="160" w:before="280"/>
      </w:pPr>
      <w:r>
        <w:rPr>
          <w:rFonts w:ascii="Cambria" w:cs="Cambria" w:eastAsia="Cambria" w:hAnsi="Cambria"/>
          <w:b/>
          <w:bCs/>
          <w:color w:val="1F2733"/>
          <w:sz w:val="27"/>
          <w:szCs w:val="27"/>
        </w:rPr>
        <w:t xml:space="preserve">2.1 Market Context</w:t>
      </w:r>
    </w:p>
    <w:p>
      <w:pPr>
        <w:spacing w:after="160" w:line="300"/>
        <w:jc w:val="both"/>
      </w:pPr>
      <w:r>
        <w:rPr>
          <w:rFonts w:ascii="Calibri" w:cs="Calibri" w:eastAsia="Calibri" w:hAnsi="Calibri"/>
          <w:color w:val="222222"/>
          <w:sz w:val="22"/>
          <w:szCs w:val="22"/>
        </w:rPr>
        <w:t xml:space="preserve">Ghana's construction and mining sectors are sustaining strong demand for excavators, graders, tipper trucks, and other heavy-duty machinery. Contractors increasingly prefer rental over ownership to preserve capital, which rewards rental operators who can guarantee availability, transparent pricing, and rapid mobilization. At the same time, equipment theft, unauthorized use, and untracked engine hours remain the sector's largest sources of loss.</w:t>
      </w:r>
    </w:p>
    <w:p>
      <w:pPr>
        <w:pStyle w:val="Heading2"/>
        <w:spacing w:after="160" w:before="280"/>
      </w:pPr>
      <w:r>
        <w:rPr>
          <w:rFonts w:ascii="Cambria" w:cs="Cambria" w:eastAsia="Cambria" w:hAnsi="Cambria"/>
          <w:b/>
          <w:bCs/>
          <w:color w:val="1F2733"/>
          <w:sz w:val="27"/>
          <w:szCs w:val="27"/>
        </w:rPr>
        <w:t xml:space="preserve">2.2 Current-State Challenges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Challenge</w:t>
            </w:r>
          </w:p>
        </w:tc>
        <w:tc>
          <w:tcPr>
            <w:tcW w:type="dxa" w:w="66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Business Impact</w:t>
            </w:r>
          </w:p>
        </w:tc>
      </w:tr>
      <w:tr>
        <w:tc>
          <w:tcPr>
            <w:tcW w:type="dxa" w:w="30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Manual booking &amp; scheduling</w:t>
            </w:r>
          </w:p>
        </w:tc>
        <w:tc>
          <w:tcPr>
            <w:tcW w:type="dxa" w:w="66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Double-bookings, slow quote turnaround, lost enquiries outside business hours</w:t>
            </w:r>
          </w:p>
        </w:tc>
      </w:tr>
      <w:tr>
        <w:tc>
          <w:tcPr>
            <w:tcW w:type="dxa" w:w="30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No real-time asset visibility</w:t>
            </w:r>
          </w:p>
        </w:tc>
        <w:tc>
          <w:tcPr>
            <w:tcW w:type="dxa" w:w="66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Unauthorized use, site disputes, theft exposure on high-value machines</w:t>
            </w:r>
          </w:p>
        </w:tc>
      </w:tr>
      <w:tr>
        <w:tc>
          <w:tcPr>
            <w:tcW w:type="dxa" w:w="30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Estimated engine hours</w:t>
            </w:r>
          </w:p>
        </w:tc>
        <w:tc>
          <w:tcPr>
            <w:tcW w:type="dxa" w:w="66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Revenue leakage on hourly billing; disputes with customers</w:t>
            </w:r>
          </w:p>
        </w:tc>
      </w:tr>
      <w:tr>
        <w:tc>
          <w:tcPr>
            <w:tcW w:type="dxa" w:w="30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Reactive maintenance</w:t>
            </w:r>
          </w:p>
        </w:tc>
        <w:tc>
          <w:tcPr>
            <w:tcW w:type="dxa" w:w="66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Unplanned downtime, shortened asset life, emergency repair premiums</w:t>
            </w:r>
          </w:p>
        </w:tc>
      </w:tr>
      <w:tr>
        <w:tc>
          <w:tcPr>
            <w:tcW w:type="dxa" w:w="30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Fragmented payments &amp; records</w:t>
            </w:r>
          </w:p>
        </w:tc>
        <w:tc>
          <w:tcPr>
            <w:tcW w:type="dxa" w:w="66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Cash handling risk, slow reconciliation, weak audit trail</w:t>
            </w:r>
          </w:p>
        </w:tc>
      </w:tr>
      <w:tr>
        <w:tc>
          <w:tcPr>
            <w:tcW w:type="dxa" w:w="30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No consolidated reporting</w:t>
            </w:r>
          </w:p>
        </w:tc>
        <w:tc>
          <w:tcPr>
            <w:tcW w:type="dxa" w:w="66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Management decisions made on incomplete or stale data</w:t>
            </w:r>
          </w:p>
        </w:tc>
      </w:tr>
    </w:tbl>
    <w:p>
      <w:pPr>
        <w:pStyle w:val="Heading2"/>
        <w:spacing w:after="160" w:before="280"/>
      </w:pPr>
      <w:r>
        <w:rPr>
          <w:rFonts w:ascii="Cambria" w:cs="Cambria" w:eastAsia="Cambria" w:hAnsi="Cambria"/>
          <w:b/>
          <w:bCs/>
          <w:color w:val="1F2733"/>
          <w:sz w:val="27"/>
          <w:szCs w:val="27"/>
        </w:rPr>
        <w:t xml:space="preserve">2.3 Strategic Objectives</w:t>
      </w:r>
    </w:p>
    <w:p>
      <w:pPr>
        <w:pStyle w:val="ListParagraph"/>
        <w:numPr>
          <w:ilvl w:val="0"/>
          <w:numId w:val="2"/>
        </w:numPr>
        <w:spacing w:after="100" w:line="290"/>
      </w:pPr>
      <w:r>
        <w:rPr>
          <w:rFonts w:ascii="Calibri" w:cs="Calibri" w:eastAsia="Calibri" w:hAnsi="Calibri"/>
          <w:b/>
          <w:bCs/>
          <w:color w:val="1F2733"/>
          <w:sz w:val="22"/>
          <w:szCs w:val="22"/>
        </w:rPr>
        <w:t xml:space="preserve">Digitize end-to-end: </w:t>
      </w:r>
      <w:r>
        <w:rPr>
          <w:rFonts w:ascii="Calibri" w:cs="Calibri" w:eastAsia="Calibri" w:hAnsi="Calibri"/>
          <w:color w:val="222222"/>
          <w:sz w:val="22"/>
          <w:szCs w:val="22"/>
        </w:rPr>
        <w:t xml:space="preserve">Digitize the full rental lifecycle — discovery, quotation, booking, contract, payment, delivery, return, and invoicing — through one platform.</w:t>
      </w:r>
    </w:p>
    <w:p>
      <w:pPr>
        <w:pStyle w:val="ListParagraph"/>
        <w:numPr>
          <w:ilvl w:val="0"/>
          <w:numId w:val="2"/>
        </w:numPr>
        <w:spacing w:after="100" w:line="290"/>
      </w:pPr>
      <w:r>
        <w:rPr>
          <w:rFonts w:ascii="Calibri" w:cs="Calibri" w:eastAsia="Calibri" w:hAnsi="Calibri"/>
          <w:b/>
          <w:bCs/>
          <w:color w:val="1F2733"/>
          <w:sz w:val="22"/>
          <w:szCs w:val="22"/>
        </w:rPr>
        <w:t xml:space="preserve">Instrument the fleet: </w:t>
      </w:r>
      <w:r>
        <w:rPr>
          <w:rFonts w:ascii="Calibri" w:cs="Calibri" w:eastAsia="Calibri" w:hAnsi="Calibri"/>
          <w:color w:val="222222"/>
          <w:sz w:val="22"/>
          <w:szCs w:val="22"/>
        </w:rPr>
        <w:t xml:space="preserve">Provide live location, engine hours, and operational status for every asset, with alerting for geofence breaches and tampering.</w:t>
      </w:r>
    </w:p>
    <w:p>
      <w:pPr>
        <w:pStyle w:val="ListParagraph"/>
        <w:numPr>
          <w:ilvl w:val="0"/>
          <w:numId w:val="2"/>
        </w:numPr>
        <w:spacing w:after="100" w:line="290"/>
      </w:pPr>
      <w:r>
        <w:rPr>
          <w:rFonts w:ascii="Calibri" w:cs="Calibri" w:eastAsia="Calibri" w:hAnsi="Calibri"/>
          <w:b/>
          <w:bCs/>
          <w:color w:val="1F2733"/>
          <w:sz w:val="22"/>
          <w:szCs w:val="22"/>
        </w:rPr>
        <w:t xml:space="preserve">Institutional financial control: </w:t>
      </w:r>
      <w:r>
        <w:rPr>
          <w:rFonts w:ascii="Calibri" w:cs="Calibri" w:eastAsia="Calibri" w:hAnsi="Calibri"/>
          <w:color w:val="222222"/>
          <w:sz w:val="22"/>
          <w:szCs w:val="22"/>
        </w:rPr>
        <w:t xml:space="preserve">Enforce segregation of duties, maker–checker approvals for financial actions, and immutable audit logs.</w:t>
      </w:r>
    </w:p>
    <w:p>
      <w:pPr>
        <w:pStyle w:val="ListParagraph"/>
        <w:numPr>
          <w:ilvl w:val="0"/>
          <w:numId w:val="2"/>
        </w:numPr>
        <w:spacing w:after="100" w:line="290"/>
      </w:pPr>
      <w:r>
        <w:rPr>
          <w:rFonts w:ascii="Calibri" w:cs="Calibri" w:eastAsia="Calibri" w:hAnsi="Calibri"/>
          <w:b/>
          <w:bCs/>
          <w:color w:val="1F2733"/>
          <w:sz w:val="22"/>
          <w:szCs w:val="22"/>
        </w:rPr>
        <w:t xml:space="preserve">Scale-ready foundation: </w:t>
      </w:r>
      <w:r>
        <w:rPr>
          <w:rFonts w:ascii="Calibri" w:cs="Calibri" w:eastAsia="Calibri" w:hAnsi="Calibri"/>
          <w:color w:val="222222"/>
          <w:sz w:val="22"/>
          <w:szCs w:val="22"/>
        </w:rPr>
        <w:t xml:space="preserve">Adopt a cloud-native architecture that supports multi-branch operations today and multi-country expansion without re-platforming.</w:t>
      </w:r>
    </w:p>
    <w:p>
      <w:pPr>
        <w:pStyle w:val="ListParagraph"/>
        <w:numPr>
          <w:ilvl w:val="0"/>
          <w:numId w:val="2"/>
        </w:numPr>
        <w:spacing w:after="100" w:line="290"/>
      </w:pPr>
      <w:r>
        <w:rPr>
          <w:rFonts w:ascii="Calibri" w:cs="Calibri" w:eastAsia="Calibri" w:hAnsi="Calibri"/>
          <w:b/>
          <w:bCs/>
          <w:color w:val="1F2733"/>
          <w:sz w:val="22"/>
          <w:szCs w:val="22"/>
        </w:rPr>
        <w:t xml:space="preserve">Decision intelligence: </w:t>
      </w:r>
      <w:r>
        <w:rPr>
          <w:rFonts w:ascii="Calibri" w:cs="Calibri" w:eastAsia="Calibri" w:hAnsi="Calibri"/>
          <w:color w:val="222222"/>
          <w:sz w:val="22"/>
          <w:szCs w:val="22"/>
        </w:rPr>
        <w:t xml:space="preserve">Deliver dashboards and KPIs for utilization, revenue, maintenance cost, and customer behaviour to executive and operational audiences.</w:t>
      </w:r>
    </w:p>
    <w:p>
      <w:r>
        <w:br w:type="page"/>
      </w:r>
    </w:p>
    <w:p>
      <w:pPr>
        <w:pStyle w:val="Heading1"/>
        <w:spacing w:after="200" w:before="360"/>
      </w:pPr>
      <w:r>
        <w:rPr>
          <w:rFonts w:ascii="Cambria" w:cs="Cambria" w:eastAsia="Cambria" w:hAnsi="Cambria"/>
          <w:b/>
          <w:bCs/>
          <w:color w:val="1F2733"/>
          <w:sz w:val="34"/>
          <w:szCs w:val="34"/>
        </w:rPr>
        <w:t xml:space="preserve">3. Solution Overview</w:t>
      </w:r>
    </w:p>
    <w:p>
      <w:pPr>
        <w:spacing w:after="160" w:line="300"/>
        <w:jc w:val="both"/>
      </w:pPr>
      <w:r>
        <w:rPr>
          <w:rFonts w:ascii="Calibri" w:cs="Calibri" w:eastAsia="Calibri" w:hAnsi="Calibri"/>
          <w:color w:val="222222"/>
          <w:sz w:val="22"/>
          <w:szCs w:val="22"/>
        </w:rPr>
        <w:t xml:space="preserve">The platform is organized into four integrated pillars operating on a shared enterprise foundation of identity, security, and data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Pillar</w:t>
            </w:r>
          </w:p>
        </w:tc>
        <w:tc>
          <w:tcPr>
            <w:tcW w:type="dxa" w:w="71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Scope</w:t>
            </w:r>
          </w:p>
        </w:tc>
      </w:tr>
      <w:tr>
        <w:tc>
          <w:tcPr>
            <w:tcW w:type="dxa" w:w="2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1. Rental Commerce</w:t>
            </w:r>
          </w:p>
        </w:tc>
        <w:tc>
          <w:tcPr>
            <w:tcW w:type="dxa" w:w="71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Customer web portal and progressive web app: equipment catalog, real-time availability, online booking, KYC verification, digital rental agreements, and payments</w:t>
            </w:r>
          </w:p>
        </w:tc>
      </w:tr>
      <w:tr>
        <w:tc>
          <w:tcPr>
            <w:tcW w:type="dxa" w:w="25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2. Fleet Telematics</w:t>
            </w:r>
          </w:p>
        </w:tc>
        <w:tc>
          <w:tcPr>
            <w:tcW w:type="dxa" w:w="71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Real-time GPS tracking, geofencing, engine-hour capture, route history, theft prevention, and telemetry-driven maintenance</w:t>
            </w:r>
          </w:p>
        </w:tc>
      </w:tr>
      <w:tr>
        <w:tc>
          <w:tcPr>
            <w:tcW w:type="dxa" w:w="2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3. Financial Operations</w:t>
            </w:r>
          </w:p>
        </w:tc>
        <w:tc>
          <w:tcPr>
            <w:tcW w:type="dxa" w:w="71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Invoicing, security deposits, mobile money and card collections, payouts with maker–checker controls, ledger, and reconciliation</w:t>
            </w:r>
          </w:p>
        </w:tc>
      </w:tr>
      <w:tr>
        <w:tc>
          <w:tcPr>
            <w:tcW w:type="dxa" w:w="25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4. Analytics &amp; Intelligence</w:t>
            </w:r>
          </w:p>
        </w:tc>
        <w:tc>
          <w:tcPr>
            <w:tcW w:type="dxa" w:w="71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Executive dashboards, utilization and revenue analytics, maintenance cost tracking, and scheduled regulatory/management reporting</w:t>
            </w:r>
          </w:p>
        </w:tc>
      </w:tr>
      <w:tr>
        <w:tc>
          <w:tcPr>
            <w:tcW w:type="dxa" w:w="2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Enterprise Foundation</w:t>
            </w:r>
          </w:p>
        </w:tc>
        <w:tc>
          <w:tcPr>
            <w:tcW w:type="dxa" w:w="71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Single sign-on, role-based access control, audit logging, notifications (SMS/email/push), API gateway, and administration</w:t>
            </w:r>
          </w:p>
        </w:tc>
      </w:tr>
    </w:tbl>
    <w:p>
      <w:pPr>
        <w:pStyle w:val="Heading2"/>
        <w:spacing w:after="160" w:before="280"/>
      </w:pPr>
      <w:r>
        <w:rPr>
          <w:rFonts w:ascii="Cambria" w:cs="Cambria" w:eastAsia="Cambria" w:hAnsi="Cambria"/>
          <w:b/>
          <w:bCs/>
          <w:color w:val="1F2733"/>
          <w:sz w:val="27"/>
          <w:szCs w:val="27"/>
        </w:rPr>
        <w:t xml:space="preserve">3.1 Personas &amp; Channels</w:t>
      </w:r>
    </w:p>
    <w:p>
      <w:pPr>
        <w:pStyle w:val="ListParagraph"/>
        <w:numPr>
          <w:ilvl w:val="0"/>
          <w:numId w:val="2"/>
        </w:numPr>
        <w:spacing w:after="100" w:line="290"/>
      </w:pPr>
      <w:r>
        <w:rPr>
          <w:rFonts w:ascii="Calibri" w:cs="Calibri" w:eastAsia="Calibri" w:hAnsi="Calibri"/>
          <w:b/>
          <w:bCs/>
          <w:color w:val="1F2733"/>
          <w:sz w:val="22"/>
          <w:szCs w:val="22"/>
        </w:rPr>
        <w:t xml:space="preserve">Customers (individual &amp; corporate): </w:t>
      </w:r>
      <w:r>
        <w:rPr>
          <w:rFonts w:ascii="Calibri" w:cs="Calibri" w:eastAsia="Calibri" w:hAnsi="Calibri"/>
          <w:color w:val="222222"/>
          <w:sz w:val="22"/>
          <w:szCs w:val="22"/>
        </w:rPr>
        <w:t xml:space="preserve">Browse, compare, book, pay, and track their rentals from any device; corporate accounts support multiple users, credit terms, and consolidated billing.</w:t>
      </w:r>
    </w:p>
    <w:p>
      <w:pPr>
        <w:pStyle w:val="ListParagraph"/>
        <w:numPr>
          <w:ilvl w:val="0"/>
          <w:numId w:val="2"/>
        </w:numPr>
        <w:spacing w:after="100" w:line="290"/>
      </w:pPr>
      <w:r>
        <w:rPr>
          <w:rFonts w:ascii="Calibri" w:cs="Calibri" w:eastAsia="Calibri" w:hAnsi="Calibri"/>
          <w:b/>
          <w:bCs/>
          <w:color w:val="1F2733"/>
          <w:sz w:val="22"/>
          <w:szCs w:val="22"/>
        </w:rPr>
        <w:t xml:space="preserve">Operations staff: </w:t>
      </w:r>
      <w:r>
        <w:rPr>
          <w:rFonts w:ascii="Calibri" w:cs="Calibri" w:eastAsia="Calibri" w:hAnsi="Calibri"/>
          <w:color w:val="222222"/>
          <w:sz w:val="22"/>
          <w:szCs w:val="22"/>
        </w:rPr>
        <w:t xml:space="preserve">Manage inventory, approve bookings, schedule dispatch and haulage, and monitor the live fleet map from the operations console.</w:t>
      </w:r>
    </w:p>
    <w:p>
      <w:pPr>
        <w:pStyle w:val="ListParagraph"/>
        <w:numPr>
          <w:ilvl w:val="0"/>
          <w:numId w:val="2"/>
        </w:numPr>
        <w:spacing w:after="100" w:line="290"/>
      </w:pPr>
      <w:r>
        <w:rPr>
          <w:rFonts w:ascii="Calibri" w:cs="Calibri" w:eastAsia="Calibri" w:hAnsi="Calibri"/>
          <w:b/>
          <w:bCs/>
          <w:color w:val="1F2733"/>
          <w:sz w:val="22"/>
          <w:szCs w:val="22"/>
        </w:rPr>
        <w:t xml:space="preserve">Finance team: </w:t>
      </w:r>
      <w:r>
        <w:rPr>
          <w:rFonts w:ascii="Calibri" w:cs="Calibri" w:eastAsia="Calibri" w:hAnsi="Calibri"/>
          <w:color w:val="222222"/>
          <w:sz w:val="22"/>
          <w:szCs w:val="22"/>
        </w:rPr>
        <w:t xml:space="preserve">Control pricing, invoicing, deposits, payouts, and reconciliation under dual-approval workflows.</w:t>
      </w:r>
    </w:p>
    <w:p>
      <w:pPr>
        <w:pStyle w:val="ListParagraph"/>
        <w:numPr>
          <w:ilvl w:val="0"/>
          <w:numId w:val="2"/>
        </w:numPr>
        <w:spacing w:after="100" w:line="290"/>
      </w:pPr>
      <w:r>
        <w:rPr>
          <w:rFonts w:ascii="Calibri" w:cs="Calibri" w:eastAsia="Calibri" w:hAnsi="Calibri"/>
          <w:b/>
          <w:bCs/>
          <w:color w:val="1F2733"/>
          <w:sz w:val="22"/>
          <w:szCs w:val="22"/>
        </w:rPr>
        <w:t xml:space="preserve">Maintenance crews: </w:t>
      </w:r>
      <w:r>
        <w:rPr>
          <w:rFonts w:ascii="Calibri" w:cs="Calibri" w:eastAsia="Calibri" w:hAnsi="Calibri"/>
          <w:color w:val="222222"/>
          <w:sz w:val="22"/>
          <w:szCs w:val="22"/>
        </w:rPr>
        <w:t xml:space="preserve">Receive work orders, log service history, and get automatic alerts when telemetry thresholds are crossed.</w:t>
      </w:r>
    </w:p>
    <w:p>
      <w:pPr>
        <w:pStyle w:val="ListParagraph"/>
        <w:numPr>
          <w:ilvl w:val="0"/>
          <w:numId w:val="2"/>
        </w:numPr>
        <w:spacing w:after="100" w:line="290"/>
      </w:pPr>
      <w:r>
        <w:rPr>
          <w:rFonts w:ascii="Calibri" w:cs="Calibri" w:eastAsia="Calibri" w:hAnsi="Calibri"/>
          <w:b/>
          <w:bCs/>
          <w:color w:val="1F2733"/>
          <w:sz w:val="22"/>
          <w:szCs w:val="22"/>
        </w:rPr>
        <w:t xml:space="preserve">Management: </w:t>
      </w:r>
      <w:r>
        <w:rPr>
          <w:rFonts w:ascii="Calibri" w:cs="Calibri" w:eastAsia="Calibri" w:hAnsi="Calibri"/>
          <w:color w:val="222222"/>
          <w:sz w:val="22"/>
          <w:szCs w:val="22"/>
        </w:rPr>
        <w:t xml:space="preserve">Access executive dashboards, KPI scorecards, and exportable reports.</w:t>
      </w:r>
    </w:p>
    <w:p>
      <w:r>
        <w:br w:type="page"/>
      </w:r>
    </w:p>
    <w:p>
      <w:pPr>
        <w:pStyle w:val="Heading1"/>
        <w:spacing w:after="200" w:before="360"/>
      </w:pPr>
      <w:r>
        <w:rPr>
          <w:rFonts w:ascii="Cambria" w:cs="Cambria" w:eastAsia="Cambria" w:hAnsi="Cambria"/>
          <w:b/>
          <w:bCs/>
          <w:color w:val="1F2733"/>
          <w:sz w:val="34"/>
          <w:szCs w:val="34"/>
        </w:rPr>
        <w:t xml:space="preserve">4. Functional Scope</w:t>
      </w:r>
    </w:p>
    <w:p>
      <w:pPr>
        <w:pStyle w:val="Heading2"/>
        <w:spacing w:after="160" w:before="280"/>
      </w:pPr>
      <w:r>
        <w:rPr>
          <w:rFonts w:ascii="Cambria" w:cs="Cambria" w:eastAsia="Cambria" w:hAnsi="Cambria"/>
          <w:b/>
          <w:bCs/>
          <w:color w:val="1F2733"/>
          <w:sz w:val="27"/>
          <w:szCs w:val="27"/>
        </w:rPr>
        <w:t xml:space="preserve">4.1 Customer Experience Platform</w:t>
      </w:r>
    </w:p>
    <w:p>
      <w:pPr>
        <w:pStyle w:val="ListParagraph"/>
        <w:numPr>
          <w:ilvl w:val="0"/>
          <w:numId w:val="2"/>
        </w:numPr>
        <w:spacing w:after="100" w:line="290"/>
      </w:pPr>
      <w:r>
        <w:rPr>
          <w:rFonts w:ascii="Calibri" w:cs="Calibri" w:eastAsia="Calibri" w:hAnsi="Calibri"/>
          <w:b/>
          <w:bCs/>
          <w:color w:val="1F2733"/>
          <w:sz w:val="22"/>
          <w:szCs w:val="22"/>
        </w:rPr>
        <w:t xml:space="preserve">Catalog &amp; availability: </w:t>
      </w:r>
      <w:r>
        <w:rPr>
          <w:rFonts w:ascii="Calibri" w:cs="Calibri" w:eastAsia="Calibri" w:hAnsi="Calibri"/>
          <w:color w:val="222222"/>
          <w:sz w:val="22"/>
          <w:szCs w:val="22"/>
        </w:rPr>
        <w:t xml:space="preserve">Rich equipment catalog with specifications, imagery, rate cards (hourly/daily/weekly/monthly), and live availability by branch and date range.</w:t>
      </w:r>
    </w:p>
    <w:p>
      <w:pPr>
        <w:pStyle w:val="ListParagraph"/>
        <w:numPr>
          <w:ilvl w:val="0"/>
          <w:numId w:val="2"/>
        </w:numPr>
        <w:spacing w:after="100" w:line="290"/>
      </w:pPr>
      <w:r>
        <w:rPr>
          <w:rFonts w:ascii="Calibri" w:cs="Calibri" w:eastAsia="Calibri" w:hAnsi="Calibri"/>
          <w:b/>
          <w:bCs/>
          <w:color w:val="1F2733"/>
          <w:sz w:val="22"/>
          <w:szCs w:val="22"/>
        </w:rPr>
        <w:t xml:space="preserve">Online booking: </w:t>
      </w:r>
      <w:r>
        <w:rPr>
          <w:rFonts w:ascii="Calibri" w:cs="Calibri" w:eastAsia="Calibri" w:hAnsi="Calibri"/>
          <w:color w:val="222222"/>
          <w:sz w:val="22"/>
          <w:szCs w:val="22"/>
        </w:rPr>
        <w:t xml:space="preserve">Guided reservation flow with instant conflict checking, transport/haulage add-ons, operator hire options, and transparent quotations.</w:t>
      </w:r>
    </w:p>
    <w:p>
      <w:pPr>
        <w:pStyle w:val="ListParagraph"/>
        <w:numPr>
          <w:ilvl w:val="0"/>
          <w:numId w:val="2"/>
        </w:numPr>
        <w:spacing w:after="100" w:line="290"/>
      </w:pPr>
      <w:r>
        <w:rPr>
          <w:rFonts w:ascii="Calibri" w:cs="Calibri" w:eastAsia="Calibri" w:hAnsi="Calibri"/>
          <w:b/>
          <w:bCs/>
          <w:color w:val="1F2733"/>
          <w:sz w:val="22"/>
          <w:szCs w:val="22"/>
        </w:rPr>
        <w:t xml:space="preserve">KYC &amp; digital contracts: </w:t>
      </w:r>
      <w:r>
        <w:rPr>
          <w:rFonts w:ascii="Calibri" w:cs="Calibri" w:eastAsia="Calibri" w:hAnsi="Calibri"/>
          <w:color w:val="222222"/>
          <w:sz w:val="22"/>
          <w:szCs w:val="22"/>
        </w:rPr>
        <w:t xml:space="preserve">Customer identity verification (Ghana Card / business registration), credit assessment for corporate accounts, and digitally signed rental agreements.</w:t>
      </w:r>
    </w:p>
    <w:p>
      <w:pPr>
        <w:pStyle w:val="ListParagraph"/>
        <w:numPr>
          <w:ilvl w:val="0"/>
          <w:numId w:val="2"/>
        </w:numPr>
        <w:spacing w:after="100" w:line="290"/>
      </w:pPr>
      <w:r>
        <w:rPr>
          <w:rFonts w:ascii="Calibri" w:cs="Calibri" w:eastAsia="Calibri" w:hAnsi="Calibri"/>
          <w:b/>
          <w:bCs/>
          <w:color w:val="1F2733"/>
          <w:sz w:val="22"/>
          <w:szCs w:val="22"/>
        </w:rPr>
        <w:t xml:space="preserve">Payments: </w:t>
      </w:r>
      <w:r>
        <w:rPr>
          <w:rFonts w:ascii="Calibri" w:cs="Calibri" w:eastAsia="Calibri" w:hAnsi="Calibri"/>
          <w:color w:val="222222"/>
          <w:sz w:val="22"/>
          <w:szCs w:val="22"/>
        </w:rPr>
        <w:t xml:space="preserve">Integrated payments through Paystack supporting MTN Mobile Money, Telecel Cash, AT Money, cards, and bank transfer; deposits, part-payments, and refunds handled natively.</w:t>
      </w:r>
    </w:p>
    <w:p>
      <w:pPr>
        <w:pStyle w:val="ListParagraph"/>
        <w:numPr>
          <w:ilvl w:val="0"/>
          <w:numId w:val="2"/>
        </w:numPr>
        <w:spacing w:after="100" w:line="290"/>
      </w:pPr>
      <w:r>
        <w:rPr>
          <w:rFonts w:ascii="Calibri" w:cs="Calibri" w:eastAsia="Calibri" w:hAnsi="Calibri"/>
          <w:b/>
          <w:bCs/>
          <w:color w:val="1F2733"/>
          <w:sz w:val="22"/>
          <w:szCs w:val="22"/>
        </w:rPr>
        <w:t xml:space="preserve">Self-service account: </w:t>
      </w:r>
      <w:r>
        <w:rPr>
          <w:rFonts w:ascii="Calibri" w:cs="Calibri" w:eastAsia="Calibri" w:hAnsi="Calibri"/>
          <w:color w:val="222222"/>
          <w:sz w:val="22"/>
          <w:szCs w:val="22"/>
        </w:rPr>
        <w:t xml:space="preserve">Account dashboard with rental history, live location of rented machines, invoices, statements, and support tickets.</w:t>
      </w:r>
    </w:p>
    <w:p>
      <w:pPr>
        <w:pStyle w:val="ListParagraph"/>
        <w:numPr>
          <w:ilvl w:val="0"/>
          <w:numId w:val="2"/>
        </w:numPr>
        <w:spacing w:after="100" w:line="290"/>
      </w:pPr>
      <w:r>
        <w:rPr>
          <w:rFonts w:ascii="Calibri" w:cs="Calibri" w:eastAsia="Calibri" w:hAnsi="Calibri"/>
          <w:b/>
          <w:bCs/>
          <w:color w:val="1F2733"/>
          <w:sz w:val="22"/>
          <w:szCs w:val="22"/>
        </w:rPr>
        <w:t xml:space="preserve">Notifications: </w:t>
      </w:r>
      <w:r>
        <w:rPr>
          <w:rFonts w:ascii="Calibri" w:cs="Calibri" w:eastAsia="Calibri" w:hAnsi="Calibri"/>
          <w:color w:val="222222"/>
          <w:sz w:val="22"/>
          <w:szCs w:val="22"/>
        </w:rPr>
        <w:t xml:space="preserve">Automated SMS, email, and push notifications for booking confirmations, payment receipts, delivery schedules, and return reminders.</w:t>
      </w:r>
    </w:p>
    <w:p>
      <w:pPr>
        <w:pStyle w:val="Heading2"/>
        <w:spacing w:after="160" w:before="280"/>
      </w:pPr>
      <w:r>
        <w:rPr>
          <w:rFonts w:ascii="Cambria" w:cs="Cambria" w:eastAsia="Cambria" w:hAnsi="Cambria"/>
          <w:b/>
          <w:bCs/>
          <w:color w:val="1F2733"/>
          <w:sz w:val="27"/>
          <w:szCs w:val="27"/>
        </w:rPr>
        <w:t xml:space="preserve">4.2 Operations &amp; Administration Console</w:t>
      </w:r>
    </w:p>
    <w:p>
      <w:pPr>
        <w:pStyle w:val="ListParagraph"/>
        <w:numPr>
          <w:ilvl w:val="0"/>
          <w:numId w:val="2"/>
        </w:numPr>
        <w:spacing w:after="100" w:line="290"/>
      </w:pPr>
      <w:r>
        <w:rPr>
          <w:rFonts w:ascii="Calibri" w:cs="Calibri" w:eastAsia="Calibri" w:hAnsi="Calibri"/>
          <w:b/>
          <w:bCs/>
          <w:color w:val="1F2733"/>
          <w:sz w:val="22"/>
          <w:szCs w:val="22"/>
        </w:rPr>
        <w:t xml:space="preserve">Command dashboard: </w:t>
      </w:r>
      <w:r>
        <w:rPr>
          <w:rFonts w:ascii="Calibri" w:cs="Calibri" w:eastAsia="Calibri" w:hAnsi="Calibri"/>
          <w:color w:val="222222"/>
          <w:sz w:val="22"/>
          <w:szCs w:val="22"/>
        </w:rPr>
        <w:t xml:space="preserve">Real-time overview of fleet status, active rentals, pipeline bookings, revenue, and alerts requiring action.</w:t>
      </w:r>
    </w:p>
    <w:p>
      <w:pPr>
        <w:pStyle w:val="ListParagraph"/>
        <w:numPr>
          <w:ilvl w:val="0"/>
          <w:numId w:val="2"/>
        </w:numPr>
        <w:spacing w:after="100" w:line="290"/>
      </w:pPr>
      <w:r>
        <w:rPr>
          <w:rFonts w:ascii="Calibri" w:cs="Calibri" w:eastAsia="Calibri" w:hAnsi="Calibri"/>
          <w:b/>
          <w:bCs/>
          <w:color w:val="1F2733"/>
          <w:sz w:val="22"/>
          <w:szCs w:val="22"/>
        </w:rPr>
        <w:t xml:space="preserve">Inventory &amp; asset registry: </w:t>
      </w:r>
      <w:r>
        <w:rPr>
          <w:rFonts w:ascii="Calibri" w:cs="Calibri" w:eastAsia="Calibri" w:hAnsi="Calibri"/>
          <w:color w:val="222222"/>
          <w:sz w:val="22"/>
          <w:szCs w:val="22"/>
        </w:rPr>
        <w:t xml:space="preserve">Full asset lifecycle management — acquisition, documentation, insurance, deployment, maintenance, and disposal — with per-asset profitability tracking.</w:t>
      </w:r>
    </w:p>
    <w:p>
      <w:pPr>
        <w:pStyle w:val="ListParagraph"/>
        <w:numPr>
          <w:ilvl w:val="0"/>
          <w:numId w:val="2"/>
        </w:numPr>
        <w:spacing w:after="100" w:line="290"/>
      </w:pPr>
      <w:r>
        <w:rPr>
          <w:rFonts w:ascii="Calibri" w:cs="Calibri" w:eastAsia="Calibri" w:hAnsi="Calibri"/>
          <w:b/>
          <w:bCs/>
          <w:color w:val="1F2733"/>
          <w:sz w:val="22"/>
          <w:szCs w:val="22"/>
        </w:rPr>
        <w:t xml:space="preserve">Booking &amp; dispatch management: </w:t>
      </w:r>
      <w:r>
        <w:rPr>
          <w:rFonts w:ascii="Calibri" w:cs="Calibri" w:eastAsia="Calibri" w:hAnsi="Calibri"/>
          <w:color w:val="222222"/>
          <w:sz w:val="22"/>
          <w:szCs w:val="22"/>
        </w:rPr>
        <w:t xml:space="preserve">Approve, modify, or cancel bookings; manage rental agreements, extensions, and early returns; coordinate delivery and pickup logistics.</w:t>
      </w:r>
    </w:p>
    <w:p>
      <w:pPr>
        <w:pStyle w:val="ListParagraph"/>
        <w:numPr>
          <w:ilvl w:val="0"/>
          <w:numId w:val="2"/>
        </w:numPr>
        <w:spacing w:after="100" w:line="290"/>
      </w:pPr>
      <w:r>
        <w:rPr>
          <w:rFonts w:ascii="Calibri" w:cs="Calibri" w:eastAsia="Calibri" w:hAnsi="Calibri"/>
          <w:b/>
          <w:bCs/>
          <w:color w:val="1F2733"/>
          <w:sz w:val="22"/>
          <w:szCs w:val="22"/>
        </w:rPr>
        <w:t xml:space="preserve">Maintenance management: </w:t>
      </w:r>
      <w:r>
        <w:rPr>
          <w:rFonts w:ascii="Calibri" w:cs="Calibri" w:eastAsia="Calibri" w:hAnsi="Calibri"/>
          <w:color w:val="222222"/>
          <w:sz w:val="22"/>
          <w:szCs w:val="22"/>
        </w:rPr>
        <w:t xml:space="preserve">Preventive maintenance scheduling driven by engine hours and calendar rules; work orders, parts usage, service history, and downtime tracking.</w:t>
      </w:r>
    </w:p>
    <w:p>
      <w:pPr>
        <w:pStyle w:val="ListParagraph"/>
        <w:numPr>
          <w:ilvl w:val="0"/>
          <w:numId w:val="2"/>
        </w:numPr>
        <w:spacing w:after="100" w:line="290"/>
      </w:pPr>
      <w:r>
        <w:rPr>
          <w:rFonts w:ascii="Calibri" w:cs="Calibri" w:eastAsia="Calibri" w:hAnsi="Calibri"/>
          <w:b/>
          <w:bCs/>
          <w:color w:val="1F2733"/>
          <w:sz w:val="22"/>
          <w:szCs w:val="22"/>
        </w:rPr>
        <w:t xml:space="preserve">Pricing &amp; promotions: </w:t>
      </w:r>
      <w:r>
        <w:rPr>
          <w:rFonts w:ascii="Calibri" w:cs="Calibri" w:eastAsia="Calibri" w:hAnsi="Calibri"/>
          <w:color w:val="222222"/>
          <w:sz w:val="22"/>
          <w:szCs w:val="22"/>
        </w:rPr>
        <w:t xml:space="preserve">Dynamic and seasonal pricing, customer-segment rates, promotional campaigns, and discount governance with approval thresholds.</w:t>
      </w:r>
    </w:p>
    <w:p>
      <w:pPr>
        <w:pStyle w:val="ListParagraph"/>
        <w:numPr>
          <w:ilvl w:val="0"/>
          <w:numId w:val="2"/>
        </w:numPr>
        <w:spacing w:after="100" w:line="290"/>
      </w:pPr>
      <w:r>
        <w:rPr>
          <w:rFonts w:ascii="Calibri" w:cs="Calibri" w:eastAsia="Calibri" w:hAnsi="Calibri"/>
          <w:b/>
          <w:bCs/>
          <w:color w:val="1F2733"/>
          <w:sz w:val="22"/>
          <w:szCs w:val="22"/>
        </w:rPr>
        <w:t xml:space="preserve">Customer management: </w:t>
      </w:r>
      <w:r>
        <w:rPr>
          <w:rFonts w:ascii="Calibri" w:cs="Calibri" w:eastAsia="Calibri" w:hAnsi="Calibri"/>
          <w:color w:val="222222"/>
          <w:sz w:val="22"/>
          <w:szCs w:val="22"/>
        </w:rPr>
        <w:t xml:space="preserve">360° customer profiles with rental history, payment behaviour, communication log, blacklist controls, and credit limits.</w:t>
      </w:r>
    </w:p>
    <w:p>
      <w:pPr>
        <w:pStyle w:val="ListParagraph"/>
        <w:numPr>
          <w:ilvl w:val="0"/>
          <w:numId w:val="2"/>
        </w:numPr>
        <w:spacing w:after="100" w:line="290"/>
      </w:pPr>
      <w:r>
        <w:rPr>
          <w:rFonts w:ascii="Calibri" w:cs="Calibri" w:eastAsia="Calibri" w:hAnsi="Calibri"/>
          <w:b/>
          <w:bCs/>
          <w:color w:val="1F2733"/>
          <w:sz w:val="22"/>
          <w:szCs w:val="22"/>
        </w:rPr>
        <w:t xml:space="preserve">Governance &amp; RBAC: </w:t>
      </w:r>
      <w:r>
        <w:rPr>
          <w:rFonts w:ascii="Calibri" w:cs="Calibri" w:eastAsia="Calibri" w:hAnsi="Calibri"/>
          <w:color w:val="222222"/>
          <w:sz w:val="22"/>
          <w:szCs w:val="22"/>
        </w:rPr>
        <w:t xml:space="preserve">Fine-grained role-based access control with maker–checker approval chains, session policies, and a tamper-evident audit trail of every administrative action.</w:t>
      </w:r>
    </w:p>
    <w:p>
      <w:pPr>
        <w:pStyle w:val="Heading2"/>
        <w:spacing w:after="160" w:before="280"/>
      </w:pPr>
      <w:r>
        <w:rPr>
          <w:rFonts w:ascii="Cambria" w:cs="Cambria" w:eastAsia="Cambria" w:hAnsi="Cambria"/>
          <w:b/>
          <w:bCs/>
          <w:color w:val="1F2733"/>
          <w:sz w:val="27"/>
          <w:szCs w:val="27"/>
        </w:rPr>
        <w:t xml:space="preserve">4.3 Fleet Telematics &amp; Tracking</w:t>
      </w:r>
    </w:p>
    <w:p>
      <w:pPr>
        <w:pStyle w:val="ListParagraph"/>
        <w:numPr>
          <w:ilvl w:val="0"/>
          <w:numId w:val="2"/>
        </w:numPr>
        <w:spacing w:after="100" w:line="290"/>
      </w:pPr>
      <w:r>
        <w:rPr>
          <w:rFonts w:ascii="Calibri" w:cs="Calibri" w:eastAsia="Calibri" w:hAnsi="Calibri"/>
          <w:b/>
          <w:bCs/>
          <w:color w:val="1F2733"/>
          <w:sz w:val="22"/>
          <w:szCs w:val="22"/>
        </w:rPr>
        <w:t xml:space="preserve">Real-time GPS tracking: </w:t>
      </w:r>
      <w:r>
        <w:rPr>
          <w:rFonts w:ascii="Calibri" w:cs="Calibri" w:eastAsia="Calibri" w:hAnsi="Calibri"/>
          <w:color w:val="222222"/>
          <w:sz w:val="22"/>
          <w:szCs w:val="22"/>
        </w:rPr>
        <w:t xml:space="preserve">Live map of all assets with clustering, branch filters, and per-asset drill-down to speed, ignition state, and utilization.</w:t>
      </w:r>
    </w:p>
    <w:p>
      <w:pPr>
        <w:pStyle w:val="ListParagraph"/>
        <w:numPr>
          <w:ilvl w:val="0"/>
          <w:numId w:val="2"/>
        </w:numPr>
        <w:spacing w:after="100" w:line="290"/>
      </w:pPr>
      <w:r>
        <w:rPr>
          <w:rFonts w:ascii="Calibri" w:cs="Calibri" w:eastAsia="Calibri" w:hAnsi="Calibri"/>
          <w:b/>
          <w:bCs/>
          <w:color w:val="1F2733"/>
          <w:sz w:val="22"/>
          <w:szCs w:val="22"/>
        </w:rPr>
        <w:t xml:space="preserve">Geofencing &amp; alerts: </w:t>
      </w:r>
      <w:r>
        <w:rPr>
          <w:rFonts w:ascii="Calibri" w:cs="Calibri" w:eastAsia="Calibri" w:hAnsi="Calibri"/>
          <w:color w:val="222222"/>
          <w:sz w:val="22"/>
          <w:szCs w:val="22"/>
        </w:rPr>
        <w:t xml:space="preserve">Polygon geofences per job site with entry/exit alerts, after-hours movement detection, and configurable escalation to SMS and phone.</w:t>
      </w:r>
    </w:p>
    <w:p>
      <w:pPr>
        <w:pStyle w:val="ListParagraph"/>
        <w:numPr>
          <w:ilvl w:val="0"/>
          <w:numId w:val="2"/>
        </w:numPr>
        <w:spacing w:after="100" w:line="290"/>
      </w:pPr>
      <w:r>
        <w:rPr>
          <w:rFonts w:ascii="Calibri" w:cs="Calibri" w:eastAsia="Calibri" w:hAnsi="Calibri"/>
          <w:b/>
          <w:bCs/>
          <w:color w:val="1F2733"/>
          <w:sz w:val="22"/>
          <w:szCs w:val="22"/>
        </w:rPr>
        <w:t xml:space="preserve">Route history: </w:t>
      </w:r>
      <w:r>
        <w:rPr>
          <w:rFonts w:ascii="Calibri" w:cs="Calibri" w:eastAsia="Calibri" w:hAnsi="Calibri"/>
          <w:color w:val="222222"/>
          <w:sz w:val="22"/>
          <w:szCs w:val="22"/>
        </w:rPr>
        <w:t xml:space="preserve">Historical route playback, stop analysis, and idle-time reporting for any period.</w:t>
      </w:r>
    </w:p>
    <w:p>
      <w:pPr>
        <w:pStyle w:val="ListParagraph"/>
        <w:numPr>
          <w:ilvl w:val="0"/>
          <w:numId w:val="2"/>
        </w:numPr>
        <w:spacing w:after="100" w:line="290"/>
      </w:pPr>
      <w:r>
        <w:rPr>
          <w:rFonts w:ascii="Calibri" w:cs="Calibri" w:eastAsia="Calibri" w:hAnsi="Calibri"/>
          <w:b/>
          <w:bCs/>
          <w:color w:val="1F2733"/>
          <w:sz w:val="22"/>
          <w:szCs w:val="22"/>
        </w:rPr>
        <w:t xml:space="preserve">Engine-hour telemetry: </w:t>
      </w:r>
      <w:r>
        <w:rPr>
          <w:rFonts w:ascii="Calibri" w:cs="Calibri" w:eastAsia="Calibri" w:hAnsi="Calibri"/>
          <w:color w:val="222222"/>
          <w:sz w:val="22"/>
          <w:szCs w:val="22"/>
        </w:rPr>
        <w:t xml:space="preserve">Verified engine-hour capture feeding billing, utilization analytics, and maintenance triggers automatically.</w:t>
      </w:r>
    </w:p>
    <w:p>
      <w:pPr>
        <w:pStyle w:val="ListParagraph"/>
        <w:numPr>
          <w:ilvl w:val="0"/>
          <w:numId w:val="2"/>
        </w:numPr>
        <w:spacing w:after="100" w:line="290"/>
      </w:pPr>
      <w:r>
        <w:rPr>
          <w:rFonts w:ascii="Calibri" w:cs="Calibri" w:eastAsia="Calibri" w:hAnsi="Calibri"/>
          <w:b/>
          <w:bCs/>
          <w:color w:val="1F2733"/>
          <w:sz w:val="22"/>
          <w:szCs w:val="22"/>
        </w:rPr>
        <w:t xml:space="preserve">Theft prevention: </w:t>
      </w:r>
      <w:r>
        <w:rPr>
          <w:rFonts w:ascii="Calibri" w:cs="Calibri" w:eastAsia="Calibri" w:hAnsi="Calibri"/>
          <w:color w:val="222222"/>
          <w:sz w:val="22"/>
          <w:szCs w:val="22"/>
        </w:rPr>
        <w:t xml:space="preserve">Ignition-off immobilization support (where hardware permits), tamper and disconnect alerts, and recovery-mode high-frequency tracking.</w:t>
      </w:r>
    </w:p>
    <w:p>
      <w:pPr>
        <w:pStyle w:val="ListParagraph"/>
        <w:numPr>
          <w:ilvl w:val="0"/>
          <w:numId w:val="2"/>
        </w:numPr>
        <w:spacing w:after="100" w:line="290"/>
      </w:pPr>
      <w:r>
        <w:rPr>
          <w:rFonts w:ascii="Calibri" w:cs="Calibri" w:eastAsia="Calibri" w:hAnsi="Calibri"/>
          <w:b/>
          <w:bCs/>
          <w:color w:val="1F2733"/>
          <w:sz w:val="22"/>
          <w:szCs w:val="22"/>
        </w:rPr>
        <w:t xml:space="preserve">Telematics abstraction: </w:t>
      </w:r>
      <w:r>
        <w:rPr>
          <w:rFonts w:ascii="Calibri" w:cs="Calibri" w:eastAsia="Calibri" w:hAnsi="Calibri"/>
          <w:color w:val="222222"/>
          <w:sz w:val="22"/>
          <w:szCs w:val="22"/>
        </w:rPr>
        <w:t xml:space="preserve">Hardware-agnostic ingestion layer supporting Teltonika-class GPS/CAN devices and API integration with providers such as Samsara or Geotab — avoiding vendor lock-in.</w:t>
      </w:r>
    </w:p>
    <w:p>
      <w:pPr>
        <w:pStyle w:val="Heading2"/>
        <w:spacing w:after="160" w:before="280"/>
      </w:pPr>
      <w:r>
        <w:rPr>
          <w:rFonts w:ascii="Cambria" w:cs="Cambria" w:eastAsia="Cambria" w:hAnsi="Cambria"/>
          <w:b/>
          <w:bCs/>
          <w:color w:val="1F2733"/>
          <w:sz w:val="27"/>
          <w:szCs w:val="27"/>
        </w:rPr>
        <w:t xml:space="preserve">4.4 Financial Operations</w:t>
      </w:r>
    </w:p>
    <w:p>
      <w:pPr>
        <w:pStyle w:val="ListParagraph"/>
        <w:numPr>
          <w:ilvl w:val="0"/>
          <w:numId w:val="2"/>
        </w:numPr>
        <w:spacing w:after="100" w:line="290"/>
      </w:pPr>
      <w:r>
        <w:rPr>
          <w:rFonts w:ascii="Calibri" w:cs="Calibri" w:eastAsia="Calibri" w:hAnsi="Calibri"/>
          <w:b/>
          <w:bCs/>
          <w:color w:val="1F2733"/>
          <w:sz w:val="22"/>
          <w:szCs w:val="22"/>
        </w:rPr>
        <w:t xml:space="preserve">Billing &amp; invoicing: </w:t>
      </w:r>
      <w:r>
        <w:rPr>
          <w:rFonts w:ascii="Calibri" w:cs="Calibri" w:eastAsia="Calibri" w:hAnsi="Calibri"/>
          <w:color w:val="222222"/>
          <w:sz w:val="22"/>
          <w:szCs w:val="22"/>
        </w:rPr>
        <w:t xml:space="preserve">Automated invoice generation from bookings and verified engine hours; VAT/levy handling aligned to Ghana Revenue Authority requirements.</w:t>
      </w:r>
    </w:p>
    <w:p>
      <w:pPr>
        <w:pStyle w:val="ListParagraph"/>
        <w:numPr>
          <w:ilvl w:val="0"/>
          <w:numId w:val="2"/>
        </w:numPr>
        <w:spacing w:after="100" w:line="290"/>
      </w:pPr>
      <w:r>
        <w:rPr>
          <w:rFonts w:ascii="Calibri" w:cs="Calibri" w:eastAsia="Calibri" w:hAnsi="Calibri"/>
          <w:b/>
          <w:bCs/>
          <w:color w:val="1F2733"/>
          <w:sz w:val="22"/>
          <w:szCs w:val="22"/>
        </w:rPr>
        <w:t xml:space="preserve">Deposits: </w:t>
      </w:r>
      <w:r>
        <w:rPr>
          <w:rFonts w:ascii="Calibri" w:cs="Calibri" w:eastAsia="Calibri" w:hAnsi="Calibri"/>
          <w:color w:val="222222"/>
          <w:sz w:val="22"/>
          <w:szCs w:val="22"/>
        </w:rPr>
        <w:t xml:space="preserve">Security deposit capture, holds, deductions with evidence workflow, and refunds.</w:t>
      </w:r>
    </w:p>
    <w:p>
      <w:pPr>
        <w:pStyle w:val="ListParagraph"/>
        <w:numPr>
          <w:ilvl w:val="0"/>
          <w:numId w:val="2"/>
        </w:numPr>
        <w:spacing w:after="100" w:line="290"/>
      </w:pPr>
      <w:r>
        <w:rPr>
          <w:rFonts w:ascii="Calibri" w:cs="Calibri" w:eastAsia="Calibri" w:hAnsi="Calibri"/>
          <w:b/>
          <w:bCs/>
          <w:color w:val="1F2733"/>
          <w:sz w:val="22"/>
          <w:szCs w:val="22"/>
        </w:rPr>
        <w:t xml:space="preserve">Controlled disbursements: </w:t>
      </w:r>
      <w:r>
        <w:rPr>
          <w:rFonts w:ascii="Calibri" w:cs="Calibri" w:eastAsia="Calibri" w:hAnsi="Calibri"/>
          <w:color w:val="222222"/>
          <w:sz w:val="22"/>
          <w:szCs w:val="22"/>
        </w:rPr>
        <w:t xml:space="preserve">Payouts, withdrawals, and internal transfers executed under dual-control (maker–checker) with configurable approval limits.</w:t>
      </w:r>
    </w:p>
    <w:p>
      <w:pPr>
        <w:pStyle w:val="ListParagraph"/>
        <w:numPr>
          <w:ilvl w:val="0"/>
          <w:numId w:val="2"/>
        </w:numPr>
        <w:spacing w:after="100" w:line="290"/>
      </w:pPr>
      <w:r>
        <w:rPr>
          <w:rFonts w:ascii="Calibri" w:cs="Calibri" w:eastAsia="Calibri" w:hAnsi="Calibri"/>
          <w:b/>
          <w:bCs/>
          <w:color w:val="1F2733"/>
          <w:sz w:val="22"/>
          <w:szCs w:val="22"/>
        </w:rPr>
        <w:t xml:space="preserve">Reconciliation: </w:t>
      </w:r>
      <w:r>
        <w:rPr>
          <w:rFonts w:ascii="Calibri" w:cs="Calibri" w:eastAsia="Calibri" w:hAnsi="Calibri"/>
          <w:color w:val="222222"/>
          <w:sz w:val="22"/>
          <w:szCs w:val="22"/>
        </w:rPr>
        <w:t xml:space="preserve">Automatic matching of gateway settlements to invoices; exception queues for unmatched items; end-of-day and end-of-month close reports.</w:t>
      </w:r>
    </w:p>
    <w:p>
      <w:pPr>
        <w:pStyle w:val="ListParagraph"/>
        <w:numPr>
          <w:ilvl w:val="0"/>
          <w:numId w:val="2"/>
        </w:numPr>
        <w:spacing w:after="100" w:line="290"/>
      </w:pPr>
      <w:r>
        <w:rPr>
          <w:rFonts w:ascii="Calibri" w:cs="Calibri" w:eastAsia="Calibri" w:hAnsi="Calibri"/>
          <w:b/>
          <w:bCs/>
          <w:color w:val="1F2733"/>
          <w:sz w:val="22"/>
          <w:szCs w:val="22"/>
        </w:rPr>
        <w:t xml:space="preserve">Ledger &amp; audit: </w:t>
      </w:r>
      <w:r>
        <w:rPr>
          <w:rFonts w:ascii="Calibri" w:cs="Calibri" w:eastAsia="Calibri" w:hAnsi="Calibri"/>
          <w:color w:val="222222"/>
          <w:sz w:val="22"/>
          <w:szCs w:val="22"/>
        </w:rPr>
        <w:t xml:space="preserve">Double-entry transaction ledger with export to accounting systems (QuickBooks, Sage, Xero) and audit-ready statements.</w:t>
      </w:r>
    </w:p>
    <w:p>
      <w:pPr>
        <w:pStyle w:val="Heading2"/>
        <w:spacing w:after="160" w:before="280"/>
      </w:pPr>
      <w:r>
        <w:rPr>
          <w:rFonts w:ascii="Cambria" w:cs="Cambria" w:eastAsia="Cambria" w:hAnsi="Cambria"/>
          <w:b/>
          <w:bCs/>
          <w:color w:val="1F2733"/>
          <w:sz w:val="27"/>
          <w:szCs w:val="27"/>
        </w:rPr>
        <w:t xml:space="preserve">4.5 Analytics &amp; Reporting</w:t>
      </w:r>
    </w:p>
    <w:p>
      <w:pPr>
        <w:pStyle w:val="ListParagraph"/>
        <w:numPr>
          <w:ilvl w:val="0"/>
          <w:numId w:val="2"/>
        </w:numPr>
        <w:spacing w:after="100" w:line="290"/>
      </w:pPr>
      <w:r>
        <w:rPr>
          <w:rFonts w:ascii="Calibri" w:cs="Calibri" w:eastAsia="Calibri" w:hAnsi="Calibri"/>
          <w:b/>
          <w:bCs/>
          <w:color w:val="1F2733"/>
          <w:sz w:val="22"/>
          <w:szCs w:val="22"/>
        </w:rPr>
        <w:t xml:space="preserve">Dashboards: </w:t>
      </w:r>
      <w:r>
        <w:rPr>
          <w:rFonts w:ascii="Calibri" w:cs="Calibri" w:eastAsia="Calibri" w:hAnsi="Calibri"/>
          <w:color w:val="222222"/>
          <w:sz w:val="22"/>
          <w:szCs w:val="22"/>
        </w:rPr>
        <w:t xml:space="preserve">Executive KPI dashboard: utilization rate, revenue per asset, average rental duration, maintenance cost ratio, and customer acquisition trends.</w:t>
      </w:r>
    </w:p>
    <w:p>
      <w:pPr>
        <w:pStyle w:val="ListParagraph"/>
        <w:numPr>
          <w:ilvl w:val="0"/>
          <w:numId w:val="2"/>
        </w:numPr>
        <w:spacing w:after="100" w:line="290"/>
      </w:pPr>
      <w:r>
        <w:rPr>
          <w:rFonts w:ascii="Calibri" w:cs="Calibri" w:eastAsia="Calibri" w:hAnsi="Calibri"/>
          <w:b/>
          <w:bCs/>
          <w:color w:val="1F2733"/>
          <w:sz w:val="22"/>
          <w:szCs w:val="22"/>
        </w:rPr>
        <w:t xml:space="preserve">Operational reporting: </w:t>
      </w:r>
      <w:r>
        <w:rPr>
          <w:rFonts w:ascii="Calibri" w:cs="Calibri" w:eastAsia="Calibri" w:hAnsi="Calibri"/>
          <w:color w:val="222222"/>
          <w:sz w:val="22"/>
          <w:szCs w:val="22"/>
        </w:rPr>
        <w:t xml:space="preserve">Operational reports: idle assets, overdue returns, maintenance due, geofence violations, and payment aging.</w:t>
      </w:r>
    </w:p>
    <w:p>
      <w:pPr>
        <w:pStyle w:val="ListParagraph"/>
        <w:numPr>
          <w:ilvl w:val="0"/>
          <w:numId w:val="2"/>
        </w:numPr>
        <w:spacing w:after="100" w:line="290"/>
      </w:pPr>
      <w:r>
        <w:rPr>
          <w:rFonts w:ascii="Calibri" w:cs="Calibri" w:eastAsia="Calibri" w:hAnsi="Calibri"/>
          <w:b/>
          <w:bCs/>
          <w:color w:val="1F2733"/>
          <w:sz w:val="22"/>
          <w:szCs w:val="22"/>
        </w:rPr>
        <w:t xml:space="preserve">Distribution &amp; BI: </w:t>
      </w:r>
      <w:r>
        <w:rPr>
          <w:rFonts w:ascii="Calibri" w:cs="Calibri" w:eastAsia="Calibri" w:hAnsi="Calibri"/>
          <w:color w:val="222222"/>
          <w:sz w:val="22"/>
          <w:szCs w:val="22"/>
        </w:rPr>
        <w:t xml:space="preserve">Scheduled report delivery by email and export to Excel/PDF; API access for downstream BI tools (Power BI, Metabase).</w:t>
      </w:r>
    </w:p>
    <w:p>
      <w:r>
        <w:br w:type="page"/>
      </w:r>
    </w:p>
    <w:p>
      <w:pPr>
        <w:pStyle w:val="Heading1"/>
        <w:spacing w:after="200" w:before="360"/>
      </w:pPr>
      <w:r>
        <w:rPr>
          <w:rFonts w:ascii="Cambria" w:cs="Cambria" w:eastAsia="Cambria" w:hAnsi="Cambria"/>
          <w:b/>
          <w:bCs/>
          <w:color w:val="1F2733"/>
          <w:sz w:val="34"/>
          <w:szCs w:val="34"/>
        </w:rPr>
        <w:t xml:space="preserve">5. Enterprise Architecture</w:t>
      </w:r>
    </w:p>
    <w:p>
      <w:pPr>
        <w:pStyle w:val="Heading2"/>
        <w:spacing w:after="160" w:before="280"/>
      </w:pPr>
      <w:r>
        <w:rPr>
          <w:rFonts w:ascii="Cambria" w:cs="Cambria" w:eastAsia="Cambria" w:hAnsi="Cambria"/>
          <w:b/>
          <w:bCs/>
          <w:color w:val="1F2733"/>
          <w:sz w:val="27"/>
          <w:szCs w:val="27"/>
        </w:rPr>
        <w:t xml:space="preserve">5.1 Architecture Principles</w:t>
      </w:r>
    </w:p>
    <w:p>
      <w:pPr>
        <w:pStyle w:val="ListParagraph"/>
        <w:numPr>
          <w:ilvl w:val="0"/>
          <w:numId w:val="2"/>
        </w:numPr>
        <w:spacing w:after="100" w:line="290"/>
      </w:pPr>
      <w:r>
        <w:rPr>
          <w:rFonts w:ascii="Calibri" w:cs="Calibri" w:eastAsia="Calibri" w:hAnsi="Calibri"/>
          <w:color w:val="222222"/>
          <w:sz w:val="22"/>
          <w:szCs w:val="22"/>
        </w:rPr>
        <w:t xml:space="preserve">Cloud-native and containerized — services deployed on managed Kubernetes or serverless containers with infrastructure defined as code (Terraform).</w:t>
      </w:r>
    </w:p>
    <w:p>
      <w:pPr>
        <w:pStyle w:val="ListParagraph"/>
        <w:numPr>
          <w:ilvl w:val="0"/>
          <w:numId w:val="2"/>
        </w:numPr>
        <w:spacing w:after="100" w:line="290"/>
      </w:pPr>
      <w:r>
        <w:rPr>
          <w:rFonts w:ascii="Calibri" w:cs="Calibri" w:eastAsia="Calibri" w:hAnsi="Calibri"/>
          <w:color w:val="222222"/>
          <w:sz w:val="22"/>
          <w:szCs w:val="22"/>
        </w:rPr>
        <w:t xml:space="preserve">API-first — every capability exposed through a versioned REST API behind a central gateway, enabling web, mobile, and partner integrations from one contract.</w:t>
      </w:r>
    </w:p>
    <w:p>
      <w:pPr>
        <w:pStyle w:val="ListParagraph"/>
        <w:numPr>
          <w:ilvl w:val="0"/>
          <w:numId w:val="2"/>
        </w:numPr>
        <w:spacing w:after="100" w:line="290"/>
      </w:pPr>
      <w:r>
        <w:rPr>
          <w:rFonts w:ascii="Calibri" w:cs="Calibri" w:eastAsia="Calibri" w:hAnsi="Calibri"/>
          <w:color w:val="222222"/>
          <w:sz w:val="22"/>
          <w:szCs w:val="22"/>
        </w:rPr>
        <w:t xml:space="preserve">Event-driven core — bookings, payments, and telemetry publish domain events to a message backbone, decoupling services and enabling real-time dashboards and alerting.</w:t>
      </w:r>
    </w:p>
    <w:p>
      <w:pPr>
        <w:pStyle w:val="ListParagraph"/>
        <w:numPr>
          <w:ilvl w:val="0"/>
          <w:numId w:val="2"/>
        </w:numPr>
        <w:spacing w:after="100" w:line="290"/>
      </w:pPr>
      <w:r>
        <w:rPr>
          <w:rFonts w:ascii="Calibri" w:cs="Calibri" w:eastAsia="Calibri" w:hAnsi="Calibri"/>
          <w:color w:val="222222"/>
          <w:sz w:val="22"/>
          <w:szCs w:val="22"/>
        </w:rPr>
        <w:t xml:space="preserve">Modular services by domain — Rental, Fleet/Telematics, Billing, Identity, and Notifications evolve and scale independently.</w:t>
      </w:r>
    </w:p>
    <w:p>
      <w:pPr>
        <w:pStyle w:val="ListParagraph"/>
        <w:numPr>
          <w:ilvl w:val="0"/>
          <w:numId w:val="2"/>
        </w:numPr>
        <w:spacing w:after="100" w:line="290"/>
      </w:pPr>
      <w:r>
        <w:rPr>
          <w:rFonts w:ascii="Calibri" w:cs="Calibri" w:eastAsia="Calibri" w:hAnsi="Calibri"/>
          <w:color w:val="222222"/>
          <w:sz w:val="22"/>
          <w:szCs w:val="22"/>
        </w:rPr>
        <w:t xml:space="preserve">Multi-branch and multi-entity ready — data model supports branches, subsidiaries, and future multi-country operation (currency, tax, language) without redesign.</w:t>
      </w:r>
    </w:p>
    <w:p>
      <w:pPr>
        <w:pStyle w:val="Heading2"/>
        <w:spacing w:after="160" w:before="280"/>
      </w:pPr>
      <w:r>
        <w:rPr>
          <w:rFonts w:ascii="Cambria" w:cs="Cambria" w:eastAsia="Cambria" w:hAnsi="Cambria"/>
          <w:b/>
          <w:bCs/>
          <w:color w:val="1F2733"/>
          <w:sz w:val="27"/>
          <w:szCs w:val="27"/>
        </w:rPr>
        <w:t xml:space="preserve">5.2 Logical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Layer</w:t>
            </w:r>
          </w:p>
        </w:tc>
        <w:tc>
          <w:tcPr>
            <w:tcW w:type="dxa" w:w="70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Components</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Experience</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Customer web portal (Next.js PWA), Operations console, Mobile apps (Capacitor), Driver/field app</w:t>
            </w:r>
          </w:p>
        </w:tc>
      </w:tr>
      <w:tr>
        <w:tc>
          <w:tcPr>
            <w:tcW w:type="dxa" w:w="2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API &amp; Edge</w:t>
            </w:r>
          </w:p>
        </w:tc>
        <w:tc>
          <w:tcPr>
            <w:tcW w:type="dxa" w:w="7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API Gateway with WAF, rate limiting, OAuth 2.0 / OIDC authentication, CDN for static assets</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Domain Services</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Rental &amp; Booking, Fleet &amp; Telematics, Billing &amp; Payments, Customer &amp; KYC, Maintenance, Notifications, Reporting</w:t>
            </w:r>
          </w:p>
        </w:tc>
      </w:tr>
      <w:tr>
        <w:tc>
          <w:tcPr>
            <w:tcW w:type="dxa" w:w="2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Event Backbone</w:t>
            </w:r>
          </w:p>
        </w:tc>
        <w:tc>
          <w:tcPr>
            <w:tcW w:type="dxa" w:w="7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Managed message streaming (e.g., Amazon SQS/SNS or Kafka) for domain events and telemetry fan-out</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Data</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PostgreSQL (transactional, Multi-AZ), Time-series store for telemetry, Redis cache, S3-class object storage for documents &amp; media, Analytics warehouse</w:t>
            </w:r>
          </w:p>
        </w:tc>
      </w:tr>
      <w:tr>
        <w:tc>
          <w:tcPr>
            <w:tcW w:type="dxa" w:w="2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Integration</w:t>
            </w:r>
          </w:p>
        </w:tc>
        <w:tc>
          <w:tcPr>
            <w:tcW w:type="dxa" w:w="7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Paystack / MTN MoMo, telematics providers, SMS gateway (Hubtel/Twilio), email, accounting export, mapping services</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Platform</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CI/CD pipelines, IaC (Terraform), centralized logging, metrics &amp; tracing, secrets management, backup &amp; DR automation</w:t>
            </w:r>
          </w:p>
        </w:tc>
      </w:tr>
    </w:tbl>
    <w:p>
      <w:pPr>
        <w:pStyle w:val="Heading2"/>
        <w:spacing w:after="160" w:before="280"/>
      </w:pPr>
      <w:r>
        <w:rPr>
          <w:rFonts w:ascii="Cambria" w:cs="Cambria" w:eastAsia="Cambria" w:hAnsi="Cambria"/>
          <w:b/>
          <w:bCs/>
          <w:color w:val="1F2733"/>
          <w:sz w:val="27"/>
          <w:szCs w:val="27"/>
        </w:rPr>
        <w:t xml:space="preserve">5.3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Area</w:t>
            </w:r>
          </w:p>
        </w:tc>
        <w:tc>
          <w:tcPr>
            <w:tcW w:type="dxa" w:w="70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Recommended Technology</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Frontend</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React 18 + Next.js (SSR/SEO), TypeScript, TailwindCSS; Capacitor for iOS/Android apps</w:t>
            </w:r>
          </w:p>
        </w:tc>
      </w:tr>
      <w:tr>
        <w:tc>
          <w:tcPr>
            <w:tcW w:type="dxa" w:w="2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Backend</w:t>
            </w:r>
          </w:p>
        </w:tc>
        <w:tc>
          <w:tcPr>
            <w:tcW w:type="dxa" w:w="7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Node.js (NestJS) or Python (Django/FastAPI) domain services; REST + WebSocket for live tracking</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Primary database</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PostgreSQL 16 with PostGIS for geospatial queries; read replicas for reporting</w:t>
            </w:r>
          </w:p>
        </w:tc>
      </w:tr>
      <w:tr>
        <w:tc>
          <w:tcPr>
            <w:tcW w:type="dxa" w:w="2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Telemetry store</w:t>
            </w:r>
          </w:p>
        </w:tc>
        <w:tc>
          <w:tcPr>
            <w:tcW w:type="dxa" w:w="7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TimescaleDB or Amazon Timestream for high-volume GPS/engine data</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Cache &amp; queues</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Redis; SQS/SNS or Kafka event streaming</w:t>
            </w:r>
          </w:p>
        </w:tc>
      </w:tr>
      <w:tr>
        <w:tc>
          <w:tcPr>
            <w:tcW w:type="dxa" w:w="2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Cloud platform</w:t>
            </w:r>
          </w:p>
        </w:tc>
        <w:tc>
          <w:tcPr>
            <w:tcW w:type="dxa" w:w="7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AWS (Africa/Europe regions) — ECS/EKS, RDS, S3, CloudFront, WAF; GCP/Azure equivalent supported</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Maps &amp; geospatial</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Google Maps Platform or Mapbox with OpenStreetMap fallback</w:t>
            </w:r>
          </w:p>
        </w:tc>
      </w:tr>
      <w:tr>
        <w:tc>
          <w:tcPr>
            <w:tcW w:type="dxa" w:w="2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Payments</w:t>
            </w:r>
          </w:p>
        </w:tc>
        <w:tc>
          <w:tcPr>
            <w:tcW w:type="dxa" w:w="7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Paystack (cards, MTN MoMo, Telecel Cash, bank), with direct MTN MoMo API as secondary rail</w:t>
            </w:r>
          </w:p>
        </w:tc>
      </w:tr>
      <w:tr>
        <w:tc>
          <w:tcPr>
            <w:tcW w:type="dxa" w:w="2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Observability</w:t>
            </w:r>
          </w:p>
        </w:tc>
        <w:tc>
          <w:tcPr>
            <w:tcW w:type="dxa" w:w="7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CloudWatch/Grafana dashboards, structured logs, distributed tracing, PagerDuty-style alerting</w:t>
            </w:r>
          </w:p>
        </w:tc>
      </w:tr>
    </w:tbl>
    <w:p>
      <w:pPr>
        <w:pStyle w:val="Heading2"/>
        <w:spacing w:after="160" w:before="280"/>
      </w:pPr>
      <w:r>
        <w:rPr>
          <w:rFonts w:ascii="Cambria" w:cs="Cambria" w:eastAsia="Cambria" w:hAnsi="Cambria"/>
          <w:b/>
          <w:bCs/>
          <w:color w:val="1F2733"/>
          <w:sz w:val="27"/>
          <w:szCs w:val="27"/>
        </w:rPr>
        <w:t xml:space="preserve">5.4 Scalability, Availability &amp; Disaster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Attribute</w:t>
            </w:r>
          </w:p>
        </w:tc>
        <w:tc>
          <w:tcPr>
            <w:tcW w:type="dxa" w:w="64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Target</w:t>
            </w:r>
          </w:p>
        </w:tc>
      </w:tr>
      <w:tr>
        <w:tc>
          <w:tcPr>
            <w:tcW w:type="dxa" w:w="3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Availability SLA</w:t>
            </w:r>
          </w:p>
        </w:tc>
        <w:tc>
          <w:tcPr>
            <w:tcW w:type="dxa" w:w="64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99.9% for customer platform and operations console (≤ 8.8 hours downtime/year)</w:t>
            </w:r>
          </w:p>
        </w:tc>
      </w:tr>
      <w:tr>
        <w:tc>
          <w:tcPr>
            <w:tcW w:type="dxa" w:w="3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Deployment model</w:t>
            </w:r>
          </w:p>
        </w:tc>
        <w:tc>
          <w:tcPr>
            <w:tcW w:type="dxa" w:w="64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Multi-Availability-Zone; auto-scaling on demand; zero-downtime rolling deployments</w:t>
            </w:r>
          </w:p>
        </w:tc>
      </w:tr>
      <w:tr>
        <w:tc>
          <w:tcPr>
            <w:tcW w:type="dxa" w:w="3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Recovery Time Objective</w:t>
            </w:r>
          </w:p>
        </w:tc>
        <w:tc>
          <w:tcPr>
            <w:tcW w:type="dxa" w:w="64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 4 hours for full platform restoration</w:t>
            </w:r>
          </w:p>
        </w:tc>
      </w:tr>
      <w:tr>
        <w:tc>
          <w:tcPr>
            <w:tcW w:type="dxa" w:w="3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Recovery Point Objective</w:t>
            </w:r>
          </w:p>
        </w:tc>
        <w:tc>
          <w:tcPr>
            <w:tcW w:type="dxa" w:w="64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 15 minutes (continuous database replication + point-in-time recovery)</w:t>
            </w:r>
          </w:p>
        </w:tc>
      </w:tr>
      <w:tr>
        <w:tc>
          <w:tcPr>
            <w:tcW w:type="dxa" w:w="3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Backups</w:t>
            </w:r>
          </w:p>
        </w:tc>
        <w:tc>
          <w:tcPr>
            <w:tcW w:type="dxa" w:w="64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Automated daily snapshots, 35-day retention, quarterly restore drills</w:t>
            </w:r>
          </w:p>
        </w:tc>
      </w:tr>
      <w:tr>
        <w:tc>
          <w:tcPr>
            <w:tcW w:type="dxa" w:w="3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Performance</w:t>
            </w:r>
          </w:p>
        </w:tc>
        <w:tc>
          <w:tcPr>
            <w:tcW w:type="dxa" w:w="64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&lt; 2s page loads on 3G-class mobile networks; tracking updates ≤ 30s latency</w:t>
            </w:r>
          </w:p>
        </w:tc>
      </w:tr>
      <w:tr>
        <w:tc>
          <w:tcPr>
            <w:tcW w:type="dxa" w:w="3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Capacity</w:t>
            </w:r>
          </w:p>
        </w:tc>
        <w:tc>
          <w:tcPr>
            <w:tcW w:type="dxa" w:w="64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Designed for 500+ tracked assets and 100k+ monthly bookings without re-architecture</w:t>
            </w:r>
          </w:p>
        </w:tc>
      </w:tr>
    </w:tbl>
    <w:p>
      <w:r>
        <w:br w:type="page"/>
      </w:r>
    </w:p>
    <w:p>
      <w:pPr>
        <w:pStyle w:val="Heading1"/>
        <w:spacing w:after="200" w:before="360"/>
      </w:pPr>
      <w:r>
        <w:rPr>
          <w:rFonts w:ascii="Cambria" w:cs="Cambria" w:eastAsia="Cambria" w:hAnsi="Cambria"/>
          <w:b/>
          <w:bCs/>
          <w:color w:val="1F2733"/>
          <w:sz w:val="34"/>
          <w:szCs w:val="34"/>
        </w:rPr>
        <w:t xml:space="preserve">6. Security &amp; Compliance</w:t>
      </w:r>
    </w:p>
    <w:p>
      <w:pPr>
        <w:spacing w:after="160" w:line="300"/>
        <w:jc w:val="both"/>
      </w:pPr>
      <w:r>
        <w:rPr>
          <w:rFonts w:ascii="Calibri" w:cs="Calibri" w:eastAsia="Calibri" w:hAnsi="Calibri"/>
          <w:color w:val="222222"/>
          <w:sz w:val="22"/>
          <w:szCs w:val="22"/>
        </w:rPr>
        <w:t xml:space="preserve">Security is engineered into the platform from day one, not retrofitted. The controls below align with ISO/IEC 27001 practices and the OWASP Application Security Verification Standard.</w:t>
      </w:r>
    </w:p>
    <w:p>
      <w:pPr>
        <w:pStyle w:val="Heading2"/>
        <w:spacing w:after="160" w:before="280"/>
      </w:pPr>
      <w:r>
        <w:rPr>
          <w:rFonts w:ascii="Cambria" w:cs="Cambria" w:eastAsia="Cambria" w:hAnsi="Cambria"/>
          <w:b/>
          <w:bCs/>
          <w:color w:val="1F2733"/>
          <w:sz w:val="27"/>
          <w:szCs w:val="27"/>
        </w:rPr>
        <w:t xml:space="preserve">6.1 Security Controls</w:t>
      </w:r>
    </w:p>
    <w:p>
      <w:pPr>
        <w:pStyle w:val="ListParagraph"/>
        <w:numPr>
          <w:ilvl w:val="0"/>
          <w:numId w:val="2"/>
        </w:numPr>
        <w:spacing w:after="100" w:line="290"/>
      </w:pPr>
      <w:r>
        <w:rPr>
          <w:rFonts w:ascii="Calibri" w:cs="Calibri" w:eastAsia="Calibri" w:hAnsi="Calibri"/>
          <w:b/>
          <w:bCs/>
          <w:color w:val="1F2733"/>
          <w:sz w:val="22"/>
          <w:szCs w:val="22"/>
        </w:rPr>
        <w:t xml:space="preserve">Encryption: </w:t>
      </w:r>
      <w:r>
        <w:rPr>
          <w:rFonts w:ascii="Calibri" w:cs="Calibri" w:eastAsia="Calibri" w:hAnsi="Calibri"/>
          <w:color w:val="222222"/>
          <w:sz w:val="22"/>
          <w:szCs w:val="22"/>
        </w:rPr>
        <w:t xml:space="preserve">TLS 1.2+ for all traffic; AES-256 encryption at rest for databases, backups, and document storage.</w:t>
      </w:r>
    </w:p>
    <w:p>
      <w:pPr>
        <w:pStyle w:val="ListParagraph"/>
        <w:numPr>
          <w:ilvl w:val="0"/>
          <w:numId w:val="2"/>
        </w:numPr>
        <w:spacing w:after="100" w:line="290"/>
      </w:pPr>
      <w:r>
        <w:rPr>
          <w:rFonts w:ascii="Calibri" w:cs="Calibri" w:eastAsia="Calibri" w:hAnsi="Calibri"/>
          <w:b/>
          <w:bCs/>
          <w:color w:val="1F2733"/>
          <w:sz w:val="22"/>
          <w:szCs w:val="22"/>
        </w:rPr>
        <w:t xml:space="preserve">Identity &amp; access: </w:t>
      </w:r>
      <w:r>
        <w:rPr>
          <w:rFonts w:ascii="Calibri" w:cs="Calibri" w:eastAsia="Calibri" w:hAnsi="Calibri"/>
          <w:color w:val="222222"/>
          <w:sz w:val="22"/>
          <w:szCs w:val="22"/>
        </w:rPr>
        <w:t xml:space="preserve">OAuth 2.0 / OpenID Connect single sign-on; mandatory multi-factor authentication for administrative and finance roles; session and device policies.</w:t>
      </w:r>
    </w:p>
    <w:p>
      <w:pPr>
        <w:pStyle w:val="ListParagraph"/>
        <w:numPr>
          <w:ilvl w:val="0"/>
          <w:numId w:val="2"/>
        </w:numPr>
        <w:spacing w:after="100" w:line="290"/>
      </w:pPr>
      <w:r>
        <w:rPr>
          <w:rFonts w:ascii="Calibri" w:cs="Calibri" w:eastAsia="Calibri" w:hAnsi="Calibri"/>
          <w:b/>
          <w:bCs/>
          <w:color w:val="1F2733"/>
          <w:sz w:val="22"/>
          <w:szCs w:val="22"/>
        </w:rPr>
        <w:t xml:space="preserve">Authorization: </w:t>
      </w:r>
      <w:r>
        <w:rPr>
          <w:rFonts w:ascii="Calibri" w:cs="Calibri" w:eastAsia="Calibri" w:hAnsi="Calibri"/>
          <w:color w:val="222222"/>
          <w:sz w:val="22"/>
          <w:szCs w:val="22"/>
        </w:rPr>
        <w:t xml:space="preserve">Fine-grained RBAC with least-privilege defaults; maker–checker enforcement on financial disbursements and pricing overrides.</w:t>
      </w:r>
    </w:p>
    <w:p>
      <w:pPr>
        <w:pStyle w:val="ListParagraph"/>
        <w:numPr>
          <w:ilvl w:val="0"/>
          <w:numId w:val="2"/>
        </w:numPr>
        <w:spacing w:after="100" w:line="290"/>
      </w:pPr>
      <w:r>
        <w:rPr>
          <w:rFonts w:ascii="Calibri" w:cs="Calibri" w:eastAsia="Calibri" w:hAnsi="Calibri"/>
          <w:b/>
          <w:bCs/>
          <w:color w:val="1F2733"/>
          <w:sz w:val="22"/>
          <w:szCs w:val="22"/>
        </w:rPr>
        <w:t xml:space="preserve">Payment security: </w:t>
      </w:r>
      <w:r>
        <w:rPr>
          <w:rFonts w:ascii="Calibri" w:cs="Calibri" w:eastAsia="Calibri" w:hAnsi="Calibri"/>
          <w:color w:val="222222"/>
          <w:sz w:val="22"/>
          <w:szCs w:val="22"/>
        </w:rPr>
        <w:t xml:space="preserve">No card or mobile-money credentials stored on platform — payment capture is fully tokenized through the PCI DSS-certified gateway, keeping the platform out of PCI scope.</w:t>
      </w:r>
    </w:p>
    <w:p>
      <w:pPr>
        <w:pStyle w:val="ListParagraph"/>
        <w:numPr>
          <w:ilvl w:val="0"/>
          <w:numId w:val="2"/>
        </w:numPr>
        <w:spacing w:after="100" w:line="290"/>
      </w:pPr>
      <w:r>
        <w:rPr>
          <w:rFonts w:ascii="Calibri" w:cs="Calibri" w:eastAsia="Calibri" w:hAnsi="Calibri"/>
          <w:b/>
          <w:bCs/>
          <w:color w:val="1F2733"/>
          <w:sz w:val="22"/>
          <w:szCs w:val="22"/>
        </w:rPr>
        <w:t xml:space="preserve">Auditability: </w:t>
      </w:r>
      <w:r>
        <w:rPr>
          <w:rFonts w:ascii="Calibri" w:cs="Calibri" w:eastAsia="Calibri" w:hAnsi="Calibri"/>
          <w:color w:val="222222"/>
          <w:sz w:val="22"/>
          <w:szCs w:val="22"/>
        </w:rPr>
        <w:t xml:space="preserve">Immutable, timestamped audit log of every sensitive action (who, what, when, from where), retained per statutory requirements.</w:t>
      </w:r>
    </w:p>
    <w:p>
      <w:pPr>
        <w:pStyle w:val="ListParagraph"/>
        <w:numPr>
          <w:ilvl w:val="0"/>
          <w:numId w:val="2"/>
        </w:numPr>
        <w:spacing w:after="100" w:line="290"/>
      </w:pPr>
      <w:r>
        <w:rPr>
          <w:rFonts w:ascii="Calibri" w:cs="Calibri" w:eastAsia="Calibri" w:hAnsi="Calibri"/>
          <w:b/>
          <w:bCs/>
          <w:color w:val="1F2733"/>
          <w:sz w:val="22"/>
          <w:szCs w:val="22"/>
        </w:rPr>
        <w:t xml:space="preserve">Application &amp; infrastructure hardening: </w:t>
      </w:r>
      <w:r>
        <w:rPr>
          <w:rFonts w:ascii="Calibri" w:cs="Calibri" w:eastAsia="Calibri" w:hAnsi="Calibri"/>
          <w:color w:val="222222"/>
          <w:sz w:val="22"/>
          <w:szCs w:val="22"/>
        </w:rPr>
        <w:t xml:space="preserve">Web application firewall, DDoS protection, rate limiting, dependency vulnerability scanning in CI, and annual third-party penetration testing.</w:t>
      </w:r>
    </w:p>
    <w:p>
      <w:pPr>
        <w:pStyle w:val="ListParagraph"/>
        <w:numPr>
          <w:ilvl w:val="0"/>
          <w:numId w:val="2"/>
        </w:numPr>
        <w:spacing w:after="100" w:line="290"/>
      </w:pPr>
      <w:r>
        <w:rPr>
          <w:rFonts w:ascii="Calibri" w:cs="Calibri" w:eastAsia="Calibri" w:hAnsi="Calibri"/>
          <w:b/>
          <w:bCs/>
          <w:color w:val="1F2733"/>
          <w:sz w:val="22"/>
          <w:szCs w:val="22"/>
        </w:rPr>
        <w:t xml:space="preserve">Operational security: </w:t>
      </w:r>
      <w:r>
        <w:rPr>
          <w:rFonts w:ascii="Calibri" w:cs="Calibri" w:eastAsia="Calibri" w:hAnsi="Calibri"/>
          <w:color w:val="222222"/>
          <w:sz w:val="22"/>
          <w:szCs w:val="22"/>
        </w:rPr>
        <w:t xml:space="preserve">Encrypted secrets management, environment isolation (dev/staging/production), and just-in-time production access with approval.</w:t>
      </w:r>
    </w:p>
    <w:p>
      <w:pPr>
        <w:pStyle w:val="Heading2"/>
        <w:spacing w:after="160" w:before="280"/>
      </w:pPr>
      <w:r>
        <w:rPr>
          <w:rFonts w:ascii="Cambria" w:cs="Cambria" w:eastAsia="Cambria" w:hAnsi="Cambria"/>
          <w:b/>
          <w:bCs/>
          <w:color w:val="1F2733"/>
          <w:sz w:val="27"/>
          <w:szCs w:val="27"/>
        </w:rPr>
        <w:t xml:space="preserve">6.2 Regulatory Compliance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Requirement</w:t>
            </w:r>
          </w:p>
        </w:tc>
        <w:tc>
          <w:tcPr>
            <w:tcW w:type="dxa" w:w="64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How the Platform Complies</w:t>
            </w:r>
          </w:p>
        </w:tc>
      </w:tr>
      <w:tr>
        <w:tc>
          <w:tcPr>
            <w:tcW w:type="dxa" w:w="3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Ghana Data Protection Act, 2012 (Act 843)</w:t>
            </w:r>
          </w:p>
        </w:tc>
        <w:tc>
          <w:tcPr>
            <w:tcW w:type="dxa" w:w="64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Lawful-basis consent capture, privacy notices, data subject access/erasure workflows, registration with the Data Protection Commission, breach notification procedures</w:t>
            </w:r>
          </w:p>
        </w:tc>
      </w:tr>
      <w:tr>
        <w:tc>
          <w:tcPr>
            <w:tcW w:type="dxa" w:w="3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PCI DSS</w:t>
            </w:r>
          </w:p>
        </w:tc>
        <w:tc>
          <w:tcPr>
            <w:tcW w:type="dxa" w:w="64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Scope minimized via tokenized gateway (Paystack); no cardholder data stored or transmitted through platform systems</w:t>
            </w:r>
          </w:p>
        </w:tc>
      </w:tr>
      <w:tr>
        <w:tc>
          <w:tcPr>
            <w:tcW w:type="dxa" w:w="3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Ghana Revenue Authority</w:t>
            </w:r>
          </w:p>
        </w:tc>
        <w:tc>
          <w:tcPr>
            <w:tcW w:type="dxa" w:w="64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VAT, NHIL, GETFund and COVID levy computation on invoices; e-VAT-ready invoice formats and exportable tax reports</w:t>
            </w:r>
          </w:p>
        </w:tc>
      </w:tr>
      <w:tr>
        <w:tc>
          <w:tcPr>
            <w:tcW w:type="dxa" w:w="3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Bank of Ghana payment rules</w:t>
            </w:r>
          </w:p>
        </w:tc>
        <w:tc>
          <w:tcPr>
            <w:tcW w:type="dxa" w:w="64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All collections and disbursements executed through licensed payment service providers</w:t>
            </w:r>
          </w:p>
        </w:tc>
      </w:tr>
      <w:tr>
        <w:tc>
          <w:tcPr>
            <w:tcW w:type="dxa" w:w="3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Data residency &amp; sovereignty</w:t>
            </w:r>
          </w:p>
        </w:tc>
        <w:tc>
          <w:tcPr>
            <w:tcW w:type="dxa" w:w="64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Configurable data region; personal data processing documented in records of processing activities</w:t>
            </w:r>
          </w:p>
        </w:tc>
      </w:tr>
    </w:tbl>
    <w:p>
      <w:r>
        <w:br w:type="page"/>
      </w:r>
    </w:p>
    <w:p>
      <w:pPr>
        <w:pStyle w:val="Heading1"/>
        <w:spacing w:after="200" w:before="360"/>
      </w:pPr>
      <w:r>
        <w:rPr>
          <w:rFonts w:ascii="Cambria" w:cs="Cambria" w:eastAsia="Cambria" w:hAnsi="Cambria"/>
          <w:b/>
          <w:bCs/>
          <w:color w:val="1F2733"/>
          <w:sz w:val="34"/>
          <w:szCs w:val="34"/>
        </w:rPr>
        <w:t xml:space="preserve">7. Implementation Roadmap</w:t>
      </w:r>
    </w:p>
    <w:p>
      <w:pPr>
        <w:spacing w:after="160" w:line="300"/>
        <w:jc w:val="both"/>
      </w:pPr>
      <w:r>
        <w:rPr>
          <w:rFonts w:ascii="Calibri" w:cs="Calibri" w:eastAsia="Calibri" w:hAnsi="Calibri"/>
          <w:color w:val="222222"/>
          <w:sz w:val="22"/>
          <w:szCs w:val="22"/>
        </w:rPr>
        <w:t xml:space="preserve">Delivery follows a phased approach that puts revenue-generating capability live early while enterprise hardening and analytics mature in parallel. Indicative duration: approximately nine months to full enterprise operation.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4038"/>
        <w:gridCol w:w="1800"/>
      </w:tblGrid>
      <w:tr>
        <w:trPr>
          <w:tblHeader/>
        </w:trPr>
        <w:tc>
          <w:tcPr>
            <w:tcW w:type="dxa" w:w="15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Phase</w:t>
            </w:r>
          </w:p>
        </w:tc>
        <w:tc>
          <w:tcPr>
            <w:tcW w:type="dxa" w:w="23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Duration</w:t>
            </w:r>
          </w:p>
        </w:tc>
        <w:tc>
          <w:tcPr>
            <w:tcW w:type="dxa" w:w="40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Scope</w:t>
            </w:r>
          </w:p>
        </w:tc>
        <w:tc>
          <w:tcPr>
            <w:tcW w:type="dxa" w:w="18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Key Milestone</w:t>
            </w:r>
          </w:p>
        </w:tc>
      </w:tr>
      <w:tr>
        <w:tc>
          <w:tcPr>
            <w:tcW w:type="dxa" w:w="1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0</w:t>
            </w:r>
          </w:p>
        </w:tc>
        <w:tc>
          <w:tcPr>
            <w:tcW w:type="dxa" w:w="23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Weeks 1–4</w:t>
            </w:r>
          </w:p>
        </w:tc>
        <w:tc>
          <w:tcPr>
            <w:tcW w:type="dxa" w:w="4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Discovery &amp; architecture: process mapping, fleet audit, telematics hardware selection, UX design system, detailed backlog, environment setup</w:t>
            </w:r>
          </w:p>
        </w:tc>
        <w:tc>
          <w:tcPr>
            <w:tcW w:type="dxa" w:w="18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Signed-off blueprint</w:t>
            </w:r>
          </w:p>
        </w:tc>
      </w:tr>
      <w:tr>
        <w:tc>
          <w:tcPr>
            <w:tcW w:type="dxa" w:w="15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1</w:t>
            </w:r>
          </w:p>
        </w:tc>
        <w:tc>
          <w:tcPr>
            <w:tcW w:type="dxa" w:w="23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Weeks 5–16</w:t>
            </w:r>
          </w:p>
        </w:tc>
        <w:tc>
          <w:tcPr>
            <w:tcW w:type="dxa" w:w="4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Core rental platform: catalog, booking, customer accounts, payments (Paystack/MTN MoMo), admin console, inventory, invoicing</w:t>
            </w:r>
          </w:p>
        </w:tc>
        <w:tc>
          <w:tcPr>
            <w:tcW w:type="dxa" w:w="18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Public launch — online bookings live</w:t>
            </w:r>
          </w:p>
        </w:tc>
      </w:tr>
      <w:tr>
        <w:tc>
          <w:tcPr>
            <w:tcW w:type="dxa" w:w="1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2</w:t>
            </w:r>
          </w:p>
        </w:tc>
        <w:tc>
          <w:tcPr>
            <w:tcW w:type="dxa" w:w="23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Weeks 17–24</w:t>
            </w:r>
          </w:p>
        </w:tc>
        <w:tc>
          <w:tcPr>
            <w:tcW w:type="dxa" w:w="4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Fleet telematics: device installation &amp; provisioning, live map, geofencing, engine hours, alerting, maintenance triggers</w:t>
            </w:r>
          </w:p>
        </w:tc>
        <w:tc>
          <w:tcPr>
            <w:tcW w:type="dxa" w:w="18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Full fleet tracked in production</w:t>
            </w:r>
          </w:p>
        </w:tc>
      </w:tr>
      <w:tr>
        <w:tc>
          <w:tcPr>
            <w:tcW w:type="dxa" w:w="15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3</w:t>
            </w:r>
          </w:p>
        </w:tc>
        <w:tc>
          <w:tcPr>
            <w:tcW w:type="dxa" w:w="23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Weeks 25–32</w:t>
            </w:r>
          </w:p>
        </w:tc>
        <w:tc>
          <w:tcPr>
            <w:tcW w:type="dxa" w:w="4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Enterprise hardening: financial controls &amp; reconciliation, analytics dashboards, RBAC maturity, DR drills, penetration test &amp; remediation</w:t>
            </w:r>
          </w:p>
        </w:tc>
        <w:tc>
          <w:tcPr>
            <w:tcW w:type="dxa" w:w="18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Enterprise readiness certified</w:t>
            </w:r>
          </w:p>
        </w:tc>
      </w:tr>
      <w:tr>
        <w:tc>
          <w:tcPr>
            <w:tcW w:type="dxa" w:w="1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4</w:t>
            </w:r>
          </w:p>
        </w:tc>
        <w:tc>
          <w:tcPr>
            <w:tcW w:type="dxa" w:w="23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Weeks 33–36</w:t>
            </w:r>
          </w:p>
        </w:tc>
        <w:tc>
          <w:tcPr>
            <w:tcW w:type="dxa" w:w="4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Rollout &amp; hypercare: staff training, branch onboarding, performance tuning, support handover, KPI baseline</w:t>
            </w:r>
          </w:p>
        </w:tc>
        <w:tc>
          <w:tcPr>
            <w:tcW w:type="dxa" w:w="18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Steady-state operations</w:t>
            </w:r>
          </w:p>
        </w:tc>
      </w:tr>
    </w:tbl>
    <w:p>
      <w:pPr>
        <w:pStyle w:val="Heading2"/>
        <w:spacing w:after="160" w:before="280"/>
      </w:pPr>
      <w:r>
        <w:rPr>
          <w:rFonts w:ascii="Cambria" w:cs="Cambria" w:eastAsia="Cambria" w:hAnsi="Cambria"/>
          <w:b/>
          <w:bCs/>
          <w:color w:val="1F2733"/>
          <w:sz w:val="27"/>
          <w:szCs w:val="27"/>
        </w:rPr>
        <w:t xml:space="preserve">7.1 Delivery Approach</w:t>
      </w:r>
    </w:p>
    <w:p>
      <w:pPr>
        <w:pStyle w:val="ListParagraph"/>
        <w:numPr>
          <w:ilvl w:val="0"/>
          <w:numId w:val="2"/>
        </w:numPr>
        <w:spacing w:after="100" w:line="290"/>
      </w:pPr>
      <w:r>
        <w:rPr>
          <w:rFonts w:ascii="Calibri" w:cs="Calibri" w:eastAsia="Calibri" w:hAnsi="Calibri"/>
          <w:color w:val="222222"/>
          <w:sz w:val="22"/>
          <w:szCs w:val="22"/>
        </w:rPr>
        <w:t xml:space="preserve">Agile delivery in two-week sprints with demonstrations to business stakeholders at every sprint review.</w:t>
      </w:r>
    </w:p>
    <w:p>
      <w:pPr>
        <w:pStyle w:val="ListParagraph"/>
        <w:numPr>
          <w:ilvl w:val="0"/>
          <w:numId w:val="2"/>
        </w:numPr>
        <w:spacing w:after="100" w:line="290"/>
      </w:pPr>
      <w:r>
        <w:rPr>
          <w:rFonts w:ascii="Calibri" w:cs="Calibri" w:eastAsia="Calibri" w:hAnsi="Calibri"/>
          <w:color w:val="222222"/>
          <w:sz w:val="22"/>
          <w:szCs w:val="22"/>
        </w:rPr>
        <w:t xml:space="preserve">A joint steering committee (executive sponsor, operations lead, finance lead, delivery lead) meets monthly to govern scope, budget, and risk.</w:t>
      </w:r>
    </w:p>
    <w:p>
      <w:pPr>
        <w:pStyle w:val="ListParagraph"/>
        <w:numPr>
          <w:ilvl w:val="0"/>
          <w:numId w:val="2"/>
        </w:numPr>
        <w:spacing w:after="100" w:line="290"/>
      </w:pPr>
      <w:r>
        <w:rPr>
          <w:rFonts w:ascii="Calibri" w:cs="Calibri" w:eastAsia="Calibri" w:hAnsi="Calibri"/>
          <w:color w:val="222222"/>
          <w:sz w:val="22"/>
          <w:szCs w:val="22"/>
        </w:rPr>
        <w:t xml:space="preserve">Quality gates: automated test suites in CI, user acceptance testing per phase, and go-live readiness checklists covering security, performance, and operations.</w:t>
      </w:r>
    </w:p>
    <w:p>
      <w:pPr>
        <w:pStyle w:val="ListParagraph"/>
        <w:numPr>
          <w:ilvl w:val="0"/>
          <w:numId w:val="2"/>
        </w:numPr>
        <w:spacing w:after="100" w:line="290"/>
      </w:pPr>
      <w:r>
        <w:rPr>
          <w:rFonts w:ascii="Calibri" w:cs="Calibri" w:eastAsia="Calibri" w:hAnsi="Calibri"/>
          <w:color w:val="222222"/>
          <w:sz w:val="22"/>
          <w:szCs w:val="22"/>
        </w:rPr>
        <w:t xml:space="preserve">Structured change management: role-based training, bilingual quick-reference guides, and a train-the-trainer program for branch staff.</w:t>
      </w:r>
    </w:p>
    <w:p>
      <w:r>
        <w:br w:type="page"/>
      </w:r>
    </w:p>
    <w:p>
      <w:pPr>
        <w:pStyle w:val="Heading1"/>
        <w:spacing w:after="200" w:before="360"/>
      </w:pPr>
      <w:r>
        <w:rPr>
          <w:rFonts w:ascii="Cambria" w:cs="Cambria" w:eastAsia="Cambria" w:hAnsi="Cambria"/>
          <w:b/>
          <w:bCs/>
          <w:color w:val="1F2733"/>
          <w:sz w:val="34"/>
          <w:szCs w:val="34"/>
        </w:rPr>
        <w:t xml:space="preserve">8. Risk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200"/>
        <w:gridCol w:w="4238"/>
      </w:tblGrid>
      <w:tr>
        <w:trPr>
          <w:tblHeader/>
        </w:trPr>
        <w:tc>
          <w:tcPr>
            <w:tcW w:type="dxa" w:w="25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Risk</w:t>
            </w:r>
          </w:p>
        </w:tc>
        <w:tc>
          <w:tcPr>
            <w:tcW w:type="dxa" w:w="17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Likelihood</w:t>
            </w:r>
          </w:p>
        </w:tc>
        <w:tc>
          <w:tcPr>
            <w:tcW w:type="dxa" w:w="12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Impact</w:t>
            </w:r>
          </w:p>
        </w:tc>
        <w:tc>
          <w:tcPr>
            <w:tcW w:type="dxa" w:w="42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Mitigation</w:t>
            </w:r>
          </w:p>
        </w:tc>
      </w:tr>
      <w:tr>
        <w:tc>
          <w:tcPr>
            <w:tcW w:type="dxa" w:w="2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Telematics connectivity gaps in remote sites</w:t>
            </w:r>
          </w:p>
        </w:tc>
        <w:tc>
          <w:tcPr>
            <w:tcW w:type="dxa" w:w="17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Medium</w:t>
            </w:r>
          </w:p>
        </w:tc>
        <w:tc>
          <w:tcPr>
            <w:tcW w:type="dxa" w:w="1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Medium</w:t>
            </w:r>
          </w:p>
        </w:tc>
        <w:tc>
          <w:tcPr>
            <w:tcW w:type="dxa" w:w="42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Devices with store-and-forward buffering; multi-network SIMs; satellite option for critical assets</w:t>
            </w:r>
          </w:p>
        </w:tc>
      </w:tr>
      <w:tr>
        <w:tc>
          <w:tcPr>
            <w:tcW w:type="dxa" w:w="25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Mobile money API downtime</w:t>
            </w:r>
          </w:p>
        </w:tc>
        <w:tc>
          <w:tcPr>
            <w:tcW w:type="dxa" w:w="17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Medium</w:t>
            </w:r>
          </w:p>
        </w:tc>
        <w:tc>
          <w:tcPr>
            <w:tcW w:type="dxa" w:w="1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High</w:t>
            </w:r>
          </w:p>
        </w:tc>
        <w:tc>
          <w:tcPr>
            <w:tcW w:type="dxa" w:w="42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Dual payment rails (Paystack + direct MoMo); offline payment recording with later reconciliation</w:t>
            </w:r>
          </w:p>
        </w:tc>
      </w:tr>
      <w:tr>
        <w:tc>
          <w:tcPr>
            <w:tcW w:type="dxa" w:w="2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User adoption resistance</w:t>
            </w:r>
          </w:p>
        </w:tc>
        <w:tc>
          <w:tcPr>
            <w:tcW w:type="dxa" w:w="17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Medium</w:t>
            </w:r>
          </w:p>
        </w:tc>
        <w:tc>
          <w:tcPr>
            <w:tcW w:type="dxa" w:w="1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High</w:t>
            </w:r>
          </w:p>
        </w:tc>
        <w:tc>
          <w:tcPr>
            <w:tcW w:type="dxa" w:w="42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Early staff involvement, phased rollout, training program, executive sponsorship</w:t>
            </w:r>
          </w:p>
        </w:tc>
      </w:tr>
      <w:tr>
        <w:tc>
          <w:tcPr>
            <w:tcW w:type="dxa" w:w="25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Scope creep</w:t>
            </w:r>
          </w:p>
        </w:tc>
        <w:tc>
          <w:tcPr>
            <w:tcW w:type="dxa" w:w="17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High</w:t>
            </w:r>
          </w:p>
        </w:tc>
        <w:tc>
          <w:tcPr>
            <w:tcW w:type="dxa" w:w="1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Medium</w:t>
            </w:r>
          </w:p>
        </w:tc>
        <w:tc>
          <w:tcPr>
            <w:tcW w:type="dxa" w:w="42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Fixed phase gates, prioritized backlog, change-control board</w:t>
            </w:r>
          </w:p>
        </w:tc>
      </w:tr>
      <w:tr>
        <w:tc>
          <w:tcPr>
            <w:tcW w:type="dxa" w:w="2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Data migration quality</w:t>
            </w:r>
          </w:p>
        </w:tc>
        <w:tc>
          <w:tcPr>
            <w:tcW w:type="dxa" w:w="17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Medium</w:t>
            </w:r>
          </w:p>
        </w:tc>
        <w:tc>
          <w:tcPr>
            <w:tcW w:type="dxa" w:w="1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Medium</w:t>
            </w:r>
          </w:p>
        </w:tc>
        <w:tc>
          <w:tcPr>
            <w:tcW w:type="dxa" w:w="42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Early data audit in Phase 0; staged migration with validation reports</w:t>
            </w:r>
          </w:p>
        </w:tc>
      </w:tr>
      <w:tr>
        <w:tc>
          <w:tcPr>
            <w:tcW w:type="dxa" w:w="25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Hardware theft/tampering</w:t>
            </w:r>
          </w:p>
        </w:tc>
        <w:tc>
          <w:tcPr>
            <w:tcW w:type="dxa" w:w="17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Low</w:t>
            </w:r>
          </w:p>
        </w:tc>
        <w:tc>
          <w:tcPr>
            <w:tcW w:type="dxa" w:w="1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High</w:t>
            </w:r>
          </w:p>
        </w:tc>
        <w:tc>
          <w:tcPr>
            <w:tcW w:type="dxa" w:w="42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Concealed installation, tamper alerts, backup battery devices</w:t>
            </w:r>
          </w:p>
        </w:tc>
      </w:tr>
      <w:tr>
        <w:tc>
          <w:tcPr>
            <w:tcW w:type="dxa" w:w="25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Key-person dependency</w:t>
            </w:r>
          </w:p>
        </w:tc>
        <w:tc>
          <w:tcPr>
            <w:tcW w:type="dxa" w:w="17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Low</w:t>
            </w:r>
          </w:p>
        </w:tc>
        <w:tc>
          <w:tcPr>
            <w:tcW w:type="dxa" w:w="1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Medium</w:t>
            </w:r>
          </w:p>
        </w:tc>
        <w:tc>
          <w:tcPr>
            <w:tcW w:type="dxa" w:w="42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Documentation standards, paired delivery, handover plan</w:t>
            </w:r>
          </w:p>
        </w:tc>
      </w:tr>
    </w:tbl>
    <w:p>
      <w:r>
        <w:br w:type="page"/>
      </w:r>
    </w:p>
    <w:p>
      <w:pPr>
        <w:pStyle w:val="Heading1"/>
        <w:spacing w:after="200" w:before="360"/>
      </w:pPr>
      <w:r>
        <w:rPr>
          <w:rFonts w:ascii="Cambria" w:cs="Cambria" w:eastAsia="Cambria" w:hAnsi="Cambria"/>
          <w:b/>
          <w:bCs/>
          <w:color w:val="1F2733"/>
          <w:sz w:val="34"/>
          <w:szCs w:val="34"/>
        </w:rPr>
        <w:t xml:space="preserve">9. Success Metrics &amp;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tblHeader/>
        </w:trPr>
        <w:tc>
          <w:tcPr>
            <w:tcW w:type="dxa" w:w="36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KPI</w:t>
            </w:r>
          </w:p>
        </w:tc>
        <w:tc>
          <w:tcPr>
            <w:tcW w:type="dxa" w:w="30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Baseline (Today)</w:t>
            </w:r>
          </w:p>
        </w:tc>
        <w:tc>
          <w:tcPr>
            <w:tcW w:type="dxa" w:w="30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Target (12 Months Post-Launch)</w:t>
            </w:r>
          </w:p>
        </w:tc>
      </w:tr>
      <w:tr>
        <w:tc>
          <w:tcPr>
            <w:tcW w:type="dxa" w:w="3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Fleet utilization rate</w:t>
            </w:r>
          </w:p>
        </w:tc>
        <w:tc>
          <w:tcPr>
            <w:tcW w:type="dxa" w:w="30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Estimated / untracked</w:t>
            </w:r>
          </w:p>
        </w:tc>
        <w:tc>
          <w:tcPr>
            <w:tcW w:type="dxa" w:w="3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 70% tracked utilization</w:t>
            </w:r>
          </w:p>
        </w:tc>
      </w:tr>
      <w:tr>
        <w:tc>
          <w:tcPr>
            <w:tcW w:type="dxa" w:w="3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Online bookings share</w:t>
            </w:r>
          </w:p>
        </w:tc>
        <w:tc>
          <w:tcPr>
            <w:tcW w:type="dxa" w:w="30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0%</w:t>
            </w:r>
          </w:p>
        </w:tc>
        <w:tc>
          <w:tcPr>
            <w:tcW w:type="dxa" w:w="3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 60% of all bookings</w:t>
            </w:r>
          </w:p>
        </w:tc>
      </w:tr>
      <w:tr>
        <w:tc>
          <w:tcPr>
            <w:tcW w:type="dxa" w:w="3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Quote-to-booking turnaround</w:t>
            </w:r>
          </w:p>
        </w:tc>
        <w:tc>
          <w:tcPr>
            <w:tcW w:type="dxa" w:w="30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1–3 days</w:t>
            </w:r>
          </w:p>
        </w:tc>
        <w:tc>
          <w:tcPr>
            <w:tcW w:type="dxa" w:w="3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&lt; 2 hours</w:t>
            </w:r>
          </w:p>
        </w:tc>
      </w:tr>
      <w:tr>
        <w:tc>
          <w:tcPr>
            <w:tcW w:type="dxa" w:w="3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Billing disputes on engine hours</w:t>
            </w:r>
          </w:p>
        </w:tc>
        <w:tc>
          <w:tcPr>
            <w:tcW w:type="dxa" w:w="30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Frequent</w:t>
            </w:r>
          </w:p>
        </w:tc>
        <w:tc>
          <w:tcPr>
            <w:tcW w:type="dxa" w:w="3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&lt; 2% of rentals</w:t>
            </w:r>
          </w:p>
        </w:tc>
      </w:tr>
      <w:tr>
        <w:tc>
          <w:tcPr>
            <w:tcW w:type="dxa" w:w="3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Unplanned downtime</w:t>
            </w:r>
          </w:p>
        </w:tc>
        <w:tc>
          <w:tcPr>
            <w:tcW w:type="dxa" w:w="30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Untracked</w:t>
            </w:r>
          </w:p>
        </w:tc>
        <w:tc>
          <w:tcPr>
            <w:tcW w:type="dxa" w:w="3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–25% vs. Phase 2 baseline</w:t>
            </w:r>
          </w:p>
        </w:tc>
      </w:tr>
      <w:tr>
        <w:tc>
          <w:tcPr>
            <w:tcW w:type="dxa" w:w="3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Payment reconciliation time</w:t>
            </w:r>
          </w:p>
        </w:tc>
        <w:tc>
          <w:tcPr>
            <w:tcW w:type="dxa" w:w="30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Days (manual)</w:t>
            </w:r>
          </w:p>
        </w:tc>
        <w:tc>
          <w:tcPr>
            <w:tcW w:type="dxa" w:w="3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Same-day automated</w:t>
            </w:r>
          </w:p>
        </w:tc>
      </w:tr>
      <w:tr>
        <w:tc>
          <w:tcPr>
            <w:tcW w:type="dxa" w:w="3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Asset recovery readiness</w:t>
            </w:r>
          </w:p>
        </w:tc>
        <w:tc>
          <w:tcPr>
            <w:tcW w:type="dxa" w:w="30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None</w:t>
            </w:r>
          </w:p>
        </w:tc>
        <w:tc>
          <w:tcPr>
            <w:tcW w:type="dxa" w:w="30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100% of fleet geofenced &amp; alarmed</w:t>
            </w:r>
          </w:p>
        </w:tc>
      </w:tr>
      <w:tr>
        <w:tc>
          <w:tcPr>
            <w:tcW w:type="dxa" w:w="3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Platform availability</w:t>
            </w:r>
          </w:p>
        </w:tc>
        <w:tc>
          <w:tcPr>
            <w:tcW w:type="dxa" w:w="30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n/a</w:t>
            </w:r>
          </w:p>
        </w:tc>
        <w:tc>
          <w:tcPr>
            <w:tcW w:type="dxa" w:w="30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 99.9% monthly</w:t>
            </w:r>
          </w:p>
        </w:tc>
      </w:tr>
    </w:tbl>
    <w:p>
      <w:pPr>
        <w:pStyle w:val="Heading1"/>
        <w:spacing w:after="200" w:before="360"/>
      </w:pPr>
      <w:r>
        <w:rPr>
          <w:rFonts w:ascii="Cambria" w:cs="Cambria" w:eastAsia="Cambria" w:hAnsi="Cambria"/>
          <w:b/>
          <w:bCs/>
          <w:color w:val="1F2733"/>
          <w:sz w:val="34"/>
          <w:szCs w:val="34"/>
        </w:rPr>
        <w:t xml:space="preserve">10. Investment Summary</w:t>
      </w:r>
    </w:p>
    <w:p>
      <w:pPr>
        <w:spacing w:after="160" w:line="300"/>
        <w:jc w:val="both"/>
      </w:pPr>
      <w:r>
        <w:rPr>
          <w:rFonts w:ascii="Calibri" w:cs="Calibri" w:eastAsia="Calibri" w:hAnsi="Calibri"/>
          <w:color w:val="222222"/>
          <w:sz w:val="22"/>
          <w:szCs w:val="22"/>
        </w:rPr>
        <w:t xml:space="preserve">The figures below are indicative planning ranges to be refined during Phase 0 discovery, when fleet size, branch count, and hardware selection are finalized. They are structured to separate one-time build investment from recurring operating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138"/>
      </w:tblGrid>
      <w:tr>
        <w:trPr>
          <w:tblHeader/>
        </w:trPr>
        <w:tc>
          <w:tcPr>
            <w:tcW w:type="dxa" w:w="34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Cost Component</w:t>
            </w:r>
          </w:p>
        </w:tc>
        <w:tc>
          <w:tcPr>
            <w:tcW w:type="dxa" w:w="31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Type</w:t>
            </w:r>
          </w:p>
        </w:tc>
        <w:tc>
          <w:tcPr>
            <w:tcW w:type="dxa" w:w="31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Indicative Range (USD)</w:t>
            </w:r>
          </w:p>
        </w:tc>
      </w:tr>
      <w:tr>
        <w:tc>
          <w:tcPr>
            <w:tcW w:type="dxa" w:w="34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0 — Discovery &amp; architecture</w:t>
            </w:r>
          </w:p>
        </w:tc>
        <w:tc>
          <w:tcPr>
            <w:tcW w:type="dxa" w:w="31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One-time</w:t>
            </w:r>
          </w:p>
        </w:tc>
        <w:tc>
          <w:tcPr>
            <w:tcW w:type="dxa" w:w="31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8,000 – 15,000</w:t>
            </w:r>
          </w:p>
        </w:tc>
      </w:tr>
      <w:tr>
        <w:tc>
          <w:tcPr>
            <w:tcW w:type="dxa" w:w="34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1 — Core rental platform</w:t>
            </w:r>
          </w:p>
        </w:tc>
        <w:tc>
          <w:tcPr>
            <w:tcW w:type="dxa" w:w="31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One-time</w:t>
            </w:r>
          </w:p>
        </w:tc>
        <w:tc>
          <w:tcPr>
            <w:tcW w:type="dxa" w:w="31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45,000 – 70,000</w:t>
            </w:r>
          </w:p>
        </w:tc>
      </w:tr>
      <w:tr>
        <w:tc>
          <w:tcPr>
            <w:tcW w:type="dxa" w:w="34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2 — Fleet telematics software</w:t>
            </w:r>
          </w:p>
        </w:tc>
        <w:tc>
          <w:tcPr>
            <w:tcW w:type="dxa" w:w="31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One-time</w:t>
            </w:r>
          </w:p>
        </w:tc>
        <w:tc>
          <w:tcPr>
            <w:tcW w:type="dxa" w:w="31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25,000 – 40,000</w:t>
            </w:r>
          </w:p>
        </w:tc>
      </w:tr>
      <w:tr>
        <w:tc>
          <w:tcPr>
            <w:tcW w:type="dxa" w:w="34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Phase 3 — Enterprise hardening &amp; analytics</w:t>
            </w:r>
          </w:p>
        </w:tc>
        <w:tc>
          <w:tcPr>
            <w:tcW w:type="dxa" w:w="31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One-time</w:t>
            </w:r>
          </w:p>
        </w:tc>
        <w:tc>
          <w:tcPr>
            <w:tcW w:type="dxa" w:w="31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20,000 – 35,000</w:t>
            </w:r>
          </w:p>
        </w:tc>
      </w:tr>
      <w:tr>
        <w:tc>
          <w:tcPr>
            <w:tcW w:type="dxa" w:w="34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Telematics hardware &amp; installation</w:t>
            </w:r>
          </w:p>
        </w:tc>
        <w:tc>
          <w:tcPr>
            <w:tcW w:type="dxa" w:w="31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Per asset</w:t>
            </w:r>
          </w:p>
        </w:tc>
        <w:tc>
          <w:tcPr>
            <w:tcW w:type="dxa" w:w="31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150 – 400 per machine</w:t>
            </w:r>
          </w:p>
        </w:tc>
      </w:tr>
      <w:tr>
        <w:tc>
          <w:tcPr>
            <w:tcW w:type="dxa" w:w="34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Cloud infrastructure &amp; third-party services</w:t>
            </w:r>
          </w:p>
        </w:tc>
        <w:tc>
          <w:tcPr>
            <w:tcW w:type="dxa" w:w="31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Monthly</w:t>
            </w:r>
          </w:p>
        </w:tc>
        <w:tc>
          <w:tcPr>
            <w:tcW w:type="dxa" w:w="31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800 – 2,500</w:t>
            </w:r>
          </w:p>
        </w:tc>
      </w:tr>
      <w:tr>
        <w:tc>
          <w:tcPr>
            <w:tcW w:type="dxa" w:w="34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Telematics connectivity (SIM/data)</w:t>
            </w:r>
          </w:p>
        </w:tc>
        <w:tc>
          <w:tcPr>
            <w:tcW w:type="dxa" w:w="31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Monthly, per asset</w:t>
            </w:r>
          </w:p>
        </w:tc>
        <w:tc>
          <w:tcPr>
            <w:tcW w:type="dxa" w:w="31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3 – 10 per machine</w:t>
            </w:r>
          </w:p>
        </w:tc>
      </w:tr>
      <w:tr>
        <w:tc>
          <w:tcPr>
            <w:tcW w:type="dxa" w:w="34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Support &amp; maintenance (SLA-backed)</w:t>
            </w:r>
          </w:p>
        </w:tc>
        <w:tc>
          <w:tcPr>
            <w:tcW w:type="dxa" w:w="31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Monthly</w:t>
            </w:r>
          </w:p>
        </w:tc>
        <w:tc>
          <w:tcPr>
            <w:tcW w:type="dxa" w:w="31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12–18% of build cost, annualized</w:t>
            </w:r>
          </w:p>
        </w:tc>
      </w:tr>
    </w:tbl>
    <w:p>
      <w:pPr>
        <w:spacing w:after="160" w:line="300"/>
        <w:jc w:val="both"/>
      </w:pPr>
      <w:r>
        <w:rPr>
          <w:rFonts w:ascii="Calibri" w:cs="Calibri" w:eastAsia="Calibri" w:hAnsi="Calibri"/>
          <w:color w:val="222222"/>
          <w:sz w:val="22"/>
          <w:szCs w:val="22"/>
        </w:rPr>
        <w:t xml:space="preserve">Payment gateway fees (typically 1.95% for local transactions via Paystack) are pass-through costs and can be absorbed or surcharged per pricing policy. A detailed commercial schedule with fixed pricing per phase will be issued following Phase 0.</w:t>
      </w:r>
    </w:p>
    <w:p>
      <w:r>
        <w:br w:type="page"/>
      </w:r>
    </w:p>
    <w:p>
      <w:pPr>
        <w:pStyle w:val="Heading1"/>
        <w:spacing w:after="200" w:before="360"/>
      </w:pPr>
      <w:r>
        <w:rPr>
          <w:rFonts w:ascii="Cambria" w:cs="Cambria" w:eastAsia="Cambria" w:hAnsi="Cambria"/>
          <w:b/>
          <w:bCs/>
          <w:color w:val="1F2733"/>
          <w:sz w:val="34"/>
          <w:szCs w:val="34"/>
        </w:rPr>
        <w:t xml:space="preserve">11. Service Levels &amp; Support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Tier</w:t>
            </w:r>
          </w:p>
        </w:tc>
        <w:tc>
          <w:tcPr>
            <w:tcW w:type="dxa" w:w="3600"/>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Coverage</w:t>
            </w:r>
          </w:p>
        </w:tc>
        <w:tc>
          <w:tcPr>
            <w:tcW w:type="dxa" w:w="3838"/>
            <w:tcBorders>
              <w:top w:val="single" w:color="C9CFD6" w:sz="4"/>
              <w:left w:val="single" w:color="C9CFD6" w:sz="4"/>
              <w:bottom w:val="single" w:color="C9CFD6" w:sz="4"/>
              <w:right w:val="single" w:color="C9CFD6" w:sz="4"/>
            </w:tcBorders>
            <w:shd w:fill="1F273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Response / Resolution Targets</w:t>
            </w:r>
          </w:p>
        </w:tc>
      </w:tr>
      <w:tr>
        <w:tc>
          <w:tcPr>
            <w:tcW w:type="dxa" w:w="2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Severity 1 — Platform down</w:t>
            </w:r>
          </w:p>
        </w:tc>
        <w:tc>
          <w:tcPr>
            <w:tcW w:type="dxa" w:w="3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24 × 7</w:t>
            </w:r>
          </w:p>
        </w:tc>
        <w:tc>
          <w:tcPr>
            <w:tcW w:type="dxa" w:w="38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Response ≤ 30 min; workaround ≤ 4 h</w:t>
            </w:r>
          </w:p>
        </w:tc>
      </w:tr>
      <w:tr>
        <w:tc>
          <w:tcPr>
            <w:tcW w:type="dxa" w:w="2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Severity 2 — Major function degraded</w:t>
            </w:r>
          </w:p>
        </w:tc>
        <w:tc>
          <w:tcPr>
            <w:tcW w:type="dxa" w:w="3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24 × 7</w:t>
            </w:r>
          </w:p>
        </w:tc>
        <w:tc>
          <w:tcPr>
            <w:tcW w:type="dxa" w:w="38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Response ≤ 2 h; resolution ≤ 1 business day</w:t>
            </w:r>
          </w:p>
        </w:tc>
      </w:tr>
      <w:tr>
        <w:tc>
          <w:tcPr>
            <w:tcW w:type="dxa" w:w="22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Severity 3 — Minor issue</w:t>
            </w:r>
          </w:p>
        </w:tc>
        <w:tc>
          <w:tcPr>
            <w:tcW w:type="dxa" w:w="3600"/>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Business hours</w:t>
            </w:r>
          </w:p>
        </w:tc>
        <w:tc>
          <w:tcPr>
            <w:tcW w:type="dxa" w:w="3838"/>
            <w:tcBorders>
              <w:top w:val="single" w:color="C9CFD6" w:sz="4"/>
              <w:left w:val="single" w:color="C9CFD6" w:sz="4"/>
              <w:bottom w:val="single" w:color="C9CFD6" w:sz="4"/>
              <w:right w:val="single" w:color="C9CFD6" w:sz="4"/>
            </w:tcBorders>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Response ≤ 8 business hours; resolution ≤ 5 business days</w:t>
            </w:r>
          </w:p>
        </w:tc>
      </w:tr>
      <w:tr>
        <w:tc>
          <w:tcPr>
            <w:tcW w:type="dxa" w:w="22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Severity 4 — Request / question</w:t>
            </w:r>
          </w:p>
        </w:tc>
        <w:tc>
          <w:tcPr>
            <w:tcW w:type="dxa" w:w="3600"/>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Business hours</w:t>
            </w:r>
          </w:p>
        </w:tc>
        <w:tc>
          <w:tcPr>
            <w:tcW w:type="dxa" w:w="3838"/>
            <w:tcBorders>
              <w:top w:val="single" w:color="C9CFD6" w:sz="4"/>
              <w:left w:val="single" w:color="C9CFD6" w:sz="4"/>
              <w:bottom w:val="single" w:color="C9CFD6" w:sz="4"/>
              <w:right w:val="single" w:color="C9CFD6" w:sz="4"/>
            </w:tcBorders>
            <w:shd w:fill="F2F4F7"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2A2A2A"/>
                <w:sz w:val="20"/>
                <w:szCs w:val="20"/>
              </w:rPr>
              <w:t xml:space="preserve">Response ≤ 1 business day</w:t>
            </w:r>
          </w:p>
        </w:tc>
      </w:tr>
    </w:tbl>
    <w:p>
      <w:pPr>
        <w:pStyle w:val="ListParagraph"/>
        <w:numPr>
          <w:ilvl w:val="0"/>
          <w:numId w:val="2"/>
        </w:numPr>
        <w:spacing w:after="100" w:line="290"/>
      </w:pPr>
      <w:r>
        <w:rPr>
          <w:rFonts w:ascii="Calibri" w:cs="Calibri" w:eastAsia="Calibri" w:hAnsi="Calibri"/>
          <w:color w:val="222222"/>
          <w:sz w:val="22"/>
          <w:szCs w:val="22"/>
        </w:rPr>
        <w:t xml:space="preserve">Dedicated support channel (phone, WhatsApp, email, in-app) with a named service manager and monthly service reviews.</w:t>
      </w:r>
    </w:p>
    <w:p>
      <w:pPr>
        <w:pStyle w:val="ListParagraph"/>
        <w:numPr>
          <w:ilvl w:val="0"/>
          <w:numId w:val="2"/>
        </w:numPr>
        <w:spacing w:after="100" w:line="290"/>
      </w:pPr>
      <w:r>
        <w:rPr>
          <w:rFonts w:ascii="Calibri" w:cs="Calibri" w:eastAsia="Calibri" w:hAnsi="Calibri"/>
          <w:color w:val="222222"/>
          <w:sz w:val="22"/>
          <w:szCs w:val="22"/>
        </w:rPr>
        <w:t xml:space="preserve">Proactive monitoring with automated alerting — most incidents are detected and acted on before users report them.</w:t>
      </w:r>
    </w:p>
    <w:p>
      <w:pPr>
        <w:pStyle w:val="ListParagraph"/>
        <w:numPr>
          <w:ilvl w:val="0"/>
          <w:numId w:val="2"/>
        </w:numPr>
        <w:spacing w:after="100" w:line="290"/>
      </w:pPr>
      <w:r>
        <w:rPr>
          <w:rFonts w:ascii="Calibri" w:cs="Calibri" w:eastAsia="Calibri" w:hAnsi="Calibri"/>
          <w:color w:val="222222"/>
          <w:sz w:val="22"/>
          <w:szCs w:val="22"/>
        </w:rPr>
        <w:t xml:space="preserve">Quarterly platform updates covering security patches, feature enhancements, and performance tuning under the support agreement.</w:t>
      </w:r>
    </w:p>
    <w:p>
      <w:pPr>
        <w:pStyle w:val="Heading1"/>
        <w:spacing w:after="200" w:before="360"/>
      </w:pPr>
      <w:r>
        <w:rPr>
          <w:rFonts w:ascii="Cambria" w:cs="Cambria" w:eastAsia="Cambria" w:hAnsi="Cambria"/>
          <w:b/>
          <w:bCs/>
          <w:color w:val="1F2733"/>
          <w:sz w:val="34"/>
          <w:szCs w:val="34"/>
        </w:rPr>
        <w:t xml:space="preserve">12. Conclusion &amp; Next Steps</w:t>
      </w:r>
    </w:p>
    <w:p>
      <w:pPr>
        <w:spacing w:after="160" w:line="300"/>
        <w:jc w:val="both"/>
      </w:pPr>
      <w:r>
        <w:rPr>
          <w:rFonts w:ascii="Calibri" w:cs="Calibri" w:eastAsia="Calibri" w:hAnsi="Calibri"/>
          <w:color w:val="222222"/>
          <w:sz w:val="22"/>
          <w:szCs w:val="22"/>
        </w:rPr>
        <w:t xml:space="preserve">This platform converts a traditional equipment rental operation into a data-driven, digitally controlled enterprise: every machine visible in real time, every cedi accounted for, every booking captured through a professional customer experience. The phased roadmap delivers revenue-facing capability within the first four months while building toward certified enterprise-grade security, availability, and financial governance.</w:t>
      </w:r>
    </w:p>
    <w:p>
      <w:pPr>
        <w:pStyle w:val="Heading3"/>
        <w:spacing w:after="120" w:before="220"/>
      </w:pPr>
      <w:r>
        <w:rPr>
          <w:rFonts w:ascii="Calibri" w:cs="Calibri" w:eastAsia="Calibri" w:hAnsi="Calibri"/>
          <w:b/>
          <w:bCs/>
          <w:color w:val="5C6B7A"/>
          <w:sz w:val="23"/>
          <w:szCs w:val="23"/>
        </w:rPr>
        <w:t xml:space="preserve">Recommended Next Steps</w:t>
      </w:r>
    </w:p>
    <w:p>
      <w:pPr>
        <w:pStyle w:val="ListParagraph"/>
        <w:numPr>
          <w:ilvl w:val="0"/>
          <w:numId w:val="2"/>
        </w:numPr>
        <w:spacing w:after="100" w:line="290"/>
      </w:pPr>
      <w:r>
        <w:rPr>
          <w:rFonts w:ascii="Calibri" w:cs="Calibri" w:eastAsia="Calibri" w:hAnsi="Calibri"/>
          <w:b/>
          <w:bCs/>
          <w:color w:val="1F2733"/>
          <w:sz w:val="22"/>
          <w:szCs w:val="22"/>
        </w:rPr>
        <w:t xml:space="preserve">1. Approve: </w:t>
      </w:r>
      <w:r>
        <w:rPr>
          <w:rFonts w:ascii="Calibri" w:cs="Calibri" w:eastAsia="Calibri" w:hAnsi="Calibri"/>
          <w:color w:val="222222"/>
          <w:sz w:val="22"/>
          <w:szCs w:val="22"/>
        </w:rPr>
        <w:t xml:space="preserve">Executive review and approval of this proposal and its phased scope.</w:t>
      </w:r>
    </w:p>
    <w:p>
      <w:pPr>
        <w:pStyle w:val="ListParagraph"/>
        <w:numPr>
          <w:ilvl w:val="0"/>
          <w:numId w:val="2"/>
        </w:numPr>
        <w:spacing w:after="100" w:line="290"/>
      </w:pPr>
      <w:r>
        <w:rPr>
          <w:rFonts w:ascii="Calibri" w:cs="Calibri" w:eastAsia="Calibri" w:hAnsi="Calibri"/>
          <w:b/>
          <w:bCs/>
          <w:color w:val="1F2733"/>
          <w:sz w:val="22"/>
          <w:szCs w:val="22"/>
        </w:rPr>
        <w:t xml:space="preserve">2. Discover: </w:t>
      </w:r>
      <w:r>
        <w:rPr>
          <w:rFonts w:ascii="Calibri" w:cs="Calibri" w:eastAsia="Calibri" w:hAnsi="Calibri"/>
          <w:color w:val="222222"/>
          <w:sz w:val="22"/>
          <w:szCs w:val="22"/>
        </w:rPr>
        <w:t xml:space="preserve">Commission the four-week Phase 0 discovery to finalize requirements, fleet audit, hardware selection, and fixed commercial terms.</w:t>
      </w:r>
    </w:p>
    <w:p>
      <w:pPr>
        <w:pStyle w:val="ListParagraph"/>
        <w:numPr>
          <w:ilvl w:val="0"/>
          <w:numId w:val="2"/>
        </w:numPr>
        <w:spacing w:after="100" w:line="290"/>
      </w:pPr>
      <w:r>
        <w:rPr>
          <w:rFonts w:ascii="Calibri" w:cs="Calibri" w:eastAsia="Calibri" w:hAnsi="Calibri"/>
          <w:b/>
          <w:bCs/>
          <w:color w:val="1F2733"/>
          <w:sz w:val="22"/>
          <w:szCs w:val="22"/>
        </w:rPr>
        <w:t xml:space="preserve">3. Mobilize: </w:t>
      </w:r>
      <w:r>
        <w:rPr>
          <w:rFonts w:ascii="Calibri" w:cs="Calibri" w:eastAsia="Calibri" w:hAnsi="Calibri"/>
          <w:color w:val="222222"/>
          <w:sz w:val="22"/>
          <w:szCs w:val="22"/>
        </w:rPr>
        <w:t xml:space="preserve">Mobilize the delivery team and commence Phase 1 build immediately after blueprint sign-off.</w:t>
      </w:r>
    </w:p>
    <w:p>
      <w:pPr>
        <w:spacing w:after="160" w:line="300"/>
        <w:jc w:val="both"/>
      </w:pPr>
      <w:r>
        <w:rPr>
          <w:rFonts w:ascii="Calibri" w:cs="Calibri" w:eastAsia="Calibri" w:hAnsi="Calibri"/>
          <w:color w:val="222222"/>
          <w:sz w:val="22"/>
          <w:szCs w:val="22"/>
        </w:rPr>
        <w:t xml:space="preserve">We look forward to partnering on this transformation.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A"/>
        <w:sz w:val="16"/>
        <w:szCs w:val="16"/>
      </w:rPr>
      <w:t xml:space="preserve">Page </w:t>
    </w:r>
    <w:r>
      <w:rPr>
        <w:rFonts w:ascii="Calibri" w:cs="Calibri" w:eastAsia="Calibri" w:hAnsi="Calibri"/>
        <w:color w:val="5C6B7A"/>
        <w:sz w:val="16"/>
        <w:szCs w:val="16"/>
      </w:rPr>
      <w:fldChar w:fldCharType="begin"/>
      <w:instrText xml:space="preserve">PAGE</w:instrText>
      <w:fldChar w:fldCharType="separate"/>
      <w:fldChar w:fldCharType="end"/>
    </w:r>
    <w:r>
      <w:rPr>
        <w:rFonts w:ascii="Calibri" w:cs="Calibri" w:eastAsia="Calibri" w:hAnsi="Calibri"/>
        <w:color w:val="5C6B7A"/>
        <w:sz w:val="16"/>
        <w:szCs w:val="16"/>
      </w:rPr>
      <w:t xml:space="preserve"> of </w:t>
    </w:r>
    <w:r>
      <w:rPr>
        <w:rFonts w:ascii="Calibri" w:cs="Calibri" w:eastAsia="Calibri" w:hAnsi="Calibri"/>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1" w:sz="4"/>
      </w:pBdr>
      <w:spacing w:after="60"/>
      <w:jc w:val="right"/>
    </w:pPr>
    <w:r>
      <w:rPr>
        <w:rFonts w:ascii="Calibri" w:cs="Calibri" w:eastAsia="Calibri" w:hAnsi="Calibri"/>
        <w:color w:val="5C6B7A"/>
        <w:sz w:val="16"/>
        <w:szCs w:val="16"/>
      </w:rPr>
      <w:t xml:space="preserve">Heavy Equipment Rental &amp; Fleet Intelligence Platform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C77F00"/>
      </w:r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2026-07-31T02:15:59.202Z</dcterms:created>
  <dcterms:modified xsi:type="dcterms:W3CDTF">2026-07-31T02:15:59.202Z</dcterms:modified>
</cp:coreProperties>
</file>

<file path=docProps/custom.xml><?xml version="1.0" encoding="utf-8"?>
<Properties xmlns="http://schemas.openxmlformats.org/officeDocument/2006/custom-properties" xmlns:vt="http://schemas.openxmlformats.org/officeDocument/2006/docPropsVTypes"/>
</file>