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JONATHAN L. PEREZ, MS, CISSP, CISM</w:t>
      </w:r>
    </w:p>
    <w:p>
      <w:pPr>
        <w:jc w:val="center"/>
      </w:pPr>
      <w:r>
        <w:rPr>
          <w:sz w:val="18"/>
        </w:rPr>
        <w:t>Aldie, VA | 703-843-6887 | jleepe@outlook.com | linkedin.com/in/cyberjp | securitybyjp.com</w:t>
      </w:r>
    </w:p>
    <w:p>
      <w:pPr>
        <w:spacing w:before="120" w:after="80"/>
      </w:pPr>
      <w:r>
        <w:rPr>
          <w:b/>
          <w:sz w:val="22"/>
        </w:rPr>
        <w:t>GRC ENGINEER &amp; SECURITY COMPLIANCE SME</w:t>
      </w:r>
    </w:p>
    <w:p>
      <w:pPr>
        <w:spacing w:after="160"/>
      </w:pPr>
      <w:r>
        <w:rPr>
          <w:sz w:val="20"/>
        </w:rPr>
        <w:t>GRC Engineer leveraging AWS Config, Lambda, EventBridge, and Security Hub to automate continuous compliance and evidence collection across hybrid cloud environments. 10+ years bridging NIST RMF, FedRAMP, SOC 2, ISO 27001, and PCI DSS governance with engineering execution using Wiz, Qualys, Tenable, and Python automation. Proven track record reducing vulnerabilities 83% and cutting documentation cycles 70% through control automation and risk register integration.</w:t>
      </w:r>
    </w:p>
    <w:p>
      <w:pPr>
        <w:spacing w:before="240" w:after="120"/>
      </w:pPr>
      <w:r>
        <w:rPr>
          <w:b/>
          <w:color w:val="000000"/>
          <w:sz w:val="22"/>
        </w:rPr>
        <w:t>CERTIFICATIONS &amp; SECURITY CLEARANCE</w:t>
      </w:r>
    </w:p>
    <w:p>
      <w:pPr>
        <w:spacing w:after="40"/>
      </w:pPr>
      <w:r>
        <w:rPr>
          <w:sz w:val="18"/>
        </w:rPr>
        <w:t>ISC2 - CISSP | ISC2 - CISM | ISACA - CGRC | AWS Solutions Architect - Associate | CSA - CCSK | EC-Council - CEH</w:t>
      </w:r>
    </w:p>
    <w:p>
      <w:pPr>
        <w:spacing w:after="40"/>
      </w:pPr>
      <w:r>
        <w:rPr>
          <w:sz w:val="18"/>
        </w:rPr>
        <w:t>CompTIA Security+ | CompTIA Network+ | CSA - CCZT | CAISS | TAISE | CISA AES Assessment Lead (AL) | CISA AES Technical Lead (TL)</w:t>
      </w:r>
    </w:p>
    <w:p>
      <w:pPr>
        <w:spacing w:after="160"/>
      </w:pPr>
      <w:r>
        <w:rPr>
          <w:b/>
          <w:sz w:val="18"/>
        </w:rPr>
        <w:t>Active Secret Clearance</w:t>
      </w:r>
    </w:p>
    <w:p>
      <w:pPr>
        <w:spacing w:before="240" w:after="120"/>
      </w:pPr>
      <w:r>
        <w:rPr>
          <w:b/>
          <w:color w:val="000000"/>
          <w:sz w:val="22"/>
        </w:rPr>
        <w:t>EDUCATION</w:t>
      </w:r>
    </w:p>
    <w:p>
      <w:pPr>
        <w:spacing w:after="40"/>
      </w:pPr>
      <w:r>
        <w:rPr>
          <w:sz w:val="20"/>
        </w:rPr>
        <w:t xml:space="preserve">University of Maryland Global Campus – </w:t>
      </w:r>
      <w:r>
        <w:rPr>
          <w:sz w:val="20"/>
        </w:rPr>
        <w:t>Master of Science (MS), Cybersecurity</w:t>
      </w:r>
    </w:p>
    <w:p>
      <w:pPr>
        <w:spacing w:after="160"/>
      </w:pPr>
      <w:r>
        <w:rPr>
          <w:sz w:val="20"/>
        </w:rPr>
        <w:t xml:space="preserve">Savannah College of Art and Design – </w:t>
      </w:r>
      <w:r>
        <w:rPr>
          <w:sz w:val="20"/>
        </w:rPr>
        <w:t>Bachelor of Fine Arts (BFA)</w:t>
      </w:r>
    </w:p>
    <w:p>
      <w:pPr>
        <w:spacing w:before="240" w:after="120"/>
      </w:pPr>
      <w:r>
        <w:rPr>
          <w:b/>
          <w:color w:val="000000"/>
          <w:sz w:val="22"/>
        </w:rPr>
        <w:t>TOOLS &amp; PLATFORMS</w:t>
      </w:r>
    </w:p>
    <w:p>
      <w:pPr>
        <w:spacing w:after="40"/>
        <w:ind w:left="360"/>
      </w:pPr>
      <w:r>
        <w:rPr>
          <w:b/>
          <w:sz w:val="18"/>
        </w:rPr>
        <w:t xml:space="preserve">Cloud &amp; Automation: </w:t>
      </w:r>
      <w:r>
        <w:rPr>
          <w:sz w:val="18"/>
        </w:rPr>
        <w:t>AWS Config, Lambda, EventBridge, Security Hub, Systems Manager, GuardDuty, Python, OSCAL, CI/CD</w:t>
      </w:r>
    </w:p>
    <w:p>
      <w:pPr>
        <w:spacing w:after="40"/>
        <w:ind w:left="360"/>
      </w:pPr>
      <w:r>
        <w:rPr>
          <w:b/>
          <w:sz w:val="18"/>
        </w:rPr>
        <w:t xml:space="preserve">GRC Platforms: </w:t>
      </w:r>
      <w:r>
        <w:rPr>
          <w:sz w:val="18"/>
        </w:rPr>
        <w:t>ServiceNow GRC, DOJ CSAM, RegScale, Jira Automation, API-based evidence pipelines</w:t>
      </w:r>
    </w:p>
    <w:p>
      <w:pPr>
        <w:spacing w:after="40"/>
        <w:ind w:left="360"/>
      </w:pPr>
      <w:r>
        <w:rPr>
          <w:b/>
          <w:sz w:val="18"/>
        </w:rPr>
        <w:t xml:space="preserve">Vulnerability Management: </w:t>
      </w:r>
      <w:r>
        <w:rPr>
          <w:sz w:val="18"/>
        </w:rPr>
        <w:t>Wiz, Qualys VMDR, Tenable Nessus, CrowdStrike Falcon, CVSSv4, EPSS, MITRE ATT&amp;CK</w:t>
      </w:r>
    </w:p>
    <w:p>
      <w:pPr>
        <w:spacing w:after="40"/>
        <w:ind w:left="360"/>
      </w:pPr>
      <w:r>
        <w:rPr>
          <w:b/>
          <w:sz w:val="18"/>
        </w:rPr>
        <w:t xml:space="preserve">Compliance Frameworks: </w:t>
      </w:r>
      <w:r>
        <w:rPr>
          <w:sz w:val="18"/>
        </w:rPr>
        <w:t>NIST RMF, 800-53/171/30, FedRAMP, FISMA, SOC 2, ISO 27001, PCI DSS 4.0, HIPAA, GDPR, IRS Pub 1075</w:t>
      </w:r>
    </w:p>
    <w:p>
      <w:pPr>
        <w:spacing w:after="40"/>
        <w:ind w:left="360"/>
      </w:pPr>
      <w:r>
        <w:rPr>
          <w:b/>
          <w:sz w:val="18"/>
        </w:rPr>
        <w:t xml:space="preserve">Security Operations: </w:t>
      </w:r>
      <w:r>
        <w:rPr>
          <w:sz w:val="18"/>
        </w:rPr>
        <w:t>SIEM (Splunk, AWS Security Hub, GuardDuty), incident response, continuous monitoring, threat intelligence</w:t>
      </w:r>
    </w:p>
    <w:p/>
    <w:p>
      <w:pPr>
        <w:spacing w:before="240" w:after="120"/>
      </w:pPr>
      <w:r>
        <w:rPr>
          <w:b/>
          <w:color w:val="000000"/>
          <w:sz w:val="22"/>
        </w:rPr>
        <w:t>PROFESSIONAL EXPERIENCE</w:t>
      </w:r>
    </w:p>
    <w:p>
      <w:pPr>
        <w:spacing w:after="20"/>
      </w:pPr>
      <w:r>
        <w:rPr>
          <w:b/>
          <w:sz w:val="20"/>
        </w:rPr>
        <w:t xml:space="preserve">Assurit – Washington, D.C. (Supporting Federal Agencies) – </w:t>
      </w:r>
      <w:r>
        <w:rPr>
          <w:b/>
          <w:sz w:val="20"/>
        </w:rPr>
        <w:t>GRC Engineer / Senior Cybersecurity Specialist</w:t>
      </w:r>
    </w:p>
    <w:p>
      <w:pPr>
        <w:spacing w:after="60"/>
      </w:pPr>
      <w:r>
        <w:rPr>
          <w:i/>
          <w:sz w:val="18"/>
        </w:rPr>
        <w:t>September 2018 - Present</w:t>
      </w:r>
    </w:p>
    <w:p>
      <w:pPr>
        <w:pStyle w:val="ListBullet"/>
        <w:spacing w:after="60"/>
        <w:ind w:left="360"/>
      </w:pPr>
      <w:r>
        <w:rPr>
          <w:sz w:val="20"/>
        </w:rPr>
        <w:t>Lead enterprise vulnerability management program across 10,000+ assets, reducing vulnerabilities from 70,000 to 12,000 (83% reduction) through automated remediation workflows integrating Wiz, Qualys, and Tenable with Jira and ServiceNow</w:t>
      </w:r>
    </w:p>
    <w:p>
      <w:pPr>
        <w:pStyle w:val="ListBullet"/>
        <w:spacing w:after="60"/>
        <w:ind w:left="360"/>
      </w:pPr>
      <w:r>
        <w:rPr>
          <w:sz w:val="20"/>
        </w:rPr>
        <w:t>Engineer continuous compliance pipelines using AWS Config, Lambda, and EventBridge to automatically collect evidence and detect configuration drift in real-time, reducing manual documentation cycles by 70%</w:t>
      </w:r>
    </w:p>
    <w:p>
      <w:pPr>
        <w:pStyle w:val="ListBullet"/>
        <w:spacing w:after="60"/>
        <w:ind w:left="360"/>
      </w:pPr>
      <w:r>
        <w:rPr>
          <w:sz w:val="20"/>
        </w:rPr>
        <w:t>Automate control testing and evidence collection transforming scanner data into normalized, control-mapped findings, reducing manual review time by 30% and improving audit readiness</w:t>
      </w:r>
    </w:p>
    <w:p>
      <w:pPr>
        <w:pStyle w:val="ListBullet"/>
        <w:spacing w:after="60"/>
        <w:ind w:left="360"/>
      </w:pPr>
      <w:r>
        <w:rPr>
          <w:sz w:val="20"/>
        </w:rPr>
        <w:t>Serve as GRC Engineering SME bridging NIST RMF, FedRAMP, SOC 2, ISO 27001, and PCI DSS governance requirements with automated technical implementation using Python and RegScale</w:t>
      </w:r>
    </w:p>
    <w:p>
      <w:pPr>
        <w:pStyle w:val="ListBullet"/>
        <w:spacing w:after="60"/>
        <w:ind w:left="360"/>
      </w:pPr>
      <w:r>
        <w:rPr>
          <w:sz w:val="20"/>
        </w:rPr>
        <w:t>Develop control automation workflows converting SSP to OSCAL to ARCAMPE documentation formats, enabling continuous compliance monitoring and reducing update cycles by 70%</w:t>
      </w:r>
    </w:p>
    <w:p>
      <w:pPr>
        <w:pStyle w:val="ListBullet"/>
        <w:spacing w:after="60"/>
        <w:ind w:left="360"/>
      </w:pPr>
      <w:r>
        <w:rPr>
          <w:sz w:val="20"/>
        </w:rPr>
        <w:t>Lead security assessments for MD THINK, MD Benefits, FEC, and USPTO across NIST 800-53/171, FedRAMP, ISO 27001, SOC 2, and IRS Pub 1075 frameworks</w:t>
      </w:r>
    </w:p>
    <w:p>
      <w:pPr>
        <w:pStyle w:val="ListBullet"/>
        <w:spacing w:after="60"/>
        <w:ind w:left="360"/>
      </w:pPr>
      <w:r>
        <w:rPr>
          <w:sz w:val="20"/>
        </w:rPr>
        <w:t>Integrate SIEM data from AWS Security Hub, GuardDuty, and Splunk with GRC platforms for automated evidence collection and real-time control validation</w:t>
      </w:r>
    </w:p>
    <w:p>
      <w:pPr>
        <w:pStyle w:val="ListBullet"/>
        <w:spacing w:after="60"/>
        <w:ind w:left="360"/>
      </w:pPr>
      <w:r>
        <w:rPr>
          <w:sz w:val="20"/>
        </w:rPr>
        <w:t>Build Jira-based risk register automation improving risk scoring accuracy, tracking workflows, and continuous monitoring updates across multiple compliance programs</w:t>
      </w:r>
    </w:p>
    <w:p>
      <w:pPr>
        <w:pStyle w:val="ListBullet"/>
        <w:spacing w:after="60"/>
        <w:ind w:left="360"/>
      </w:pPr>
      <w:r>
        <w:rPr>
          <w:sz w:val="20"/>
        </w:rPr>
        <w:t>Validate CI/CD pipeline security controls including ECR scanning, Wiz SCA, and SSM patching aligned with NIST 800-53 and FedRAMP baselines</w:t>
      </w:r>
    </w:p>
    <w:p>
      <w:pPr>
        <w:pStyle w:val="ListBullet"/>
        <w:spacing w:after="60"/>
        <w:ind w:left="360"/>
      </w:pPr>
      <w:r>
        <w:rPr>
          <w:sz w:val="20"/>
        </w:rPr>
        <w:t>Drive weekly vulnerability management sessions prioritizing findings by CVSS/EPSS and asset criticality, coordinating automated remediation across cloud and on-premise environments</w:t>
      </w:r>
    </w:p>
    <w:p>
      <w:pPr>
        <w:pStyle w:val="ListBullet"/>
        <w:spacing w:after="60"/>
        <w:ind w:left="360"/>
      </w:pPr>
      <w:r>
        <w:rPr>
          <w:sz w:val="20"/>
        </w:rPr>
        <w:t>Manage POA&amp;M lifecycle from identification through closure using automated tracking, ensuring timely resolution of audit findings and maintaining compliance posture</w:t>
      </w:r>
    </w:p>
    <w:p>
      <w:pPr>
        <w:pStyle w:val="ListBullet"/>
        <w:spacing w:after="60"/>
        <w:ind w:left="360"/>
      </w:pPr>
      <w:r>
        <w:rPr>
          <w:sz w:val="20"/>
        </w:rPr>
        <w:t>Deliver ISSO enablement programs reducing artifact submission errors by 40% through standardized workflows, templates, and training</w:t>
      </w:r>
    </w:p>
    <w:p/>
    <w:p>
      <w:pPr>
        <w:spacing w:after="20"/>
      </w:pPr>
      <w:r>
        <w:rPr>
          <w:b/>
          <w:sz w:val="20"/>
        </w:rPr>
        <w:t xml:space="preserve">USPTO / SEC / DHS (Various Federal Contractors) – </w:t>
      </w:r>
      <w:r>
        <w:rPr>
          <w:b/>
          <w:sz w:val="20"/>
        </w:rPr>
        <w:t>Senior Information Security Analyst / ISSO</w:t>
      </w:r>
    </w:p>
    <w:p>
      <w:pPr>
        <w:spacing w:after="60"/>
      </w:pPr>
      <w:r>
        <w:rPr>
          <w:i/>
          <w:sz w:val="18"/>
        </w:rPr>
        <w:t>April 2014 - September 2018</w:t>
      </w:r>
    </w:p>
    <w:p>
      <w:pPr>
        <w:pStyle w:val="ListBullet"/>
        <w:spacing w:after="60"/>
        <w:ind w:left="360"/>
      </w:pPr>
      <w:r>
        <w:rPr>
          <w:sz w:val="20"/>
        </w:rPr>
        <w:t>Performed full NIST RMF lifecycle activities (SSP, SAR, POA&amp;M, SIA) ensuring compliance with FedRAMP, FISMA, and NIST 800-53 across multiple federal systems</w:t>
      </w:r>
    </w:p>
    <w:p>
      <w:pPr>
        <w:pStyle w:val="ListBullet"/>
        <w:spacing w:after="60"/>
        <w:ind w:left="360"/>
      </w:pPr>
      <w:r>
        <w:rPr>
          <w:sz w:val="20"/>
        </w:rPr>
        <w:t>Managed vulnerability scanning using Tenable Nessus across UNIX, Cisco, and Windows platforms, integrating findings with CSAM risk registers and reducing vulnerabilities by 25%</w:t>
      </w:r>
    </w:p>
    <w:p>
      <w:pPr>
        <w:pStyle w:val="ListBullet"/>
        <w:spacing w:after="60"/>
        <w:ind w:left="360"/>
      </w:pPr>
      <w:r>
        <w:rPr>
          <w:sz w:val="20"/>
        </w:rPr>
        <w:t>Implemented secure baseline configurations aligned with CIS Benchmarks, USGCB, and DISA STIGs, improving security posture and reducing configuration-based vulnerabilities</w:t>
      </w:r>
    </w:p>
    <w:p>
      <w:pPr>
        <w:pStyle w:val="ListBullet"/>
        <w:spacing w:after="60"/>
        <w:ind w:left="360"/>
      </w:pPr>
      <w:r>
        <w:rPr>
          <w:sz w:val="20"/>
        </w:rPr>
        <w:t>Conducted code-embedded security reviews for SEC development teams, identifying and remediating release-blocking vulnerabilities before production deployment</w:t>
      </w:r>
    </w:p>
    <w:p>
      <w:pPr>
        <w:pStyle w:val="ListBullet"/>
        <w:spacing w:after="60"/>
        <w:ind w:left="360"/>
      </w:pPr>
      <w:r>
        <w:rPr>
          <w:sz w:val="20"/>
        </w:rPr>
        <w:t>Supported SOC 2 and ISO 27001 evidence collection and technical control mapping for compliance validation and audit readiness</w:t>
      </w:r>
    </w:p>
    <w:p>
      <w:pPr>
        <w:pStyle w:val="ListBullet"/>
        <w:spacing w:after="60"/>
        <w:ind w:left="360"/>
      </w:pPr>
      <w:r>
        <w:rPr>
          <w:sz w:val="20"/>
        </w:rPr>
        <w:t>Developed automated scanning workflows increasing productivity by 20% and enhancing scan data accuracy across enterprise environments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