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7615" w14:textId="77777777" w:rsidR="00111354" w:rsidRDefault="00000000">
      <w:pPr>
        <w:spacing w:after="60"/>
        <w:jc w:val="center"/>
      </w:pPr>
      <w:r>
        <w:rPr>
          <w:b/>
          <w:bCs/>
          <w:color w:val="1A1A1A"/>
          <w:sz w:val="44"/>
          <w:szCs w:val="44"/>
        </w:rPr>
        <w:t>ORAL PRESENTATION PREP</w:t>
      </w:r>
    </w:p>
    <w:p w14:paraId="376C7616" w14:textId="77777777" w:rsidR="00111354" w:rsidRDefault="00000000">
      <w:pPr>
        <w:spacing w:after="40"/>
        <w:jc w:val="center"/>
      </w:pPr>
      <w:r>
        <w:rPr>
          <w:color w:val="555555"/>
          <w:sz w:val="28"/>
          <w:szCs w:val="28"/>
        </w:rPr>
        <w:t>Section 2, Question 1: Assessment Methodology &amp; Scalability</w:t>
      </w:r>
    </w:p>
    <w:p w14:paraId="376C7617" w14:textId="77777777" w:rsidR="00111354" w:rsidRDefault="00000000">
      <w:pPr>
        <w:pBdr>
          <w:bottom w:val="single" w:sz="6" w:space="1" w:color="D4A017"/>
        </w:pBdr>
        <w:spacing w:after="300"/>
        <w:jc w:val="center"/>
      </w:pPr>
      <w:r>
        <w:rPr>
          <w:i/>
          <w:iCs/>
          <w:color w:val="666666"/>
          <w:sz w:val="18"/>
          <w:szCs w:val="18"/>
        </w:rPr>
        <w:t xml:space="preserve">Updated March 30, </w:t>
      </w:r>
      <w:proofErr w:type="gramStart"/>
      <w:r>
        <w:rPr>
          <w:i/>
          <w:iCs/>
          <w:color w:val="666666"/>
          <w:sz w:val="18"/>
          <w:szCs w:val="18"/>
        </w:rPr>
        <w:t>2026  |</w:t>
      </w:r>
      <w:proofErr w:type="gramEnd"/>
      <w:r>
        <w:rPr>
          <w:i/>
          <w:iCs/>
          <w:color w:val="666666"/>
          <w:sz w:val="18"/>
          <w:szCs w:val="18"/>
        </w:rPr>
        <w:t xml:space="preserve">  Verified Against Proposal</w:t>
      </w:r>
    </w:p>
    <w:p w14:paraId="376C7618" w14:textId="77777777" w:rsidR="00111354" w:rsidRDefault="00000000">
      <w:pPr>
        <w:pStyle w:val="Heading1"/>
      </w:pPr>
      <w:r>
        <w:t>THE ASK</w:t>
      </w:r>
    </w:p>
    <w:p w14:paraId="376C7619" w14:textId="77777777" w:rsidR="00111354" w:rsidRDefault="00000000">
      <w:r>
        <w:rPr>
          <w:b/>
          <w:bCs/>
        </w:rPr>
        <w:t xml:space="preserve">What they’re really asking: </w:t>
      </w:r>
      <w:r>
        <w:t>This is the “prove you can actually do this at scale” question. They want to know you have a repeatable, structured methodology — not just that you can assess one agency, but that you can do ~90 of them without quality degrading as you scale. They’re testing for operational maturity.</w:t>
      </w:r>
    </w:p>
    <w:p w14:paraId="376C761A" w14:textId="77777777" w:rsidR="00111354" w:rsidRDefault="00111354">
      <w:pPr>
        <w:spacing w:after="100"/>
      </w:pPr>
    </w:p>
    <w:p w14:paraId="376C761B" w14:textId="77777777" w:rsidR="00111354" w:rsidRDefault="00000000">
      <w:pPr>
        <w:pStyle w:val="Heading2"/>
      </w:pPr>
      <w:r>
        <w:t>Must-Hit Items for Your Response</w:t>
      </w:r>
    </w:p>
    <w:p w14:paraId="376C761C" w14:textId="77777777" w:rsidR="00111354" w:rsidRDefault="00000000">
      <w:pPr>
        <w:pStyle w:val="Heading3"/>
      </w:pPr>
      <w:r>
        <w:t>1. A Named, Defined Methodology with Clear Phases</w:t>
      </w:r>
    </w:p>
    <w:p w14:paraId="376C761D" w14:textId="77777777" w:rsidR="00111354" w:rsidRDefault="00000000">
      <w:r>
        <w:t>They want to hear ANCHOR by name, and they want each phase explained in plain terms — what happens, what it produces, and how it feeds the next phase. Don’t assume they’ve memorized your proposal.</w:t>
      </w:r>
    </w:p>
    <w:p w14:paraId="376C761E" w14:textId="77777777" w:rsidR="00111354" w:rsidRDefault="00000000">
      <w:pPr>
        <w:pStyle w:val="ListParagraph"/>
        <w:numPr>
          <w:ilvl w:val="0"/>
          <w:numId w:val="47"/>
        </w:numPr>
      </w:pPr>
      <w:r>
        <w:rPr>
          <w:b/>
          <w:bCs/>
        </w:rPr>
        <w:t xml:space="preserve">Proposal Reference: </w:t>
      </w:r>
      <w:r>
        <w:t>F.2.1 — The ANCHOR Assessment Framework (pp. 10–11). Six phases: Assess, Normalize, Consolidate, Harmonize, Optimize, Report.</w:t>
      </w:r>
    </w:p>
    <w:p w14:paraId="376C761F" w14:textId="77777777" w:rsidR="00111354" w:rsidRDefault="00000000">
      <w:pPr>
        <w:pStyle w:val="ListParagraph"/>
        <w:numPr>
          <w:ilvl w:val="0"/>
          <w:numId w:val="47"/>
        </w:numPr>
      </w:pPr>
      <w:r>
        <w:rPr>
          <w:b/>
          <w:bCs/>
        </w:rPr>
        <w:t xml:space="preserve">Key Detail: </w:t>
      </w:r>
      <w:r>
        <w:t>Each phase has a defined purpose, activities, and outcome. Quality and calibration controls are embedded at each transition.</w:t>
      </w:r>
    </w:p>
    <w:p w14:paraId="376C7620" w14:textId="77777777" w:rsidR="00111354" w:rsidRDefault="00111354">
      <w:pPr>
        <w:spacing w:after="100"/>
      </w:pPr>
    </w:p>
    <w:p w14:paraId="376C7621" w14:textId="77777777" w:rsidR="00111354" w:rsidRDefault="00000000">
      <w:pPr>
        <w:pStyle w:val="Heading3"/>
      </w:pPr>
      <w:r>
        <w:t>2. How You Intake and Mobilize When Work Orders Arrive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354" w14:paraId="376C76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200" w:type="dxa"/>
              <w:bottom w:w="120" w:type="dxa"/>
              <w:right w:w="200" w:type="dxa"/>
            </w:tcMar>
          </w:tcPr>
          <w:p w14:paraId="376C7622" w14:textId="77777777" w:rsidR="00111354" w:rsidRDefault="00000000">
            <w:r>
              <w:rPr>
                <w:b/>
                <w:bCs/>
              </w:rPr>
              <w:t>⚠️ CORRECTION FROM PRIOR VERSION</w:t>
            </w:r>
          </w:p>
          <w:p w14:paraId="376C7623" w14:textId="77777777" w:rsidR="00111354" w:rsidRDefault="00000000">
            <w:pPr>
              <w:spacing w:before="80"/>
            </w:pPr>
            <w:r>
              <w:rPr>
                <w:sz w:val="20"/>
                <w:szCs w:val="20"/>
              </w:rPr>
              <w:t xml:space="preserve">The prior outline framed this as “how you prioritize which agencies go first.” That’s not accurate to the proposal. </w:t>
            </w:r>
            <w:proofErr w:type="spellStart"/>
            <w:r>
              <w:rPr>
                <w:sz w:val="20"/>
                <w:szCs w:val="20"/>
              </w:rPr>
              <w:t>DoIT</w:t>
            </w:r>
            <w:proofErr w:type="spellEnd"/>
            <w:r>
              <w:rPr>
                <w:sz w:val="20"/>
                <w:szCs w:val="20"/>
              </w:rPr>
              <w:t xml:space="preserve"> controls sequencing — OSM assigns assessments and ISOs via Work Orders (F.4.2). Assurit does not select or sequence agencies. The correct framing is: how does Assurit intake a Work Order, mobilize a team, and balance workload across active engagements?</w:t>
            </w:r>
          </w:p>
        </w:tc>
      </w:tr>
    </w:tbl>
    <w:p w14:paraId="376C7625" w14:textId="77777777" w:rsidR="00111354" w:rsidRDefault="00111354">
      <w:pPr>
        <w:spacing w:after="100"/>
      </w:pPr>
    </w:p>
    <w:p w14:paraId="376C7626" w14:textId="77777777" w:rsidR="00111354" w:rsidRDefault="00000000">
      <w:r>
        <w:t xml:space="preserve">When a Work Order lands, the PMO logs the assignment, assigns a Lead Assessor, and reviews scope assumptions with the ISO — including agency size, complexity tier, and </w:t>
      </w:r>
      <w:r>
        <w:rPr>
          <w:b/>
          <w:bCs/>
        </w:rPr>
        <w:t>assessment scope category (Small, Medium, Large, Extra Large)</w:t>
      </w:r>
      <w:r>
        <w:t xml:space="preserve"> per F.3.2. A kickoff meeting confirms objectives, methodology, communication cadence, and artifact requirements. The PMO’s centralized planning dashboard (F.6.2) sequences assessments to avoid bottlenecks in interviews, reviews, or QA.</w:t>
      </w:r>
    </w:p>
    <w:p w14:paraId="376C7627" w14:textId="77777777" w:rsidR="00111354" w:rsidRDefault="00000000">
      <w:pPr>
        <w:pStyle w:val="ListParagraph"/>
        <w:numPr>
          <w:ilvl w:val="0"/>
          <w:numId w:val="47"/>
        </w:numPr>
      </w:pPr>
      <w:r>
        <w:rPr>
          <w:b/>
          <w:bCs/>
        </w:rPr>
        <w:t xml:space="preserve">Proposal Reference: </w:t>
      </w:r>
      <w:r>
        <w:t>F.4.1–F.4.2 (ISO-Centered Coordination Model, Assessment Coordination Workflow), F.6.2 (Centralized Planning and Workload Management)</w:t>
      </w:r>
    </w:p>
    <w:p w14:paraId="376C7628" w14:textId="77777777" w:rsidR="00111354" w:rsidRDefault="00000000">
      <w:pPr>
        <w:pStyle w:val="ListParagraph"/>
        <w:numPr>
          <w:ilvl w:val="0"/>
          <w:numId w:val="47"/>
        </w:numPr>
      </w:pPr>
      <w:r>
        <w:rPr>
          <w:b/>
          <w:bCs/>
        </w:rPr>
        <w:t xml:space="preserve">What to say: </w:t>
      </w:r>
      <w:r>
        <w:t>“</w:t>
      </w:r>
      <w:proofErr w:type="spellStart"/>
      <w:r>
        <w:t>DoIT</w:t>
      </w:r>
      <w:proofErr w:type="spellEnd"/>
      <w:r>
        <w:t xml:space="preserve"> issues the Work Orders; our job is to mobilize quickly and manage capacity. When a Work Order arrives, here’s exactly what happens on our end...”</w:t>
      </w:r>
    </w:p>
    <w:p w14:paraId="376C7629" w14:textId="77777777" w:rsidR="00111354" w:rsidRDefault="00111354">
      <w:pPr>
        <w:spacing w:after="100"/>
      </w:pPr>
    </w:p>
    <w:p w14:paraId="376C762A" w14:textId="77777777" w:rsidR="00111354" w:rsidRDefault="00000000">
      <w:pPr>
        <w:pStyle w:val="Heading3"/>
      </w:pPr>
      <w:r>
        <w:t>3. How You Scale Without Losing Consistency</w:t>
      </w:r>
    </w:p>
    <w:p w14:paraId="376C762B" w14:textId="77777777" w:rsidR="00111354" w:rsidRDefault="00000000">
      <w:r>
        <w:lastRenderedPageBreak/>
        <w:t xml:space="preserve">This is the heart of the question. They want to hear about the POD model — how you deploy multiple cross-functional teams in parallel, what standardized tooling and templates they all use, and how you prevent Team A’s assessment from looking different than Team </w:t>
      </w:r>
      <w:proofErr w:type="gramStart"/>
      <w:r>
        <w:t>B’s</w:t>
      </w:r>
      <w:proofErr w:type="gramEnd"/>
      <w:r>
        <w:t>.</w:t>
      </w:r>
    </w:p>
    <w:p w14:paraId="376C762C" w14:textId="77777777" w:rsidR="00111354" w:rsidRDefault="00000000">
      <w:pPr>
        <w:pStyle w:val="ListParagraph"/>
        <w:numPr>
          <w:ilvl w:val="0"/>
          <w:numId w:val="47"/>
        </w:numPr>
      </w:pPr>
      <w:r>
        <w:rPr>
          <w:b/>
          <w:bCs/>
        </w:rPr>
        <w:t xml:space="preserve">Proposal Reference: </w:t>
      </w:r>
      <w:r>
        <w:t>F.3.1–F.3.4 (POD-Based Execution, POD Integration with Program Oversight, Separation of Execution and Governance)</w:t>
      </w:r>
    </w:p>
    <w:p w14:paraId="376C762D" w14:textId="77777777" w:rsidR="00111354" w:rsidRDefault="00000000">
      <w:pPr>
        <w:pStyle w:val="ListParagraph"/>
        <w:numPr>
          <w:ilvl w:val="0"/>
          <w:numId w:val="47"/>
        </w:numPr>
      </w:pPr>
      <w:r>
        <w:rPr>
          <w:b/>
          <w:bCs/>
        </w:rPr>
        <w:t xml:space="preserve">Key Numbers: </w:t>
      </w:r>
      <w:r>
        <w:t>6–10 concurrent assessments at any given time, without rigid sequencing or fixed annual quotas.</w:t>
      </w:r>
    </w:p>
    <w:p w14:paraId="376C762E" w14:textId="77777777" w:rsidR="00111354" w:rsidRDefault="00000000">
      <w:pPr>
        <w:pStyle w:val="ListParagraph"/>
        <w:numPr>
          <w:ilvl w:val="0"/>
          <w:numId w:val="47"/>
        </w:numPr>
        <w:shd w:val="clear" w:color="auto" w:fill="E8F5E9"/>
      </w:pPr>
      <w:r>
        <w:rPr>
          <w:b/>
          <w:bCs/>
          <w:color w:val="2E7D32"/>
        </w:rPr>
        <w:t xml:space="preserve">NEW — Agency Scope Categories: </w:t>
      </w:r>
      <w:r>
        <w:rPr>
          <w:color w:val="2E7D32"/>
        </w:rPr>
        <w:t>The proposal uses a tiered scope system (Small, Medium, Large, Extra Large) to right-size each POD’s composition. POD makeup is determined during scoping and validated at kickoff, so each agency gets the expertise its environment requires. This is a strong talking point — it shows PODs are not one-size-fits-all. (F.3.2, Purpose and Benefits of the POD Model)</w:t>
      </w:r>
    </w:p>
    <w:p w14:paraId="376C762F" w14:textId="77777777" w:rsidR="00111354" w:rsidRDefault="00000000">
      <w:pPr>
        <w:pStyle w:val="ListParagraph"/>
        <w:numPr>
          <w:ilvl w:val="0"/>
          <w:numId w:val="47"/>
        </w:numPr>
      </w:pPr>
      <w:r>
        <w:rPr>
          <w:b/>
          <w:bCs/>
        </w:rPr>
        <w:t xml:space="preserve">Governance Detail: </w:t>
      </w:r>
      <w:r>
        <w:t>PODs focus on evidence collection, testing, scoring, and reporting. Management, QA, and risk oversight are handled centrally by the PMO (F.3.4). This separation preserves assessor independence while enabling scalability.</w:t>
      </w:r>
    </w:p>
    <w:p w14:paraId="376C7630" w14:textId="77777777" w:rsidR="00111354" w:rsidRDefault="00111354">
      <w:pPr>
        <w:spacing w:after="100"/>
      </w:pPr>
    </w:p>
    <w:p w14:paraId="376C7631" w14:textId="77777777" w:rsidR="00111354" w:rsidRDefault="00000000">
      <w:pPr>
        <w:pStyle w:val="Heading3"/>
      </w:pPr>
      <w:r>
        <w:t>4. The ESG (Evaluation Standards Guide) and Scoring Uniformity</w:t>
      </w:r>
    </w:p>
    <w:p w14:paraId="376C7632" w14:textId="77777777" w:rsidR="00111354" w:rsidRDefault="00000000">
      <w:r>
        <w:t>Evaluators love hearing that you have a mechanism that prevents subjective drift in scoring. Explain what the ESG is, how assessors are trained on it, and how it’s applied.</w:t>
      </w:r>
    </w:p>
    <w:p w14:paraId="376C7633" w14:textId="77777777" w:rsidR="00111354" w:rsidRDefault="00000000">
      <w:pPr>
        <w:pStyle w:val="ListParagraph"/>
        <w:numPr>
          <w:ilvl w:val="0"/>
          <w:numId w:val="47"/>
        </w:numPr>
      </w:pPr>
      <w:r>
        <w:rPr>
          <w:b/>
          <w:bCs/>
        </w:rPr>
        <w:t xml:space="preserve">Proposal Reference: </w:t>
      </w:r>
      <w:r>
        <w:t>F.5.2 — Standardized Scoring and Evidence Controls</w:t>
      </w:r>
    </w:p>
    <w:p w14:paraId="376C7634" w14:textId="77777777" w:rsidR="00111354" w:rsidRDefault="00000000">
      <w:pPr>
        <w:pStyle w:val="ListParagraph"/>
        <w:numPr>
          <w:ilvl w:val="0"/>
          <w:numId w:val="47"/>
        </w:numPr>
      </w:pPr>
      <w:r>
        <w:rPr>
          <w:b/>
          <w:bCs/>
        </w:rPr>
        <w:t xml:space="preserve">What ESG Defines: </w:t>
      </w:r>
      <w:r>
        <w:t>What constitutes sufficient evidence for each maturity level; how partial or compensating implementations are evaluated; how scoring rationale is documented for audit traceability.</w:t>
      </w:r>
    </w:p>
    <w:p w14:paraId="376C7635" w14:textId="77777777" w:rsidR="00111354" w:rsidRDefault="00000000">
      <w:pPr>
        <w:pStyle w:val="ListParagraph"/>
        <w:numPr>
          <w:ilvl w:val="0"/>
          <w:numId w:val="47"/>
        </w:numPr>
      </w:pPr>
      <w:r>
        <w:rPr>
          <w:b/>
          <w:bCs/>
        </w:rPr>
        <w:t xml:space="preserve">Key Detail: </w:t>
      </w:r>
      <w:r>
        <w:t>The ESG is version-controlled and updated as frameworks evolve. Updates are communicated through targeted staff briefings and applied uniformly across all active assessments. At contract start, Assurit will validate ESG alignment with OSM.</w:t>
      </w:r>
    </w:p>
    <w:p w14:paraId="376C7636" w14:textId="77777777" w:rsidR="00111354" w:rsidRDefault="00111354">
      <w:pPr>
        <w:spacing w:after="100"/>
      </w:pPr>
    </w:p>
    <w:p w14:paraId="376C7637" w14:textId="77777777" w:rsidR="00111354" w:rsidRDefault="00000000">
      <w:pPr>
        <w:pStyle w:val="Heading3"/>
      </w:pPr>
      <w:r>
        <w:t>5. Your Quality Gate — FRTA</w:t>
      </w:r>
    </w:p>
    <w:p w14:paraId="376C7638" w14:textId="77777777" w:rsidR="00111354" w:rsidRDefault="00000000">
      <w:r>
        <w:t>They need to know there’s a checkpoint before anything goes to the State. What gets reviewed, who reviews it, and what happens if something fails.</w:t>
      </w:r>
    </w:p>
    <w:p w14:paraId="376C7639" w14:textId="77777777" w:rsidR="00111354" w:rsidRDefault="00000000">
      <w:pPr>
        <w:pStyle w:val="ListParagraph"/>
        <w:numPr>
          <w:ilvl w:val="0"/>
          <w:numId w:val="47"/>
        </w:numPr>
      </w:pPr>
      <w:r>
        <w:rPr>
          <w:b/>
          <w:bCs/>
        </w:rPr>
        <w:t xml:space="preserve">Proposal Reference: </w:t>
      </w:r>
      <w:r>
        <w:t>F.5.3 — Independent Technical Validation</w:t>
      </w:r>
    </w:p>
    <w:p w14:paraId="376C763A" w14:textId="77777777" w:rsidR="00111354" w:rsidRDefault="00000000">
      <w:pPr>
        <w:pStyle w:val="ListParagraph"/>
        <w:numPr>
          <w:ilvl w:val="0"/>
          <w:numId w:val="47"/>
        </w:numPr>
      </w:pPr>
      <w:r>
        <w:rPr>
          <w:b/>
          <w:bCs/>
        </w:rPr>
        <w:t xml:space="preserve">What FRTA Validates: </w:t>
      </w:r>
      <w:r>
        <w:t>Technical accuracy of findings and recommendations; correct linkage between evidence and maturity determinations; consistent application of scoring criteria; readiness of assessment data for GRC system integration.</w:t>
      </w:r>
    </w:p>
    <w:p w14:paraId="376C763B" w14:textId="77777777" w:rsidR="00111354" w:rsidRDefault="00000000">
      <w:pPr>
        <w:pStyle w:val="ListParagraph"/>
        <w:numPr>
          <w:ilvl w:val="0"/>
          <w:numId w:val="47"/>
        </w:numPr>
      </w:pPr>
      <w:r>
        <w:rPr>
          <w:b/>
          <w:bCs/>
        </w:rPr>
        <w:t xml:space="preserve">Key Detail: </w:t>
      </w:r>
      <w:r>
        <w:t>FRTA is conducted by senior technical specialists who were NOT responsible for the initial assessment, ensuring objectivity and fresh review. Findings that do not meet validation standards are returned for correction before State submission.</w:t>
      </w:r>
    </w:p>
    <w:p w14:paraId="376C763C" w14:textId="77777777" w:rsidR="00111354" w:rsidRDefault="00111354">
      <w:pPr>
        <w:spacing w:after="100"/>
      </w:pPr>
    </w:p>
    <w:p w14:paraId="376C763D" w14:textId="77777777" w:rsidR="00111354" w:rsidRDefault="00000000">
      <w:pPr>
        <w:pStyle w:val="Heading3"/>
      </w:pPr>
      <w:r>
        <w:t>6. Tooling and Data Management</w:t>
      </w:r>
    </w:p>
    <w:p w14:paraId="376C763E" w14:textId="77777777" w:rsidR="00111354" w:rsidRDefault="00000000">
      <w:r>
        <w:t>How does data flow? Where does it live? They’ll want to hear about ServiceNow GRC integration and how you handle documentation, evidence collection, and reporting at scale.</w:t>
      </w:r>
    </w:p>
    <w:p w14:paraId="376C763F" w14:textId="77777777" w:rsidR="00111354" w:rsidRDefault="00000000">
      <w:pPr>
        <w:pStyle w:val="ListParagraph"/>
        <w:numPr>
          <w:ilvl w:val="0"/>
          <w:numId w:val="47"/>
        </w:numPr>
      </w:pPr>
      <w:r>
        <w:rPr>
          <w:b/>
          <w:bCs/>
        </w:rPr>
        <w:t xml:space="preserve">Proposal Reference: </w:t>
      </w:r>
      <w:r>
        <w:t>F.10 (Contractor-Supplied Tools), Report phase of ANCHOR (F.2.1), F.9 (IT Security)</w:t>
      </w:r>
    </w:p>
    <w:p w14:paraId="376C7640" w14:textId="77777777" w:rsidR="00111354" w:rsidRDefault="00000000">
      <w:pPr>
        <w:pStyle w:val="ListParagraph"/>
        <w:numPr>
          <w:ilvl w:val="0"/>
          <w:numId w:val="47"/>
        </w:numPr>
      </w:pPr>
      <w:r>
        <w:rPr>
          <w:b/>
          <w:bCs/>
        </w:rPr>
        <w:t xml:space="preserve">Platform: </w:t>
      </w:r>
      <w:r>
        <w:t>Secure, cloud-native platforms within Microsoft 365 and Azure commercial environments. SOC 2 Type 2–audited, FIPS 140-3–aligned. Thin-client, browser-based access only. No local installation required.</w:t>
      </w:r>
    </w:p>
    <w:p w14:paraId="376C7641" w14:textId="77777777" w:rsidR="00111354" w:rsidRDefault="00000000">
      <w:pPr>
        <w:pStyle w:val="ListParagraph"/>
        <w:numPr>
          <w:ilvl w:val="0"/>
          <w:numId w:val="47"/>
        </w:numPr>
      </w:pPr>
      <w:r>
        <w:rPr>
          <w:b/>
          <w:bCs/>
        </w:rPr>
        <w:lastRenderedPageBreak/>
        <w:t xml:space="preserve">GRC Integration: </w:t>
      </w:r>
      <w:r>
        <w:t>Findings arrive formatted, structured, and ready for ServiceNow GRC import — supporting POA&amp;M development and tracking (RFP 2.3.1.K). Data structured in State-compatible formats (JSON, XML, or CSV).</w:t>
      </w:r>
    </w:p>
    <w:p w14:paraId="376C7642" w14:textId="77777777" w:rsidR="00111354" w:rsidRDefault="00111354">
      <w:pPr>
        <w:spacing w:after="100"/>
      </w:pPr>
    </w:p>
    <w:p w14:paraId="376C7643" w14:textId="77777777" w:rsidR="00111354" w:rsidRDefault="00000000">
      <w:pPr>
        <w:pStyle w:val="Heading3"/>
      </w:pPr>
      <w:r>
        <w:t>7. Communication and Coordination with the State</w:t>
      </w:r>
    </w:p>
    <w:p w14:paraId="376C7644" w14:textId="77777777" w:rsidR="00111354" w:rsidRDefault="00000000">
      <w:r>
        <w:t xml:space="preserve">How do you keep </w:t>
      </w:r>
      <w:proofErr w:type="spellStart"/>
      <w:r>
        <w:t>DoIT</w:t>
      </w:r>
      <w:proofErr w:type="spellEnd"/>
      <w:r>
        <w:t xml:space="preserve"> informed across ~90 parallel engagements? The answer leads with real-time visibility, supplemented by structured touchpoints.</w:t>
      </w:r>
    </w:p>
    <w:p w14:paraId="376C7645" w14:textId="77777777" w:rsidR="00111354" w:rsidRDefault="00000000">
      <w:pPr>
        <w:pStyle w:val="ListParagraph"/>
        <w:numPr>
          <w:ilvl w:val="0"/>
          <w:numId w:val="47"/>
        </w:numPr>
      </w:pPr>
      <w:r>
        <w:rPr>
          <w:b/>
          <w:bCs/>
        </w:rPr>
        <w:t xml:space="preserve">Proposal Reference: </w:t>
      </w:r>
      <w:r>
        <w:t>F.6.3 (Communication Cadence and Transparency), F.6.4 (Risk and Issue Management), F.23 (Problem Escalation Procedure)</w:t>
      </w:r>
    </w:p>
    <w:p w14:paraId="376C7646" w14:textId="77777777" w:rsidR="00111354" w:rsidRDefault="00000000">
      <w:pPr>
        <w:pStyle w:val="ListParagraph"/>
        <w:numPr>
          <w:ilvl w:val="0"/>
          <w:numId w:val="47"/>
        </w:numPr>
        <w:shd w:val="clear" w:color="auto" w:fill="E8F5E9"/>
      </w:pPr>
      <w:r>
        <w:rPr>
          <w:b/>
          <w:bCs/>
          <w:color w:val="2E7D32"/>
        </w:rPr>
        <w:t xml:space="preserve">UPDATED — Dashboard as Primary Visibility Tool: </w:t>
      </w:r>
      <w:proofErr w:type="spellStart"/>
      <w:r>
        <w:rPr>
          <w:color w:val="2E7D32"/>
        </w:rPr>
        <w:t>DoIT</w:t>
      </w:r>
      <w:proofErr w:type="spellEnd"/>
      <w:r>
        <w:rPr>
          <w:color w:val="2E7D32"/>
        </w:rPr>
        <w:t xml:space="preserve"> staff who need it will have direct access to a dashboard showing the current schedule, task status, upcoming events, and all assessment results in real time. This is the primary transparency mechanism — the State does not have to wait for a report to know where things stand across all active engagements.</w:t>
      </w:r>
    </w:p>
    <w:p w14:paraId="376C7647" w14:textId="77777777" w:rsidR="00111354" w:rsidRDefault="00000000">
      <w:pPr>
        <w:pStyle w:val="ListParagraph"/>
        <w:numPr>
          <w:ilvl w:val="0"/>
          <w:numId w:val="47"/>
        </w:numPr>
      </w:pPr>
      <w:r>
        <w:rPr>
          <w:b/>
          <w:bCs/>
        </w:rPr>
        <w:t xml:space="preserve">Structured Touchpoints (layered on top of dashboard): </w:t>
      </w:r>
      <w:r>
        <w:t>Weekly coordination meetings led by the PM with OSM stakeholders are for context, risk discussion, and strategic decisions — not for conveying status that’s already visible. Bi-weekly written status reports provide a formal record summarizing assessments in progress, completed, and upcoming.</w:t>
      </w:r>
    </w:p>
    <w:p w14:paraId="376C7648" w14:textId="77777777" w:rsidR="00111354" w:rsidRDefault="00000000">
      <w:pPr>
        <w:pStyle w:val="ListParagraph"/>
        <w:numPr>
          <w:ilvl w:val="0"/>
          <w:numId w:val="47"/>
        </w:numPr>
      </w:pPr>
      <w:r>
        <w:rPr>
          <w:b/>
          <w:bCs/>
        </w:rPr>
        <w:t xml:space="preserve">Escalation: </w:t>
      </w:r>
      <w:r>
        <w:t>Four-level escalation structure: Level 1 (PM, same business day) → Level 2 (Deputy PM, 1 business day) → Level 3 (Program Executive, 1 business day) → Level 4 (CEO, 1 business day). Emergency/security: 24/7, within 4 hours.</w:t>
      </w:r>
    </w:p>
    <w:p w14:paraId="376C7649" w14:textId="77777777" w:rsidR="00111354" w:rsidRDefault="00000000">
      <w:pPr>
        <w:pStyle w:val="ListParagraph"/>
        <w:numPr>
          <w:ilvl w:val="0"/>
          <w:numId w:val="47"/>
        </w:numPr>
      </w:pPr>
      <w:r>
        <w:rPr>
          <w:b/>
          <w:bCs/>
        </w:rPr>
        <w:t xml:space="preserve">Responsiveness: </w:t>
      </w:r>
      <w:r>
        <w:t>Core availability 8:00 a.m.–6:00 p.m. ET; priority issues acknowledged within 2 hours; routine inquiries within 1 business day (F.6.5).</w:t>
      </w:r>
    </w:p>
    <w:p w14:paraId="376C764A" w14:textId="77777777" w:rsidR="00111354" w:rsidRDefault="00000000">
      <w:pPr>
        <w:pStyle w:val="ListParagraph"/>
        <w:numPr>
          <w:ilvl w:val="0"/>
          <w:numId w:val="47"/>
        </w:numPr>
      </w:pPr>
      <w:r>
        <w:rPr>
          <w:b/>
          <w:bCs/>
        </w:rPr>
        <w:t xml:space="preserve">What to say: </w:t>
      </w:r>
      <w:r>
        <w:t>“You don’t have to wait for a meeting or a report to see where things stand. Your team has direct access to a live dashboard showing every active assessment’s schedule, status, and results. Our weekly meetings and bi-weekly reports are for discussion and decisions, not status delivery.”</w:t>
      </w:r>
    </w:p>
    <w:p w14:paraId="376C764B" w14:textId="77777777" w:rsidR="00111354" w:rsidRDefault="00111354">
      <w:pPr>
        <w:spacing w:after="100"/>
      </w:pPr>
    </w:p>
    <w:p w14:paraId="376C764C" w14:textId="77777777" w:rsidR="00111354" w:rsidRDefault="00000000">
      <w:pPr>
        <w:pStyle w:val="Heading3"/>
      </w:pPr>
      <w:r>
        <w:t>8. Maturity Scoring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354" w14:paraId="376C764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200" w:type="dxa"/>
              <w:bottom w:w="120" w:type="dxa"/>
              <w:right w:w="200" w:type="dxa"/>
            </w:tcMar>
          </w:tcPr>
          <w:p w14:paraId="376C764D" w14:textId="77777777" w:rsidR="00111354" w:rsidRDefault="00000000">
            <w:r>
              <w:rPr>
                <w:b/>
                <w:bCs/>
              </w:rPr>
              <w:t>⚠️ PRECISION NOTE</w:t>
            </w:r>
          </w:p>
          <w:p w14:paraId="376C764E" w14:textId="77777777" w:rsidR="00111354" w:rsidRDefault="00000000">
            <w:pPr>
              <w:spacing w:before="80"/>
            </w:pPr>
            <w:r>
              <w:rPr>
                <w:sz w:val="20"/>
                <w:szCs w:val="20"/>
              </w:rPr>
              <w:t>The prior outline stated maturity scoring “maps to NIST CSF 2.0 / SP 800-53.” Be precise: the primary alignment is NIST CSF. SP 800-53 and SP 800-171 are incorporated as overlays when required by a specific Work Order (per RFP 2.3.1.D). Do not present 800-53 as a default mapping — it’s an available capability, not the baseline framework.</w:t>
            </w:r>
          </w:p>
        </w:tc>
      </w:tr>
    </w:tbl>
    <w:p w14:paraId="376C7650" w14:textId="77777777" w:rsidR="00111354" w:rsidRDefault="00111354">
      <w:pPr>
        <w:spacing w:after="100"/>
      </w:pPr>
    </w:p>
    <w:p w14:paraId="376C7651" w14:textId="77777777" w:rsidR="00111354" w:rsidRDefault="00000000">
      <w:r>
        <w:t>Briefly explain the CMMI-based 0–5 scale and how results are benchmarkable and comparable across agencies.</w:t>
      </w:r>
    </w:p>
    <w:p w14:paraId="376C7652" w14:textId="77777777" w:rsidR="00111354" w:rsidRDefault="00000000">
      <w:pPr>
        <w:pStyle w:val="ListParagraph"/>
        <w:numPr>
          <w:ilvl w:val="0"/>
          <w:numId w:val="47"/>
        </w:numPr>
      </w:pPr>
      <w:r>
        <w:rPr>
          <w:b/>
          <w:bCs/>
        </w:rPr>
        <w:t xml:space="preserve">Proposal Reference: </w:t>
      </w:r>
      <w:r>
        <w:t>Consolidate phase of ANCHOR (F.2.1), referencing RFP 2.3.1.D</w:t>
      </w:r>
    </w:p>
    <w:p w14:paraId="376C7653" w14:textId="77777777" w:rsidR="00111354" w:rsidRDefault="00000000">
      <w:pPr>
        <w:pStyle w:val="ListParagraph"/>
        <w:numPr>
          <w:ilvl w:val="0"/>
          <w:numId w:val="47"/>
        </w:numPr>
      </w:pPr>
      <w:r>
        <w:rPr>
          <w:b/>
          <w:bCs/>
        </w:rPr>
        <w:t xml:space="preserve">Scale: </w:t>
      </w:r>
      <w:r>
        <w:t>CMMI-based Levels 0–5, applied using standardized criteria with documented rationale.</w:t>
      </w:r>
    </w:p>
    <w:p w14:paraId="376C7654" w14:textId="77777777" w:rsidR="00111354" w:rsidRDefault="00000000">
      <w:pPr>
        <w:pStyle w:val="ListParagraph"/>
        <w:numPr>
          <w:ilvl w:val="0"/>
          <w:numId w:val="47"/>
        </w:numPr>
      </w:pPr>
      <w:r>
        <w:rPr>
          <w:b/>
          <w:bCs/>
        </w:rPr>
        <w:t xml:space="preserve">Framework Alignment: </w:t>
      </w:r>
      <w:r>
        <w:t>Primary: NIST CSF 2.0. Secondary (when directed): NIST SP 800-53, SP 800-171.</w:t>
      </w:r>
    </w:p>
    <w:p w14:paraId="376C7655" w14:textId="77777777" w:rsidR="00111354" w:rsidRDefault="00000000">
      <w:pPr>
        <w:pStyle w:val="ListParagraph"/>
        <w:numPr>
          <w:ilvl w:val="0"/>
          <w:numId w:val="47"/>
        </w:numPr>
        <w:shd w:val="clear" w:color="auto" w:fill="E8F5E9"/>
      </w:pPr>
      <w:r>
        <w:rPr>
          <w:b/>
          <w:bCs/>
          <w:color w:val="2E7D32"/>
        </w:rPr>
        <w:t xml:space="preserve">UPDATED — Framework Crosswalk: </w:t>
      </w:r>
      <w:r>
        <w:rPr>
          <w:color w:val="2E7D32"/>
        </w:rPr>
        <w:t xml:space="preserve">Our tool uses NIST CSF as the baseline for every assessment. When additional frameworks (e.g., SP 800-53, SP 800-171) are required by a Work Order, they are added to that agency’s </w:t>
      </w:r>
      <w:proofErr w:type="gramStart"/>
      <w:r>
        <w:rPr>
          <w:color w:val="2E7D32"/>
        </w:rPr>
        <w:t>assessment</w:t>
      </w:r>
      <w:proofErr w:type="gramEnd"/>
      <w:r>
        <w:rPr>
          <w:color w:val="2E7D32"/>
        </w:rPr>
        <w:t xml:space="preserve"> and all findings are </w:t>
      </w:r>
      <w:proofErr w:type="spellStart"/>
      <w:r>
        <w:rPr>
          <w:color w:val="2E7D32"/>
        </w:rPr>
        <w:t>crosswalked</w:t>
      </w:r>
      <w:proofErr w:type="spellEnd"/>
      <w:r>
        <w:rPr>
          <w:color w:val="2E7D32"/>
        </w:rPr>
        <w:t xml:space="preserve"> back to NIST CSF. This means even if Agency A is assessed against </w:t>
      </w:r>
      <w:r>
        <w:rPr>
          <w:color w:val="2E7D32"/>
        </w:rPr>
        <w:lastRenderedPageBreak/>
        <w:t>CSF only and Agency B gets CSF plus 800-53, OSM can still compare results at the CSF level. Enterprise-wide comparability is preserved regardless of which overlays a specific Work Order requires.</w:t>
      </w:r>
    </w:p>
    <w:p w14:paraId="376C7656" w14:textId="77777777" w:rsidR="00111354" w:rsidRDefault="00000000">
      <w:pPr>
        <w:pStyle w:val="ListParagraph"/>
        <w:numPr>
          <w:ilvl w:val="0"/>
          <w:numId w:val="47"/>
        </w:numPr>
      </w:pPr>
      <w:r>
        <w:rPr>
          <w:b/>
          <w:bCs/>
        </w:rPr>
        <w:t xml:space="preserve">Why It Matters: </w:t>
      </w:r>
      <w:r>
        <w:t xml:space="preserve">Standardized scoring with framework </w:t>
      </w:r>
      <w:proofErr w:type="spellStart"/>
      <w:r>
        <w:t>crosswalking</w:t>
      </w:r>
      <w:proofErr w:type="spellEnd"/>
      <w:r>
        <w:t xml:space="preserve"> allows OSM to compare results across agencies, track maturity over time, and make informed enterprise risk decisions with confidence — even when agencies have different compliance requirements (F.3, Consistency at Scale).</w:t>
      </w:r>
    </w:p>
    <w:p w14:paraId="376C7657" w14:textId="77777777" w:rsidR="00111354" w:rsidRDefault="00000000">
      <w:r>
        <w:br w:type="page"/>
      </w:r>
    </w:p>
    <w:p w14:paraId="376C7658" w14:textId="77777777" w:rsidR="00111354" w:rsidRDefault="00000000">
      <w:pPr>
        <w:pStyle w:val="Heading1"/>
      </w:pPr>
      <w:r>
        <w:lastRenderedPageBreak/>
        <w:t>GOALS</w:t>
      </w:r>
    </w:p>
    <w:p w14:paraId="376C7659" w14:textId="77777777" w:rsidR="00111354" w:rsidRDefault="00000000">
      <w:pPr>
        <w:pStyle w:val="ListParagraph"/>
        <w:numPr>
          <w:ilvl w:val="0"/>
          <w:numId w:val="47"/>
        </w:numPr>
      </w:pPr>
      <w:r>
        <w:rPr>
          <w:b/>
          <w:bCs/>
        </w:rPr>
        <w:t xml:space="preserve">Establish ANCHOR as the backbone. </w:t>
      </w:r>
      <w:r>
        <w:t>The panel should walk away knowing your methodology has a name, a structure, and a logical flow from start to finish.</w:t>
      </w:r>
    </w:p>
    <w:p w14:paraId="376C765A" w14:textId="77777777" w:rsidR="00111354" w:rsidRDefault="00000000">
      <w:pPr>
        <w:pStyle w:val="ListParagraph"/>
        <w:numPr>
          <w:ilvl w:val="0"/>
          <w:numId w:val="47"/>
        </w:numPr>
      </w:pPr>
      <w:r>
        <w:rPr>
          <w:b/>
          <w:bCs/>
        </w:rPr>
        <w:t xml:space="preserve">Show you’ve solved the scale problem. </w:t>
      </w:r>
      <w:r>
        <w:t>POD-based parallel execution across ~90 agencies — not just “we’ll figure it out,” but a concrete operational model with scope-based POD sizing.</w:t>
      </w:r>
    </w:p>
    <w:p w14:paraId="376C765B" w14:textId="77777777" w:rsidR="00111354" w:rsidRDefault="00000000">
      <w:pPr>
        <w:pStyle w:val="ListParagraph"/>
        <w:numPr>
          <w:ilvl w:val="0"/>
          <w:numId w:val="47"/>
        </w:numPr>
      </w:pPr>
      <w:r>
        <w:rPr>
          <w:b/>
          <w:bCs/>
        </w:rPr>
        <w:t xml:space="preserve">Prove consistency isn’t optional. </w:t>
      </w:r>
      <w:r>
        <w:t>ESG standardizes scoring, FRTA catches errors before delivery — the State gets uniform results no matter which team runs the assessment.</w:t>
      </w:r>
    </w:p>
    <w:p w14:paraId="376C765C" w14:textId="77777777" w:rsidR="00111354" w:rsidRDefault="00000000">
      <w:pPr>
        <w:pStyle w:val="ListParagraph"/>
        <w:numPr>
          <w:ilvl w:val="0"/>
          <w:numId w:val="47"/>
        </w:numPr>
      </w:pPr>
      <w:r>
        <w:rPr>
          <w:b/>
          <w:bCs/>
        </w:rPr>
        <w:t xml:space="preserve">Set the vocabulary for the rest of the session. </w:t>
      </w:r>
      <w:r>
        <w:t>Every term you introduce here (ANCHOR, PODs, ESG, FRTA) becomes shorthand you can reference in Q2–Q11 without re-explaining.</w:t>
      </w:r>
    </w:p>
    <w:p w14:paraId="376C765D" w14:textId="77777777" w:rsidR="00111354" w:rsidRDefault="00000000">
      <w:pPr>
        <w:pStyle w:val="ListParagraph"/>
        <w:numPr>
          <w:ilvl w:val="0"/>
          <w:numId w:val="47"/>
        </w:numPr>
      </w:pPr>
      <w:r>
        <w:rPr>
          <w:b/>
          <w:bCs/>
        </w:rPr>
        <w:t xml:space="preserve">Keep it at altitude. </w:t>
      </w:r>
      <w:r>
        <w:t>Resist the urge to go deep — this is the overview that makes every later answer land harder.</w:t>
      </w:r>
    </w:p>
    <w:p w14:paraId="376C765E" w14:textId="77777777" w:rsidR="00111354" w:rsidRDefault="00000000">
      <w:r>
        <w:br w:type="page"/>
      </w:r>
    </w:p>
    <w:p w14:paraId="376C765F" w14:textId="77777777" w:rsidR="00111354" w:rsidRDefault="00000000">
      <w:pPr>
        <w:pStyle w:val="Heading1"/>
      </w:pPr>
      <w:r>
        <w:lastRenderedPageBreak/>
        <w:t>POTENTIAL FOLLOW-UP QUESTIONS</w:t>
      </w:r>
    </w:p>
    <w:p w14:paraId="376C7660" w14:textId="77777777" w:rsidR="00111354" w:rsidRDefault="00000000">
      <w:pPr>
        <w:pStyle w:val="Heading2"/>
      </w:pPr>
      <w:r>
        <w:t>On Work Order Intake &amp; Scheduling</w:t>
      </w:r>
    </w:p>
    <w:p w14:paraId="376C7661" w14:textId="77777777" w:rsidR="00111354" w:rsidRDefault="00000000">
      <w:pPr>
        <w:pStyle w:val="ListParagraph"/>
        <w:numPr>
          <w:ilvl w:val="0"/>
          <w:numId w:val="47"/>
        </w:numPr>
      </w:pPr>
      <w:r>
        <w:t>“</w:t>
      </w:r>
      <w:proofErr w:type="spellStart"/>
      <w:r>
        <w:t>DoIT</w:t>
      </w:r>
      <w:proofErr w:type="spellEnd"/>
      <w:r>
        <w:t xml:space="preserve"> will issue Work Orders as agencies become ready. Walk me through what happens on your end when a new Work Order lands — how quickly can you mobilize a team?”</w:t>
      </w:r>
    </w:p>
    <w:p w14:paraId="376C7662" w14:textId="77777777" w:rsidR="00111354" w:rsidRDefault="00000000">
      <w:pPr>
        <w:pStyle w:val="ListParagraph"/>
        <w:numPr>
          <w:ilvl w:val="0"/>
          <w:numId w:val="47"/>
        </w:numPr>
      </w:pPr>
      <w:r>
        <w:t>“What if three Work Orders come in the same week and you already have six assessments in flight?”</w:t>
      </w:r>
    </w:p>
    <w:p w14:paraId="376C7663" w14:textId="77777777" w:rsidR="00111354" w:rsidRDefault="00000000">
      <w:pPr>
        <w:pStyle w:val="ListParagraph"/>
        <w:numPr>
          <w:ilvl w:val="0"/>
          <w:numId w:val="47"/>
        </w:numPr>
      </w:pPr>
      <w:r>
        <w:t>“An agency gets delayed mid-assessment and goes dark for two weeks. What do you do with that POD?”</w:t>
      </w:r>
    </w:p>
    <w:p w14:paraId="376C7664" w14:textId="77777777" w:rsidR="00111354" w:rsidRDefault="00111354">
      <w:pPr>
        <w:spacing w:after="100"/>
      </w:pPr>
    </w:p>
    <w:p w14:paraId="376C7665" w14:textId="77777777" w:rsidR="00111354" w:rsidRDefault="00000000">
      <w:pPr>
        <w:pStyle w:val="Heading2"/>
      </w:pPr>
      <w:r>
        <w:t>On Consistency</w:t>
      </w:r>
    </w:p>
    <w:p w14:paraId="376C7666" w14:textId="77777777" w:rsidR="00111354" w:rsidRDefault="00000000">
      <w:pPr>
        <w:pStyle w:val="ListParagraph"/>
        <w:numPr>
          <w:ilvl w:val="0"/>
          <w:numId w:val="47"/>
        </w:numPr>
      </w:pPr>
      <w:r>
        <w:t>“If I compared a completed assessment from your first month to one from month eighteen, what in your process guarantees I’d see the same quality and rigor?”</w:t>
      </w:r>
    </w:p>
    <w:p w14:paraId="376C7667" w14:textId="77777777" w:rsidR="00111354" w:rsidRDefault="00000000">
      <w:pPr>
        <w:pStyle w:val="ListParagraph"/>
        <w:numPr>
          <w:ilvl w:val="0"/>
          <w:numId w:val="47"/>
        </w:numPr>
      </w:pPr>
      <w:r>
        <w:t>“Two of your assessors disagree on whether an agency is a Level 2 or Level 3 on a particular control. How does that get resolved?”</w:t>
      </w:r>
    </w:p>
    <w:p w14:paraId="376C7668" w14:textId="77777777" w:rsidR="00111354" w:rsidRDefault="00000000">
      <w:pPr>
        <w:pStyle w:val="ListParagraph"/>
        <w:numPr>
          <w:ilvl w:val="0"/>
          <w:numId w:val="47"/>
        </w:numPr>
      </w:pPr>
      <w:r>
        <w:t>“You said you developed the entire assessment framework yourselves. How do I know your scoring isn’t subjective?”</w:t>
      </w:r>
    </w:p>
    <w:p w14:paraId="376C7669" w14:textId="77777777" w:rsidR="00111354" w:rsidRDefault="00111354">
      <w:pPr>
        <w:spacing w:after="100"/>
      </w:pPr>
    </w:p>
    <w:p w14:paraId="376C766A" w14:textId="77777777" w:rsidR="00111354" w:rsidRDefault="00000000">
      <w:pPr>
        <w:pStyle w:val="Heading2"/>
      </w:pPr>
      <w:r>
        <w:t>On Your Team and Operations</w:t>
      </w:r>
    </w:p>
    <w:p w14:paraId="376C766B" w14:textId="77777777" w:rsidR="00111354" w:rsidRDefault="00000000">
      <w:pPr>
        <w:pStyle w:val="ListParagraph"/>
        <w:numPr>
          <w:ilvl w:val="0"/>
          <w:numId w:val="47"/>
        </w:numPr>
      </w:pPr>
      <w:r>
        <w:t>“How many PODs can you run at the same time, and what does each one look like — who’s on it?”</w:t>
      </w:r>
    </w:p>
    <w:p w14:paraId="376C766C" w14:textId="77777777" w:rsidR="00111354" w:rsidRDefault="00000000">
      <w:pPr>
        <w:pStyle w:val="ListParagraph"/>
        <w:numPr>
          <w:ilvl w:val="0"/>
          <w:numId w:val="47"/>
        </w:numPr>
      </w:pPr>
      <w:r>
        <w:t>“If someone on a POD leaves mid-contract, how do you backfill without disrupting an active assessment?”</w:t>
      </w:r>
    </w:p>
    <w:p w14:paraId="376C766D" w14:textId="77777777" w:rsidR="00111354" w:rsidRDefault="00111354">
      <w:pPr>
        <w:spacing w:after="100"/>
      </w:pPr>
    </w:p>
    <w:p w14:paraId="376C766E" w14:textId="77777777" w:rsidR="00111354" w:rsidRDefault="00000000">
      <w:pPr>
        <w:pStyle w:val="Heading2"/>
      </w:pPr>
      <w:r>
        <w:t>On Risk</w:t>
      </w:r>
    </w:p>
    <w:p w14:paraId="376C766F" w14:textId="77777777" w:rsidR="00111354" w:rsidRDefault="00000000">
      <w:pPr>
        <w:pStyle w:val="ListParagraph"/>
        <w:numPr>
          <w:ilvl w:val="0"/>
          <w:numId w:val="47"/>
        </w:numPr>
      </w:pPr>
      <w:r>
        <w:t>“What’s the single biggest thing that could go wrong in executing this program, and what’s your plan for it?”</w:t>
      </w:r>
    </w:p>
    <w:p w14:paraId="376C7670" w14:textId="77777777" w:rsidR="00111354" w:rsidRDefault="00000000">
      <w:pPr>
        <w:pStyle w:val="ListParagraph"/>
        <w:numPr>
          <w:ilvl w:val="0"/>
          <w:numId w:val="47"/>
        </w:numPr>
      </w:pPr>
      <w:r>
        <w:t xml:space="preserve">“You’ve described a lot of process. Have you </w:t>
      </w:r>
      <w:proofErr w:type="gramStart"/>
      <w:r>
        <w:t>actually done</w:t>
      </w:r>
      <w:proofErr w:type="gramEnd"/>
      <w:r>
        <w:t xml:space="preserve"> this at this scale before? Tell me what went sideways and what you learned.”</w:t>
      </w:r>
    </w:p>
    <w:p w14:paraId="376C7671" w14:textId="77777777" w:rsidR="00111354" w:rsidRDefault="00111354">
      <w:pPr>
        <w:spacing w:after="100"/>
      </w:pPr>
    </w:p>
    <w:p w14:paraId="376C7672" w14:textId="77777777" w:rsidR="00111354" w:rsidRDefault="00000000">
      <w:pPr>
        <w:pStyle w:val="Heading2"/>
      </w:pPr>
      <w:r>
        <w:t>The Curveball</w:t>
      </w:r>
    </w:p>
    <w:p w14:paraId="376C7673" w14:textId="77777777" w:rsidR="00111354" w:rsidRDefault="00000000">
      <w:pPr>
        <w:pStyle w:val="ListParagraph"/>
        <w:numPr>
          <w:ilvl w:val="0"/>
          <w:numId w:val="47"/>
        </w:numPr>
      </w:pPr>
      <w:r>
        <w:t>“If we needed to accelerate the program and compress your timeline by a third, what breaks and what holds?”</w:t>
      </w:r>
    </w:p>
    <w:p w14:paraId="376C7674" w14:textId="77777777" w:rsidR="00111354" w:rsidRDefault="00000000">
      <w:pPr>
        <w:pStyle w:val="ListParagraph"/>
        <w:numPr>
          <w:ilvl w:val="0"/>
          <w:numId w:val="47"/>
        </w:numPr>
        <w:shd w:val="clear" w:color="auto" w:fill="E8F5E9"/>
      </w:pPr>
      <w:r>
        <w:rPr>
          <w:b/>
          <w:bCs/>
          <w:color w:val="2E7D32"/>
        </w:rPr>
        <w:t xml:space="preserve">PREP NOTE: </w:t>
      </w:r>
      <w:r>
        <w:rPr>
          <w:color w:val="2E7D32"/>
        </w:rPr>
        <w:t>The proposal’s answer lives in surge capacity (“pre-vetted surge capacity” in G.1) and flexible POD staffing. The separation of execution and governance (F.3.4) is what HOLDS under compression — PODs can run more concurrently without the PMO becoming a bottleneck. Lead with that.</w:t>
      </w:r>
    </w:p>
    <w:p w14:paraId="376C7675" w14:textId="77777777" w:rsidR="00111354" w:rsidRDefault="00000000">
      <w:r>
        <w:br w:type="page"/>
      </w:r>
    </w:p>
    <w:p w14:paraId="376C7676" w14:textId="77777777" w:rsidR="00111354" w:rsidRDefault="00000000">
      <w:pPr>
        <w:pStyle w:val="Heading1"/>
      </w:pPr>
      <w:r>
        <w:lastRenderedPageBreak/>
        <w:t>CHANGE LOG</w:t>
      </w:r>
    </w:p>
    <w:p w14:paraId="376C7677" w14:textId="77777777" w:rsidR="00111354" w:rsidRDefault="00000000">
      <w:r>
        <w:rPr>
          <w:i/>
          <w:iCs/>
        </w:rPr>
        <w:t>Changes made in this version, verified against Assurit_Tech_Reduced.pdf:</w:t>
      </w:r>
    </w:p>
    <w:p w14:paraId="376C7678" w14:textId="77777777" w:rsidR="00111354" w:rsidRDefault="0011135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111354" w14:paraId="376C767C" w14:textId="77777777">
        <w:tc>
          <w:tcPr>
            <w:tcW w:w="6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376C7679" w14:textId="77777777" w:rsidR="00111354"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376C767A" w14:textId="77777777" w:rsidR="00111354" w:rsidRDefault="00000000">
            <w:r>
              <w:rPr>
                <w:b/>
                <w:bCs/>
                <w:color w:val="FFFFFF"/>
                <w:sz w:val="20"/>
                <w:szCs w:val="20"/>
              </w:rPr>
              <w:t>Item</w:t>
            </w:r>
          </w:p>
        </w:tc>
        <w:tc>
          <w:tcPr>
            <w:tcW w:w="59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376C767B" w14:textId="77777777" w:rsidR="00111354" w:rsidRDefault="00000000">
            <w:r>
              <w:rPr>
                <w:b/>
                <w:bCs/>
                <w:color w:val="FFFFFF"/>
                <w:sz w:val="20"/>
                <w:szCs w:val="20"/>
              </w:rPr>
              <w:t>Change Description</w:t>
            </w:r>
          </w:p>
        </w:tc>
      </w:tr>
      <w:tr w:rsidR="00111354" w14:paraId="376C768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7D" w14:textId="77777777" w:rsidR="00111354"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76C767E" w14:textId="77777777" w:rsidR="00111354" w:rsidRDefault="00000000">
            <w:r>
              <w:rPr>
                <w:b/>
                <w:bCs/>
                <w:color w:val="C62828"/>
                <w:sz w:val="20"/>
                <w:szCs w:val="20"/>
              </w:rPr>
              <w:t>Correction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7F" w14:textId="77777777" w:rsidR="00111354" w:rsidRDefault="00000000">
            <w:r>
              <w:rPr>
                <w:sz w:val="20"/>
                <w:szCs w:val="20"/>
              </w:rPr>
              <w:t xml:space="preserve">Reframed “how you prioritize which agencies go first” to “how </w:t>
            </w:r>
            <w:proofErr w:type="gramStart"/>
            <w:r>
              <w:rPr>
                <w:sz w:val="20"/>
                <w:szCs w:val="20"/>
              </w:rPr>
              <w:t>you</w:t>
            </w:r>
            <w:proofErr w:type="gramEnd"/>
            <w:r>
              <w:rPr>
                <w:sz w:val="20"/>
                <w:szCs w:val="20"/>
              </w:rPr>
              <w:t xml:space="preserve"> intake and mobilize when Work Orders arrive.” </w:t>
            </w:r>
            <w:proofErr w:type="spellStart"/>
            <w:r>
              <w:rPr>
                <w:sz w:val="20"/>
                <w:szCs w:val="20"/>
              </w:rPr>
              <w:t>DoIT</w:t>
            </w:r>
            <w:proofErr w:type="spellEnd"/>
            <w:r>
              <w:rPr>
                <w:sz w:val="20"/>
                <w:szCs w:val="20"/>
              </w:rPr>
              <w:t xml:space="preserve"> controls sequencing via Work Orders (F.4.2); Assurit manages capacity and mobilization, not agency selection.</w:t>
            </w:r>
          </w:p>
        </w:tc>
      </w:tr>
      <w:tr w:rsidR="00111354" w14:paraId="376C768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81" w14:textId="77777777" w:rsidR="00111354"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76C7682" w14:textId="77777777" w:rsidR="00111354" w:rsidRDefault="00000000">
            <w:r>
              <w:rPr>
                <w:b/>
                <w:bCs/>
                <w:color w:val="C62828"/>
                <w:sz w:val="20"/>
                <w:szCs w:val="20"/>
              </w:rPr>
              <w:t>Correction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83" w14:textId="77777777" w:rsidR="00111354" w:rsidRDefault="00000000">
            <w:r>
              <w:rPr>
                <w:sz w:val="20"/>
                <w:szCs w:val="20"/>
              </w:rPr>
              <w:t>Clarified maturity scoring framework alignment. Primary: NIST CSF 2.0. SP 800-53 and SP 800-171 are overlays incorporated when directed by a specific Work Order (RFP 2.3.1.D), not default mappings.</w:t>
            </w:r>
          </w:p>
        </w:tc>
      </w:tr>
      <w:tr w:rsidR="00111354" w14:paraId="376C768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85" w14:textId="77777777" w:rsidR="00111354"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6C7686" w14:textId="77777777" w:rsidR="00111354"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87" w14:textId="77777777" w:rsidR="00111354" w:rsidRDefault="00000000">
            <w:r>
              <w:rPr>
                <w:sz w:val="20"/>
                <w:szCs w:val="20"/>
              </w:rPr>
              <w:t>Added agency scope categories (Small, Medium, Large, Extra Large) from F.3.2 as a talking point under the scale/consistency section. Shows PODs are right-sized per agency, not one-size-fits-all.</w:t>
            </w:r>
          </w:p>
        </w:tc>
      </w:tr>
      <w:tr w:rsidR="00111354" w14:paraId="376C768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89" w14:textId="77777777" w:rsidR="00111354"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6C768A" w14:textId="77777777" w:rsidR="00111354"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8B" w14:textId="77777777" w:rsidR="00111354" w:rsidRDefault="00000000">
            <w:r>
              <w:rPr>
                <w:sz w:val="20"/>
                <w:szCs w:val="20"/>
              </w:rPr>
              <w:t>Added curveball prep note: surge capacity (G.1) and separation of execution/governance (F.3.4) as the answer framework for timeline compression questions.</w:t>
            </w:r>
          </w:p>
        </w:tc>
      </w:tr>
      <w:tr w:rsidR="00111354" w14:paraId="376C769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8D" w14:textId="77777777" w:rsidR="00111354"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6C768E" w14:textId="77777777" w:rsidR="00111354" w:rsidRDefault="00000000">
            <w:r>
              <w:rPr>
                <w:b/>
                <w:bCs/>
                <w:color w:val="2E7D32"/>
                <w:sz w:val="20"/>
                <w:szCs w:val="20"/>
              </w:rPr>
              <w:t>Update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8F" w14:textId="77777777" w:rsidR="00111354" w:rsidRDefault="00000000">
            <w:r>
              <w:rPr>
                <w:sz w:val="20"/>
                <w:szCs w:val="20"/>
              </w:rPr>
              <w:t xml:space="preserve">Reframed Communication section (#7) to lead with the live dashboard as the primary visibility tool. </w:t>
            </w:r>
            <w:proofErr w:type="spellStart"/>
            <w:r>
              <w:rPr>
                <w:sz w:val="20"/>
                <w:szCs w:val="20"/>
              </w:rPr>
              <w:t>DoIT</w:t>
            </w:r>
            <w:proofErr w:type="spellEnd"/>
            <w:r>
              <w:rPr>
                <w:sz w:val="20"/>
                <w:szCs w:val="20"/>
              </w:rPr>
              <w:t xml:space="preserve"> staff have direct access to schedule, task status, upcoming events, and results. Weekly meetings and bi-weekly reports are repositioned as structured discussion layers, not status delivery.</w:t>
            </w:r>
          </w:p>
        </w:tc>
      </w:tr>
      <w:tr w:rsidR="00111354" w14:paraId="376C769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91" w14:textId="77777777" w:rsidR="00111354"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6C7692" w14:textId="77777777" w:rsidR="00111354" w:rsidRDefault="00000000">
            <w:r>
              <w:rPr>
                <w:b/>
                <w:bCs/>
                <w:color w:val="2E7D32"/>
                <w:sz w:val="20"/>
                <w:szCs w:val="20"/>
              </w:rPr>
              <w:t>Update</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7693" w14:textId="77777777" w:rsidR="00111354" w:rsidRDefault="00000000">
            <w:r>
              <w:rPr>
                <w:sz w:val="20"/>
                <w:szCs w:val="20"/>
              </w:rPr>
              <w:t xml:space="preserve">Added framework crosswalk detail to Maturity Scoring (#8). Tool uses NIST CSF as baseline; additional frameworks are </w:t>
            </w:r>
            <w:proofErr w:type="spellStart"/>
            <w:r>
              <w:rPr>
                <w:sz w:val="20"/>
                <w:szCs w:val="20"/>
              </w:rPr>
              <w:t>crosswalked</w:t>
            </w:r>
            <w:proofErr w:type="spellEnd"/>
            <w:r>
              <w:rPr>
                <w:sz w:val="20"/>
                <w:szCs w:val="20"/>
              </w:rPr>
              <w:t xml:space="preserve"> back to CSF within each agency’s assessment, preserving enterprise-wide comparability regardless of overlay requirements.</w:t>
            </w:r>
          </w:p>
        </w:tc>
      </w:tr>
    </w:tbl>
    <w:p w14:paraId="376C7695" w14:textId="77777777" w:rsidR="005C5AFC" w:rsidRDefault="005C5AFC"/>
    <w:p w14:paraId="58853B98" w14:textId="77777777" w:rsidR="00000000" w:rsidRDefault="00000000">
      <w:pPr>
        <w:spacing w:after="60"/>
        <w:jc w:val="center"/>
      </w:pPr>
      <w:r>
        <w:rPr>
          <w:b/>
          <w:bCs/>
          <w:color w:val="1A1A1A"/>
          <w:sz w:val="44"/>
          <w:szCs w:val="44"/>
        </w:rPr>
        <w:t>ORAL PRESENTATION PREP</w:t>
      </w:r>
    </w:p>
    <w:p w14:paraId="58853B99" w14:textId="77777777" w:rsidR="00000000" w:rsidRDefault="00000000">
      <w:pPr>
        <w:spacing w:after="40"/>
        <w:jc w:val="center"/>
      </w:pPr>
      <w:r>
        <w:rPr>
          <w:color w:val="555555"/>
          <w:sz w:val="28"/>
          <w:szCs w:val="28"/>
        </w:rPr>
        <w:t>Section 2, Question 2: Assessment Methodology &amp; Frameworks</w:t>
      </w:r>
    </w:p>
    <w:p w14:paraId="58853B9A" w14:textId="77777777" w:rsidR="00000000" w:rsidRDefault="00000000">
      <w:pPr>
        <w:pBdr>
          <w:bottom w:val="single" w:sz="6" w:space="1" w:color="D4A017"/>
        </w:pBdr>
        <w:spacing w:after="300"/>
        <w:jc w:val="center"/>
      </w:pPr>
      <w:r>
        <w:rPr>
          <w:i/>
          <w:iCs/>
          <w:color w:val="666666"/>
          <w:sz w:val="18"/>
          <w:szCs w:val="18"/>
        </w:rPr>
        <w:t xml:space="preserve">Updated March 30, </w:t>
      </w:r>
      <w:proofErr w:type="gramStart"/>
      <w:r>
        <w:rPr>
          <w:i/>
          <w:iCs/>
          <w:color w:val="666666"/>
          <w:sz w:val="18"/>
          <w:szCs w:val="18"/>
        </w:rPr>
        <w:t>2026  |</w:t>
      </w:r>
      <w:proofErr w:type="gramEnd"/>
      <w:r>
        <w:rPr>
          <w:i/>
          <w:iCs/>
          <w:color w:val="666666"/>
          <w:sz w:val="18"/>
          <w:szCs w:val="18"/>
        </w:rPr>
        <w:t xml:space="preserve">  Verified Against Proposal</w:t>
      </w:r>
    </w:p>
    <w:p w14:paraId="58853B9B" w14:textId="77777777" w:rsidR="00000000" w:rsidRDefault="00000000">
      <w:pPr>
        <w:pStyle w:val="Heading1"/>
      </w:pPr>
      <w:r>
        <w:t>THE ASK</w:t>
      </w:r>
    </w:p>
    <w:p w14:paraId="58853B9C" w14:textId="77777777" w:rsidR="00000000" w:rsidRDefault="00000000">
      <w:r>
        <w:rPr>
          <w:b/>
          <w:bCs/>
        </w:rPr>
        <w:t xml:space="preserve">What they’re really asking: </w:t>
      </w:r>
      <w:r>
        <w:t>This is the “show me the engine” question. Q1 was the overview — now they want to see how your methodology works under the hood. Three distinct things are packed in:</w:t>
      </w:r>
    </w:p>
    <w:p w14:paraId="58853B9D" w14:textId="77777777" w:rsidR="00000000" w:rsidRDefault="00000000">
      <w:pPr>
        <w:pStyle w:val="ListParagraph"/>
        <w:numPr>
          <w:ilvl w:val="0"/>
          <w:numId w:val="2"/>
        </w:numPr>
      </w:pPr>
      <w:r>
        <w:rPr>
          <w:b/>
          <w:bCs/>
        </w:rPr>
        <w:t xml:space="preserve">1. </w:t>
      </w:r>
      <w:r>
        <w:t>What frameworks and standards are you using, and how do they fit together?</w:t>
      </w:r>
    </w:p>
    <w:p w14:paraId="58853B9E" w14:textId="77777777" w:rsidR="00000000" w:rsidRDefault="00000000">
      <w:pPr>
        <w:pStyle w:val="ListParagraph"/>
        <w:numPr>
          <w:ilvl w:val="0"/>
          <w:numId w:val="2"/>
        </w:numPr>
      </w:pPr>
      <w:r>
        <w:rPr>
          <w:b/>
          <w:bCs/>
        </w:rPr>
        <w:t xml:space="preserve">2. </w:t>
      </w:r>
      <w:r>
        <w:t>How do you prevent scoring from being subjective across different assessors and agencies?</w:t>
      </w:r>
    </w:p>
    <w:p w14:paraId="58853B9F" w14:textId="77777777" w:rsidR="00000000" w:rsidRDefault="00000000">
      <w:pPr>
        <w:pStyle w:val="ListParagraph"/>
        <w:numPr>
          <w:ilvl w:val="0"/>
          <w:numId w:val="2"/>
        </w:numPr>
      </w:pPr>
      <w:r>
        <w:rPr>
          <w:b/>
          <w:bCs/>
        </w:rPr>
        <w:t xml:space="preserve">3. </w:t>
      </w:r>
      <w:r>
        <w:t>What do you do when you find something that doesn’t map neatly to a NIST CSF control?</w:t>
      </w:r>
    </w:p>
    <w:p w14:paraId="58853BA0" w14:textId="77777777" w:rsidR="00000000" w:rsidRDefault="00000000">
      <w:pPr>
        <w:spacing w:after="100"/>
      </w:pPr>
    </w:p>
    <w:p w14:paraId="58853BA1" w14:textId="77777777" w:rsidR="00000000" w:rsidRDefault="00000000">
      <w:r>
        <w:t>That third piece is the trap. Most vendors will nail the first two and gloss over the third. The panel deliberately included it because real-world assessments constantly surface risks that don’t fit into a checkbox. They want to know you don’t just shrug and move on.</w:t>
      </w:r>
    </w:p>
    <w:p w14:paraId="58853BA2" w14:textId="77777777" w:rsidR="00000000" w:rsidRDefault="00000000">
      <w:pPr>
        <w:spacing w:after="100"/>
      </w:pPr>
    </w:p>
    <w:p w14:paraId="58853BA3" w14:textId="77777777" w:rsidR="00000000" w:rsidRDefault="00000000">
      <w:pPr>
        <w:pStyle w:val="ListParagraph"/>
        <w:numPr>
          <w:ilvl w:val="0"/>
          <w:numId w:val="2"/>
        </w:numPr>
        <w:shd w:val="clear" w:color="auto" w:fill="E8F5E9"/>
      </w:pPr>
      <w:r>
        <w:rPr>
          <w:b/>
          <w:bCs/>
          <w:color w:val="2E7D32"/>
        </w:rPr>
        <w:t xml:space="preserve">NEW — Opening Framing: </w:t>
      </w:r>
      <w:r>
        <w:rPr>
          <w:color w:val="2E7D32"/>
        </w:rPr>
        <w:t>Open by anchoring the audience in the ANCHOR lifecycle: “Within ANCHOR, the methodology you’re asking about lives primarily in the Normalize and Consolidate phases — that’s where we apply the framework, collect evidence, and assign scores.” This connects Q2 to Q1 without re-explaining the full lifecycle.</w:t>
      </w:r>
    </w:p>
    <w:p w14:paraId="58853BA4" w14:textId="77777777" w:rsidR="00000000" w:rsidRDefault="00000000">
      <w:pPr>
        <w:spacing w:after="100"/>
      </w:pPr>
    </w:p>
    <w:p w14:paraId="58853BA5" w14:textId="77777777" w:rsidR="00000000" w:rsidRDefault="00000000">
      <w:pPr>
        <w:pStyle w:val="Heading2"/>
      </w:pPr>
      <w:r>
        <w:t>Must-Hit Items for Your Response</w:t>
      </w:r>
    </w:p>
    <w:p w14:paraId="58853BA6" w14:textId="77777777" w:rsidR="00000000" w:rsidRDefault="00000000">
      <w:pPr>
        <w:pStyle w:val="Heading3"/>
      </w:pPr>
      <w:r>
        <w:t>1. NIST CSF 2.0 as the Primary Framework</w:t>
      </w:r>
    </w:p>
    <w:p w14:paraId="58853BA7" w14:textId="77777777" w:rsidR="00000000" w:rsidRDefault="00000000">
      <w:r>
        <w:t>Confirmed by the State. Name all six Functions (Govern, Identify, Protect, Detect, Respond, Recover). Show you know it’s 2.0, not 1.1. Reference that Q&amp;A Q15 confirmed CSF 2.0 as the expected standard.</w:t>
      </w:r>
    </w:p>
    <w:p w14:paraId="58853BA8" w14:textId="77777777" w:rsidR="00000000" w:rsidRDefault="00000000">
      <w:pPr>
        <w:pStyle w:val="ListParagraph"/>
        <w:numPr>
          <w:ilvl w:val="0"/>
          <w:numId w:val="2"/>
        </w:numPr>
      </w:pPr>
      <w:r>
        <w:rPr>
          <w:b/>
          <w:bCs/>
        </w:rPr>
        <w:t xml:space="preserve">Proposal Reference: </w:t>
      </w:r>
      <w:r>
        <w:t>F.2.1 (Normalize phase — evidence mapped to NIST CSF 2.0), F.2 scope of work references throughout.</w:t>
      </w:r>
    </w:p>
    <w:p w14:paraId="58853BA9" w14:textId="77777777" w:rsidR="00000000" w:rsidRDefault="00000000">
      <w:pPr>
        <w:pStyle w:val="ListParagraph"/>
        <w:numPr>
          <w:ilvl w:val="0"/>
          <w:numId w:val="2"/>
        </w:numPr>
      </w:pPr>
      <w:r>
        <w:rPr>
          <w:b/>
          <w:bCs/>
        </w:rPr>
        <w:t xml:space="preserve">Framework Crosswalk: </w:t>
      </w:r>
      <w:r>
        <w:t xml:space="preserve">Our tool uses CSF as the baseline for every assessment. When additional frameworks are required by a Work Order, they are </w:t>
      </w:r>
      <w:proofErr w:type="spellStart"/>
      <w:r>
        <w:t>crosswalked</w:t>
      </w:r>
      <w:proofErr w:type="spellEnd"/>
      <w:r>
        <w:t xml:space="preserve"> back to CSF, preserving enterprise comparability.</w:t>
      </w:r>
    </w:p>
    <w:p w14:paraId="58853BAA" w14:textId="77777777" w:rsidR="00000000" w:rsidRDefault="00000000">
      <w:pPr>
        <w:pStyle w:val="ListParagraph"/>
        <w:numPr>
          <w:ilvl w:val="0"/>
          <w:numId w:val="2"/>
        </w:numPr>
      </w:pPr>
      <w:r>
        <w:rPr>
          <w:b/>
          <w:bCs/>
        </w:rPr>
        <w:t xml:space="preserve">Key Detail: </w:t>
      </w:r>
      <w:r>
        <w:t>NIST SP 800-53 and SP 800-171 are expandable capabilities, not defaults. Only applied when specified in a Work Order (per RFP 2.3.1.D and Q&amp;A). Position them as tools in the belt, not the standard approach.</w:t>
      </w:r>
    </w:p>
    <w:p w14:paraId="58853BAB" w14:textId="77777777" w:rsidR="00000000" w:rsidRDefault="00000000">
      <w:pPr>
        <w:spacing w:after="100"/>
      </w:pPr>
    </w:p>
    <w:p w14:paraId="58853BAC" w14:textId="77777777" w:rsidR="00000000" w:rsidRDefault="00000000">
      <w:pPr>
        <w:pStyle w:val="Heading3"/>
      </w:pPr>
      <w:r>
        <w:t>2. CMMI-Based Maturity Scoring (0–5 Scale)</w:t>
      </w:r>
    </w:p>
    <w:p w14:paraId="58853BAD" w14:textId="77777777" w:rsidR="00000000" w:rsidRDefault="00000000">
      <w:r>
        <w:t>The State confirmed in Q152 that Assurit owns this mapping. Walk them through what a Level 2 looks like versus a Level 4 in practical terms — not just definitions, but how an assessor decides.</w:t>
      </w:r>
    </w:p>
    <w:p w14:paraId="58853BAE" w14:textId="77777777" w:rsidR="00000000" w:rsidRDefault="00000000">
      <w:pPr>
        <w:pStyle w:val="ListParagraph"/>
        <w:numPr>
          <w:ilvl w:val="0"/>
          <w:numId w:val="2"/>
        </w:numPr>
      </w:pPr>
      <w:r>
        <w:rPr>
          <w:b/>
          <w:bCs/>
        </w:rPr>
        <w:t xml:space="preserve">Proposal Reference: </w:t>
      </w:r>
      <w:r>
        <w:t>Consolidate phase (F.2.1) — “Assign maturity ratings using standardized CMMI-based criteria (Levels 0–5)” per RFP 2.3.1.D.</w:t>
      </w:r>
    </w:p>
    <w:p w14:paraId="58853BAF" w14:textId="77777777" w:rsidR="00000000" w:rsidRDefault="00000000">
      <w:pPr>
        <w:pStyle w:val="ListParagraph"/>
        <w:numPr>
          <w:ilvl w:val="0"/>
          <w:numId w:val="2"/>
        </w:numPr>
      </w:pPr>
      <w:r>
        <w:rPr>
          <w:b/>
          <w:bCs/>
        </w:rPr>
        <w:t xml:space="preserve">Evidence-Based, Not Self-Reported: </w:t>
      </w:r>
      <w:r>
        <w:t>Maturity ratings are grounded in documentation, interviews, and artifact review — not agency self-assessment. Explain the evidence hierarchy: policy exists → policy is implemented → implementation is validated → implementation is measured and improved.</w:t>
      </w:r>
    </w:p>
    <w:p w14:paraId="58853BB0" w14:textId="77777777" w:rsidR="00000000" w:rsidRDefault="00000000">
      <w:pPr>
        <w:pStyle w:val="ListParagraph"/>
        <w:numPr>
          <w:ilvl w:val="0"/>
          <w:numId w:val="2"/>
        </w:numPr>
      </w:pPr>
      <w:r>
        <w:rPr>
          <w:b/>
          <w:bCs/>
        </w:rPr>
        <w:t xml:space="preserve">What to say: </w:t>
      </w:r>
      <w:r>
        <w:t>“A Level 2 means we found a policy and some evidence of implementation, but it’s inconsistent. A Level 4 means we validated the control is implemented, measured, and actively managed. The difference is in the evidence, not the agency’s description of themselves.”</w:t>
      </w:r>
    </w:p>
    <w:p w14:paraId="58853BB1" w14:textId="77777777" w:rsidR="00000000" w:rsidRDefault="00000000">
      <w:pPr>
        <w:spacing w:after="100"/>
      </w:pPr>
    </w:p>
    <w:p w14:paraId="58853BB2" w14:textId="77777777" w:rsidR="00000000" w:rsidRDefault="00000000">
      <w:pPr>
        <w:pStyle w:val="Heading3"/>
      </w:pPr>
      <w:r>
        <w:t>3. The ESG as Your Consistency Mechanism</w:t>
      </w:r>
    </w:p>
    <w:p w14:paraId="58853BB3" w14:textId="77777777" w:rsidR="00000000" w:rsidRDefault="00000000">
      <w:r>
        <w:t>This is the answer to “how do you keep scoring objective.” Explain what it contains, how assessors are calibrated against it, and how it prevents two different people from giving two different scores to the same evidence.</w:t>
      </w:r>
    </w:p>
    <w:p w14:paraId="58853BB4" w14:textId="77777777" w:rsidR="00000000" w:rsidRDefault="00000000">
      <w:pPr>
        <w:pStyle w:val="ListParagraph"/>
        <w:numPr>
          <w:ilvl w:val="0"/>
          <w:numId w:val="2"/>
        </w:numPr>
      </w:pPr>
      <w:r>
        <w:rPr>
          <w:b/>
          <w:bCs/>
        </w:rPr>
        <w:t xml:space="preserve">Proposal Reference: </w:t>
      </w:r>
      <w:r>
        <w:t>F.5.2 — Standardized Scoring and Evidence Controls.</w:t>
      </w:r>
    </w:p>
    <w:p w14:paraId="58853BB5" w14:textId="77777777" w:rsidR="00000000" w:rsidRDefault="00000000">
      <w:pPr>
        <w:pStyle w:val="ListParagraph"/>
        <w:numPr>
          <w:ilvl w:val="0"/>
          <w:numId w:val="2"/>
        </w:numPr>
      </w:pPr>
      <w:r>
        <w:rPr>
          <w:b/>
          <w:bCs/>
        </w:rPr>
        <w:lastRenderedPageBreak/>
        <w:t xml:space="preserve">What ESG Defines: </w:t>
      </w:r>
      <w:r>
        <w:t>What constitutes sufficient evidence for each maturity level; how partial or compensating implementations are evaluated; how scoring rationale is documented for audit traceability.</w:t>
      </w:r>
    </w:p>
    <w:p w14:paraId="58853BB6" w14:textId="77777777" w:rsidR="00000000" w:rsidRDefault="00000000">
      <w:pPr>
        <w:pStyle w:val="ListParagraph"/>
        <w:numPr>
          <w:ilvl w:val="0"/>
          <w:numId w:val="2"/>
        </w:numPr>
      </w:pPr>
      <w:r>
        <w:rPr>
          <w:b/>
          <w:bCs/>
        </w:rPr>
        <w:t xml:space="preserve">Calibration: </w:t>
      </w:r>
      <w:r>
        <w:t>Assessors are required to reference ESG criteria when assigning maturity ratings and to link every finding directly to validated evidence. Cross-team calibration checks maintain inter-assessor reliability (F.5.2, Consolidate phase).</w:t>
      </w:r>
    </w:p>
    <w:p w14:paraId="58853BB7" w14:textId="77777777" w:rsidR="00000000" w:rsidRDefault="00000000">
      <w:pPr>
        <w:pStyle w:val="ListParagraph"/>
        <w:numPr>
          <w:ilvl w:val="0"/>
          <w:numId w:val="2"/>
        </w:numPr>
      </w:pPr>
      <w:r>
        <w:rPr>
          <w:b/>
          <w:bCs/>
        </w:rPr>
        <w:t xml:space="preserve">CISA FISMA Reference: </w:t>
      </w:r>
      <w:r>
        <w:t>The State pointed vendors to the CISA FY2025 IG FISMA Metrics Evaluation Guide (Q222) as an alignment reference. Be prepared to articulate how the ESG aligns with or parallels this guide’s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2" w14:paraId="58853BB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58853BB8" w14:textId="77777777" w:rsidR="00000000" w:rsidRDefault="00000000">
            <w:r>
              <w:rPr>
                <w:b/>
                <w:bCs/>
              </w:rPr>
              <w:t>⚠️ PREP NOTE — CISA FISMA Alignment</w:t>
            </w:r>
          </w:p>
          <w:p w14:paraId="58853BB9" w14:textId="77777777" w:rsidR="00000000" w:rsidRDefault="00000000">
            <w:pPr>
              <w:spacing w:before="80"/>
            </w:pPr>
            <w:r>
              <w:rPr>
                <w:sz w:val="20"/>
                <w:szCs w:val="20"/>
              </w:rPr>
              <w:t>The proposal does not mention CISA FISMA by name. This is Q&amp;A knowledge layered on top. Whoever presents must be able to articulate the specific relationship: Does the ESG incorporate CISA FISMA’s structure? Is it modeled after it? Or is it a parallel tool achieving similar objectives? Nail this down before the presentation.</w:t>
            </w:r>
          </w:p>
        </w:tc>
      </w:tr>
    </w:tbl>
    <w:p w14:paraId="58853BBB" w14:textId="77777777" w:rsidR="00000000" w:rsidRDefault="00000000">
      <w:pPr>
        <w:spacing w:after="100"/>
      </w:pPr>
    </w:p>
    <w:p w14:paraId="58853BBC" w14:textId="77777777" w:rsidR="00000000" w:rsidRDefault="00000000">
      <w:pPr>
        <w:pStyle w:val="Heading3"/>
      </w:pPr>
      <w:r>
        <w:t>4. Risks Outside Standard Control Mappings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2" w14:paraId="58853BB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200" w:type="dxa"/>
              <w:bottom w:w="120" w:type="dxa"/>
              <w:right w:w="200" w:type="dxa"/>
            </w:tcMar>
          </w:tcPr>
          <w:p w14:paraId="58853BBD" w14:textId="77777777" w:rsidR="00000000" w:rsidRDefault="00000000">
            <w:r>
              <w:rPr>
                <w:b/>
                <w:bCs/>
              </w:rPr>
              <w:t>⚠️ KEY GAP — Ground This in the Proposal</w:t>
            </w:r>
          </w:p>
          <w:p w14:paraId="58853BBE" w14:textId="77777777" w:rsidR="00000000" w:rsidRDefault="00000000">
            <w:pPr>
              <w:spacing w:before="80"/>
            </w:pPr>
            <w:r>
              <w:rPr>
                <w:sz w:val="20"/>
                <w:szCs w:val="20"/>
              </w:rPr>
              <w:t>The proposal does not explicitly name a “supplemental risk register” or “out-of-scope findings” category. Do not invent a mechanism that doesn’t exist. Instead, ground this answer in three things the proposal DOES describe: (1) the Risk Assessment Consultant role, (2) the Optimize phase, and (3) the Report phase’s prioritized recommendations. Whatever you say becomes part of the record, so it must be deliverable.</w:t>
            </w:r>
          </w:p>
        </w:tc>
      </w:tr>
    </w:tbl>
    <w:p w14:paraId="58853BC0" w14:textId="77777777" w:rsidR="00000000" w:rsidRDefault="00000000">
      <w:pPr>
        <w:spacing w:after="100"/>
      </w:pPr>
    </w:p>
    <w:p w14:paraId="58853BC1" w14:textId="77777777" w:rsidR="00000000" w:rsidRDefault="00000000">
      <w:r>
        <w:rPr>
          <w:b/>
          <w:bCs/>
        </w:rPr>
        <w:t xml:space="preserve">How to frame it: </w:t>
      </w:r>
      <w:r>
        <w:t>Risks that fall outside standard CSF control mappings — operational gaps, shadow IT, legacy system issues, vendor dependencies, organizational weaknesses — are identified through the assessment process and captured through three mechanisms:</w:t>
      </w:r>
    </w:p>
    <w:p w14:paraId="58853BC2" w14:textId="77777777" w:rsidR="00000000" w:rsidRDefault="00000000">
      <w:pPr>
        <w:pStyle w:val="ListParagraph"/>
        <w:numPr>
          <w:ilvl w:val="0"/>
          <w:numId w:val="2"/>
        </w:numPr>
      </w:pPr>
      <w:r>
        <w:rPr>
          <w:b/>
          <w:bCs/>
        </w:rPr>
        <w:t xml:space="preserve">Risk Assessment Consultant (G.3.2): </w:t>
      </w:r>
      <w:r>
        <w:t>This role exists on every POD specifically to identify and analyze cybersecurity risks across assessed environments, assess operational impact and likelihood, and translate technical findings into risk-based insights. This person is looking beyond the checklist.</w:t>
      </w:r>
    </w:p>
    <w:p w14:paraId="58853BC3" w14:textId="77777777" w:rsidR="00000000" w:rsidRDefault="00000000">
      <w:pPr>
        <w:pStyle w:val="ListParagraph"/>
        <w:numPr>
          <w:ilvl w:val="0"/>
          <w:numId w:val="2"/>
        </w:numPr>
      </w:pPr>
      <w:r>
        <w:rPr>
          <w:b/>
          <w:bCs/>
        </w:rPr>
        <w:t xml:space="preserve">Optimize Phase (F.2.1): </w:t>
      </w:r>
      <w:r>
        <w:t>Identifies recurring control weaknesses across agencies, analyzes trends by agency size, complexity tier, and NIST CSF function, and feeds findings back into statewide remediation priorities and investment planning (RFP 2.3.1.L). Out-of-framework risks surface here as patterns.</w:t>
      </w:r>
    </w:p>
    <w:p w14:paraId="58853BC4" w14:textId="77777777" w:rsidR="00000000" w:rsidRDefault="00000000">
      <w:pPr>
        <w:pStyle w:val="ListParagraph"/>
        <w:numPr>
          <w:ilvl w:val="0"/>
          <w:numId w:val="2"/>
        </w:numPr>
      </w:pPr>
      <w:r>
        <w:rPr>
          <w:b/>
          <w:bCs/>
        </w:rPr>
        <w:t xml:space="preserve">Report Phase — Prioritized Recommendations: </w:t>
      </w:r>
      <w:r>
        <w:t>Closeout briefings (RFP 2.3.1.C–D) present maturity results AND prioritized recommendations. Risks that don’t map to a CSF subcategory appear here as contextual findings — flagged for the agency and OSM, with risk context, even if they don’t affect the maturity score directly.</w:t>
      </w:r>
    </w:p>
    <w:p w14:paraId="58853BC5" w14:textId="77777777" w:rsidR="00000000" w:rsidRDefault="00000000">
      <w:pPr>
        <w:pStyle w:val="ListParagraph"/>
        <w:numPr>
          <w:ilvl w:val="0"/>
          <w:numId w:val="2"/>
        </w:numPr>
      </w:pPr>
      <w:r>
        <w:rPr>
          <w:b/>
          <w:bCs/>
        </w:rPr>
        <w:t xml:space="preserve">What to say: </w:t>
      </w:r>
      <w:r>
        <w:t>“We don’t ignore what doesn’t fit the framework. Our Risk Assessment Consultant is specifically looking for risks beyond the control set — shadow IT, vendor exposure, organizational gaps. Those findings surface in our closeout briefings as prioritized recommendations and feed into the Optimize phase’s enterprise trend analysis. They may not change a maturity score, but they’re visible to the agency and to OSM.”</w:t>
      </w:r>
    </w:p>
    <w:p w14:paraId="58853BC6" w14:textId="77777777" w:rsidR="00000000" w:rsidRDefault="00000000">
      <w:pPr>
        <w:spacing w:after="100"/>
      </w:pPr>
    </w:p>
    <w:p w14:paraId="58853BC7" w14:textId="77777777" w:rsidR="00000000" w:rsidRDefault="00000000">
      <w:pPr>
        <w:pStyle w:val="Heading3"/>
      </w:pPr>
      <w:r>
        <w:t>5. Granularity Flexibility (Function / Category / Subcategory)</w:t>
      </w:r>
    </w:p>
    <w:p w14:paraId="58853BC8" w14:textId="77777777" w:rsidR="00000000" w:rsidRDefault="00000000">
      <w:r>
        <w:lastRenderedPageBreak/>
        <w:t>Q18 confirmed the scoring granularity is TBD post-award. Show that your methodology can operate at any level without redesigning the whole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2" w14:paraId="58853BC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58853BC9" w14:textId="77777777" w:rsidR="00000000" w:rsidRDefault="00000000">
            <w:r>
              <w:rPr>
                <w:b/>
                <w:bCs/>
              </w:rPr>
              <w:t>⚠️ PREP NOTE — Confirm with Your Tool</w:t>
            </w:r>
          </w:p>
          <w:p w14:paraId="58853BCA" w14:textId="77777777" w:rsidR="00000000" w:rsidRDefault="00000000">
            <w:pPr>
              <w:spacing w:before="80"/>
            </w:pPr>
            <w:r>
              <w:rPr>
                <w:sz w:val="20"/>
                <w:szCs w:val="20"/>
              </w:rPr>
              <w:t xml:space="preserve">The proposal does not explicitly address granularity flexibility at the Function vs. Category vs. Subcategory level. Before the presentation, confirm how your tool handles this: Does it capture evidence at the subcategory level and roll up? Or does it score at a higher level and drill down? The answer needs to match how the tool </w:t>
            </w:r>
            <w:proofErr w:type="gramStart"/>
            <w:r>
              <w:rPr>
                <w:sz w:val="20"/>
                <w:szCs w:val="20"/>
              </w:rPr>
              <w:t>actually works</w:t>
            </w:r>
            <w:proofErr w:type="gramEnd"/>
            <w:r>
              <w:rPr>
                <w:sz w:val="20"/>
                <w:szCs w:val="20"/>
              </w:rPr>
              <w:t>.</w:t>
            </w:r>
          </w:p>
        </w:tc>
      </w:tr>
    </w:tbl>
    <w:p w14:paraId="58853BCC" w14:textId="77777777" w:rsidR="00000000" w:rsidRDefault="00000000">
      <w:pPr>
        <w:spacing w:after="100"/>
      </w:pPr>
    </w:p>
    <w:p w14:paraId="58853BCD" w14:textId="77777777" w:rsidR="00000000" w:rsidRDefault="00000000">
      <w:pPr>
        <w:pStyle w:val="ListParagraph"/>
        <w:numPr>
          <w:ilvl w:val="0"/>
          <w:numId w:val="2"/>
        </w:numPr>
      </w:pPr>
      <w:r>
        <w:rPr>
          <w:b/>
          <w:bCs/>
        </w:rPr>
        <w:t xml:space="preserve">Recommended framing: </w:t>
      </w:r>
      <w:r>
        <w:t>“Our tool captures evidence at the most granular level — tied to individual controls. That means we can report maturity at the Subcategory, Category, or Function level depending on what the State needs, without restructuring the assessment. The data is the same; the reporting view changes.” (Adjust to match your actual tool capability.)</w:t>
      </w:r>
    </w:p>
    <w:p w14:paraId="58853BCE" w14:textId="77777777" w:rsidR="00000000" w:rsidRDefault="00000000">
      <w:pPr>
        <w:spacing w:after="100"/>
      </w:pPr>
    </w:p>
    <w:p w14:paraId="58853BCF" w14:textId="77777777" w:rsidR="00000000" w:rsidRDefault="00000000">
      <w:r>
        <w:br w:type="page"/>
      </w:r>
    </w:p>
    <w:p w14:paraId="58853BD0" w14:textId="77777777" w:rsidR="00000000" w:rsidRDefault="00000000">
      <w:pPr>
        <w:pStyle w:val="Heading1"/>
      </w:pPr>
      <w:r>
        <w:lastRenderedPageBreak/>
        <w:t>GOALS</w:t>
      </w:r>
    </w:p>
    <w:p w14:paraId="58853BD1" w14:textId="77777777" w:rsidR="00000000" w:rsidRDefault="00000000">
      <w:pPr>
        <w:pStyle w:val="ListParagraph"/>
        <w:numPr>
          <w:ilvl w:val="0"/>
          <w:numId w:val="2"/>
        </w:numPr>
      </w:pPr>
      <w:r>
        <w:rPr>
          <w:b/>
          <w:bCs/>
        </w:rPr>
        <w:t xml:space="preserve">Prove the methodology has rigor, not just a name. </w:t>
      </w:r>
      <w:r>
        <w:t>Anyone can say “we use NIST CSF.” The panel wants to see that you understand how to apply it as an assessment framework, not just reference it as a standard.</w:t>
      </w:r>
    </w:p>
    <w:p w14:paraId="58853BD2" w14:textId="77777777" w:rsidR="00000000" w:rsidRDefault="00000000">
      <w:pPr>
        <w:pStyle w:val="ListParagraph"/>
        <w:numPr>
          <w:ilvl w:val="0"/>
          <w:numId w:val="2"/>
        </w:numPr>
      </w:pPr>
      <w:r>
        <w:rPr>
          <w:b/>
          <w:bCs/>
        </w:rPr>
        <w:t xml:space="preserve">Make the ESG feel like a real, living tool. </w:t>
      </w:r>
      <w:r>
        <w:t>If it sounds like a document nobody reads, you lose points. If it sounds like something every assessor opens before every assessment, you win.</w:t>
      </w:r>
    </w:p>
    <w:p w14:paraId="58853BD3" w14:textId="77777777" w:rsidR="00000000" w:rsidRDefault="00000000">
      <w:pPr>
        <w:pStyle w:val="ListParagraph"/>
        <w:numPr>
          <w:ilvl w:val="0"/>
          <w:numId w:val="2"/>
        </w:numPr>
      </w:pPr>
      <w:r>
        <w:rPr>
          <w:b/>
          <w:bCs/>
        </w:rPr>
        <w:t xml:space="preserve">Show you’ve thought past the checklist. </w:t>
      </w:r>
      <w:r>
        <w:t>The “risks outside standard control mappings” piece is your chance to show evaluator maturity. Ground it in the Risk Assessment Consultant role and the Optimize/Report phases.</w:t>
      </w:r>
    </w:p>
    <w:p w14:paraId="58853BD4" w14:textId="77777777" w:rsidR="00000000" w:rsidRDefault="00000000">
      <w:pPr>
        <w:pStyle w:val="ListParagraph"/>
        <w:numPr>
          <w:ilvl w:val="0"/>
          <w:numId w:val="2"/>
        </w:numPr>
      </w:pPr>
      <w:r>
        <w:rPr>
          <w:b/>
          <w:bCs/>
        </w:rPr>
        <w:t xml:space="preserve">Connect back to Q1 without repeating it. </w:t>
      </w:r>
      <w:r>
        <w:t>Open with “Within ANCHOR’s Normalize and Consolidate phases…” — one sentence, then go deep on the methodology.</w:t>
      </w:r>
    </w:p>
    <w:p w14:paraId="58853BD5" w14:textId="77777777" w:rsidR="00000000" w:rsidRDefault="00000000">
      <w:pPr>
        <w:pStyle w:val="ListParagraph"/>
        <w:numPr>
          <w:ilvl w:val="0"/>
          <w:numId w:val="2"/>
        </w:numPr>
      </w:pPr>
      <w:r>
        <w:rPr>
          <w:b/>
          <w:bCs/>
        </w:rPr>
        <w:t xml:space="preserve">Land the credibility that you own the framework. </w:t>
      </w:r>
      <w:r>
        <w:t>The State won’t hand you templates (Q150). You designed this. Own it.</w:t>
      </w:r>
    </w:p>
    <w:p w14:paraId="58853BD6" w14:textId="77777777" w:rsidR="00000000" w:rsidRDefault="00000000">
      <w:pPr>
        <w:spacing w:after="100"/>
      </w:pPr>
    </w:p>
    <w:p w14:paraId="58853BD7" w14:textId="77777777" w:rsidR="00000000" w:rsidRDefault="00000000">
      <w:r>
        <w:br w:type="page"/>
      </w:r>
    </w:p>
    <w:p w14:paraId="58853BD8" w14:textId="77777777" w:rsidR="00000000" w:rsidRDefault="00000000">
      <w:pPr>
        <w:pStyle w:val="Heading1"/>
      </w:pPr>
      <w:r>
        <w:lastRenderedPageBreak/>
        <w:t>POTENTIAL FOLLOW-UP QUESTIONS</w:t>
      </w:r>
    </w:p>
    <w:p w14:paraId="58853BD9" w14:textId="77777777" w:rsidR="00000000" w:rsidRDefault="00000000">
      <w:pPr>
        <w:pStyle w:val="Heading2"/>
      </w:pPr>
      <w:r>
        <w:t>On the Framework</w:t>
      </w:r>
    </w:p>
    <w:p w14:paraId="58853BDA" w14:textId="77777777" w:rsidR="00000000" w:rsidRDefault="00000000">
      <w:pPr>
        <w:pStyle w:val="ListParagraph"/>
        <w:numPr>
          <w:ilvl w:val="0"/>
          <w:numId w:val="2"/>
        </w:numPr>
      </w:pPr>
      <w:r>
        <w:t>“CSF 2.0 added the Govern function. How does that change your assessment approach compared to what you would have done under 1.1?”</w:t>
      </w:r>
    </w:p>
    <w:p w14:paraId="58853BDB" w14:textId="77777777" w:rsidR="00000000" w:rsidRDefault="00000000">
      <w:pPr>
        <w:pStyle w:val="ListParagraph"/>
        <w:numPr>
          <w:ilvl w:val="0"/>
          <w:numId w:val="2"/>
        </w:numPr>
      </w:pPr>
      <w:r>
        <w:t>“If a Work Order specifies 800-53 controls on top of CSF, how does that change the scope and duration of an assessment? Walk me through the delta.”</w:t>
      </w:r>
    </w:p>
    <w:p w14:paraId="58853BDC" w14:textId="77777777" w:rsidR="00000000" w:rsidRDefault="00000000">
      <w:pPr>
        <w:pStyle w:val="ListParagraph"/>
        <w:numPr>
          <w:ilvl w:val="0"/>
          <w:numId w:val="2"/>
        </w:numPr>
      </w:pPr>
      <w:r>
        <w:t>“You mentioned you can assess at Function, Category, or Subcategory level. If we asked for Subcategory-level scoring across all 108 subcategories, what does that do to your timeline?”</w:t>
      </w:r>
    </w:p>
    <w:p w14:paraId="58853BDD" w14:textId="77777777" w:rsidR="00000000" w:rsidRDefault="00000000">
      <w:pPr>
        <w:spacing w:after="100"/>
      </w:pPr>
    </w:p>
    <w:p w14:paraId="58853BDE" w14:textId="77777777" w:rsidR="00000000" w:rsidRDefault="00000000">
      <w:pPr>
        <w:pStyle w:val="Heading2"/>
      </w:pPr>
      <w:r>
        <w:t>On Scoring Consistency</w:t>
      </w:r>
    </w:p>
    <w:p w14:paraId="58853BDF" w14:textId="77777777" w:rsidR="00000000" w:rsidRDefault="00000000">
      <w:pPr>
        <w:pStyle w:val="ListParagraph"/>
        <w:numPr>
          <w:ilvl w:val="0"/>
          <w:numId w:val="2"/>
        </w:numPr>
      </w:pPr>
      <w:r>
        <w:t>“Show me how two different assessors on two different PODs would arrive at the same maturity rating for the same agency. What’s the mechanism?”</w:t>
      </w:r>
    </w:p>
    <w:p w14:paraId="58853BE0" w14:textId="77777777" w:rsidR="00000000" w:rsidRDefault="00000000">
      <w:pPr>
        <w:pStyle w:val="ListParagraph"/>
        <w:numPr>
          <w:ilvl w:val="0"/>
          <w:numId w:val="2"/>
        </w:numPr>
      </w:pPr>
      <w:r>
        <w:t xml:space="preserve">“An agency presents a security policy document that looks great on </w:t>
      </w:r>
      <w:proofErr w:type="gramStart"/>
      <w:r>
        <w:t>paper</w:t>
      </w:r>
      <w:proofErr w:type="gramEnd"/>
      <w:r>
        <w:t xml:space="preserve"> but your interviews reveal nobody follows it. What score does that get, and how does your ESG guide that decision?”</w:t>
      </w:r>
    </w:p>
    <w:p w14:paraId="58853BE1" w14:textId="77777777" w:rsidR="00000000" w:rsidRDefault="00000000">
      <w:pPr>
        <w:pStyle w:val="ListParagraph"/>
        <w:numPr>
          <w:ilvl w:val="0"/>
          <w:numId w:val="2"/>
        </w:numPr>
      </w:pPr>
      <w:r>
        <w:t>“How often do you recalibrate your assessors against the ESG? Is it a one-time training or ongoing?”</w:t>
      </w:r>
    </w:p>
    <w:p w14:paraId="58853BE2" w14:textId="77777777" w:rsidR="00000000" w:rsidRDefault="00000000">
      <w:pPr>
        <w:spacing w:after="100"/>
      </w:pPr>
    </w:p>
    <w:p w14:paraId="58853BE3" w14:textId="77777777" w:rsidR="00000000" w:rsidRDefault="00000000">
      <w:pPr>
        <w:pStyle w:val="Heading2"/>
      </w:pPr>
      <w:r>
        <w:t>On Risks Outside the Framework</w:t>
      </w:r>
    </w:p>
    <w:p w14:paraId="58853BE4" w14:textId="77777777" w:rsidR="00000000" w:rsidRDefault="00000000">
      <w:pPr>
        <w:pStyle w:val="ListParagraph"/>
        <w:numPr>
          <w:ilvl w:val="0"/>
          <w:numId w:val="2"/>
        </w:numPr>
      </w:pPr>
      <w:r>
        <w:t>“Give me a specific example of a risk you’ve found in a past assessment that didn’t map to any NIST CSF control. What did you do with it?”</w:t>
      </w:r>
    </w:p>
    <w:p w14:paraId="58853BE5" w14:textId="77777777" w:rsidR="00000000" w:rsidRDefault="00000000">
      <w:pPr>
        <w:pStyle w:val="ListParagraph"/>
        <w:numPr>
          <w:ilvl w:val="0"/>
          <w:numId w:val="2"/>
        </w:numPr>
      </w:pPr>
      <w:r>
        <w:t>“If you find something critical that’s outside the CSF scope — say, a physical security issue or a major vendor risk — how does that show up in your deliverables? Does it affect the maturity score?”</w:t>
      </w:r>
    </w:p>
    <w:p w14:paraId="58853BE6" w14:textId="77777777" w:rsidR="00000000" w:rsidRDefault="00000000">
      <w:pPr>
        <w:pStyle w:val="ListParagraph"/>
        <w:numPr>
          <w:ilvl w:val="0"/>
          <w:numId w:val="2"/>
        </w:numPr>
      </w:pPr>
      <w:r>
        <w:t>“How do you prevent ‘out-of-scope findings’ from becoming a dumping ground for things your assessors didn’t know how to categorize?”</w:t>
      </w:r>
    </w:p>
    <w:p w14:paraId="58853BE7" w14:textId="77777777" w:rsidR="00000000" w:rsidRDefault="00000000">
      <w:pPr>
        <w:spacing w:after="100"/>
      </w:pPr>
    </w:p>
    <w:p w14:paraId="58853BE8" w14:textId="77777777" w:rsidR="00000000" w:rsidRDefault="00000000">
      <w:pPr>
        <w:pStyle w:val="Heading2"/>
      </w:pPr>
      <w:r>
        <w:t>The Curveball</w:t>
      </w:r>
    </w:p>
    <w:p w14:paraId="58853BE9" w14:textId="77777777" w:rsidR="00000000" w:rsidRDefault="00000000">
      <w:pPr>
        <w:pStyle w:val="ListParagraph"/>
        <w:numPr>
          <w:ilvl w:val="0"/>
          <w:numId w:val="2"/>
        </w:numPr>
      </w:pPr>
      <w:r>
        <w:t>“The State pointed all vendors to the CISA FISMA Metrics Evaluation Guide as a scoring reference. How does your ESG align with or differ from that guide, and why?”</w:t>
      </w:r>
    </w:p>
    <w:p w14:paraId="58853BEA" w14:textId="77777777" w:rsidR="00000000" w:rsidRDefault="00000000">
      <w:pPr>
        <w:pStyle w:val="ListParagraph"/>
        <w:numPr>
          <w:ilvl w:val="0"/>
          <w:numId w:val="2"/>
        </w:numPr>
        <w:shd w:val="clear" w:color="auto" w:fill="E8F5E9"/>
      </w:pPr>
      <w:r>
        <w:rPr>
          <w:b/>
          <w:bCs/>
          <w:color w:val="2E7D32"/>
        </w:rPr>
        <w:t xml:space="preserve">PREP NOTE: </w:t>
      </w:r>
      <w:r>
        <w:rPr>
          <w:color w:val="2E7D32"/>
        </w:rPr>
        <w:t>This is the most dangerous question if you haven’t prepared. Know the CISA guide’s structure (maturity levels, evidence requirements, scoring criteria) and be ready to draw specific parallels or distinctions with your ESG. Generic answers like “they’re aligned” won’t hold up.</w:t>
      </w:r>
    </w:p>
    <w:p w14:paraId="58853BEB" w14:textId="77777777" w:rsidR="00000000" w:rsidRDefault="00000000">
      <w:r>
        <w:br w:type="page"/>
      </w:r>
    </w:p>
    <w:p w14:paraId="58853BEC" w14:textId="77777777" w:rsidR="00000000" w:rsidRDefault="00000000">
      <w:pPr>
        <w:pStyle w:val="Heading1"/>
      </w:pPr>
      <w:r>
        <w:lastRenderedPageBreak/>
        <w:t>CHANGE LOG</w:t>
      </w:r>
    </w:p>
    <w:p w14:paraId="58853BED" w14:textId="77777777" w:rsidR="00000000" w:rsidRDefault="00000000">
      <w:r>
        <w:rPr>
          <w:i/>
          <w:iCs/>
        </w:rPr>
        <w:t>Changes from original outline, verified against Assurit_Tech_Reduced.pdf:</w:t>
      </w:r>
    </w:p>
    <w:p w14:paraId="58853BEE" w14:textId="77777777" w:rsidR="00000000" w:rsidRDefault="000000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576B52" w14:paraId="58853BF2" w14:textId="77777777">
        <w:tc>
          <w:tcPr>
            <w:tcW w:w="6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8853BEF" w14:textId="77777777" w:rsidR="00000000"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8853BF0" w14:textId="77777777" w:rsidR="00000000" w:rsidRDefault="00000000">
            <w:r>
              <w:rPr>
                <w:b/>
                <w:bCs/>
                <w:color w:val="FFFFFF"/>
                <w:sz w:val="20"/>
                <w:szCs w:val="20"/>
              </w:rPr>
              <w:t>Item</w:t>
            </w:r>
          </w:p>
        </w:tc>
        <w:tc>
          <w:tcPr>
            <w:tcW w:w="59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58853BF1" w14:textId="77777777" w:rsidR="00000000" w:rsidRDefault="00000000">
            <w:r>
              <w:rPr>
                <w:b/>
                <w:bCs/>
                <w:color w:val="FFFFFF"/>
                <w:sz w:val="20"/>
                <w:szCs w:val="20"/>
              </w:rPr>
              <w:t>Change Description</w:t>
            </w:r>
          </w:p>
        </w:tc>
      </w:tr>
      <w:tr w:rsidR="00576B52" w14:paraId="58853BF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BF3" w14:textId="77777777" w:rsidR="00000000"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853BF4"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BF5" w14:textId="77777777" w:rsidR="00000000" w:rsidRDefault="00000000">
            <w:r>
              <w:rPr>
                <w:sz w:val="20"/>
                <w:szCs w:val="20"/>
              </w:rPr>
              <w:t>Added opening framing instruction: anchor Q2 in ANCHOR’s Normalize and Consolidate phases to connect to Q1 without re-explaining the lifecycle.</w:t>
            </w:r>
          </w:p>
        </w:tc>
      </w:tr>
      <w:tr w:rsidR="00576B52" w14:paraId="58853BF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BF7" w14:textId="77777777" w:rsidR="00000000"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8853BF8" w14:textId="77777777" w:rsidR="00000000" w:rsidRDefault="00000000">
            <w:r>
              <w:rPr>
                <w:b/>
                <w:bCs/>
                <w:color w:val="C62828"/>
                <w:sz w:val="20"/>
                <w:szCs w:val="20"/>
              </w:rPr>
              <w:t>Correction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BF9" w14:textId="77777777" w:rsidR="00000000" w:rsidRDefault="00000000">
            <w:r>
              <w:rPr>
                <w:sz w:val="20"/>
                <w:szCs w:val="20"/>
              </w:rPr>
              <w:t>Reworked “risks outside standard control mappings” section. Proposal does not describe a supplemental risk register. Grounded the answer in three mechanisms the proposal DOES support: Risk Assessment Consultant role (G.3.2), Optimize phase trend analysis (F.2.1), and Report phase prioritized recommendations (RFP 2.3.1.C–D).</w:t>
            </w:r>
          </w:p>
        </w:tc>
      </w:tr>
      <w:tr w:rsidR="00576B52" w14:paraId="58853BF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BFB" w14:textId="77777777" w:rsidR="00000000"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853BFC"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BFD" w14:textId="77777777" w:rsidR="00000000" w:rsidRDefault="00000000">
            <w:r>
              <w:rPr>
                <w:sz w:val="20"/>
                <w:szCs w:val="20"/>
              </w:rPr>
              <w:t>Added prep warning on CISA FISMA Metrics Evaluation Guide. Proposal does not mention it by name — this is Q&amp;A knowledge. Presenter must prepare the specific ESG-to-CISA alignment before the session.</w:t>
            </w:r>
          </w:p>
        </w:tc>
      </w:tr>
      <w:tr w:rsidR="00576B52" w14:paraId="58853C0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BFF" w14:textId="77777777" w:rsidR="00000000"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853C00"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C01" w14:textId="77777777" w:rsidR="00000000" w:rsidRDefault="00000000">
            <w:r>
              <w:rPr>
                <w:sz w:val="20"/>
                <w:szCs w:val="20"/>
              </w:rPr>
              <w:t>Added prep warning on granularity flexibility. Proposal does not explicitly address Function vs. Category vs. Subcategory reporting. Must confirm how the tool handles this before presenting.</w:t>
            </w:r>
          </w:p>
        </w:tc>
      </w:tr>
      <w:tr w:rsidR="00576B52" w14:paraId="58853C0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C03" w14:textId="77777777" w:rsidR="00000000"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853C04"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53C05" w14:textId="77777777" w:rsidR="00000000" w:rsidRDefault="00000000">
            <w:r>
              <w:rPr>
                <w:sz w:val="20"/>
                <w:szCs w:val="20"/>
              </w:rPr>
              <w:t xml:space="preserve">Added framework crosswalk detail under NIST CSF section — tool uses CSF as baseline, additional frameworks </w:t>
            </w:r>
            <w:proofErr w:type="spellStart"/>
            <w:r>
              <w:rPr>
                <w:sz w:val="20"/>
                <w:szCs w:val="20"/>
              </w:rPr>
              <w:t>crosswalked</w:t>
            </w:r>
            <w:proofErr w:type="spellEnd"/>
            <w:r>
              <w:rPr>
                <w:sz w:val="20"/>
                <w:szCs w:val="20"/>
              </w:rPr>
              <w:t xml:space="preserve"> back to CSF for enterprise comparability.</w:t>
            </w:r>
          </w:p>
        </w:tc>
      </w:tr>
    </w:tbl>
    <w:p w14:paraId="58853C07" w14:textId="77777777" w:rsidR="00000000" w:rsidRDefault="00000000"/>
    <w:p w14:paraId="22ED1494" w14:textId="77777777" w:rsidR="00000000" w:rsidRDefault="00000000">
      <w:pPr>
        <w:spacing w:after="60"/>
        <w:jc w:val="center"/>
      </w:pPr>
      <w:r>
        <w:rPr>
          <w:b/>
          <w:bCs/>
          <w:color w:val="1A1A1A"/>
          <w:sz w:val="44"/>
          <w:szCs w:val="44"/>
        </w:rPr>
        <w:t>ORAL PRESENTATION PREP</w:t>
      </w:r>
    </w:p>
    <w:p w14:paraId="22ED1495" w14:textId="77777777" w:rsidR="00000000" w:rsidRDefault="00000000">
      <w:pPr>
        <w:spacing w:after="40"/>
        <w:jc w:val="center"/>
      </w:pPr>
      <w:r>
        <w:rPr>
          <w:color w:val="555555"/>
          <w:sz w:val="28"/>
          <w:szCs w:val="28"/>
        </w:rPr>
        <w:t>Section 2, Question 3: Limited Documentation &amp; Data Validation</w:t>
      </w:r>
    </w:p>
    <w:p w14:paraId="22ED1496" w14:textId="77777777" w:rsidR="00000000" w:rsidRDefault="00000000">
      <w:pPr>
        <w:pBdr>
          <w:bottom w:val="single" w:sz="6" w:space="1" w:color="D4A017"/>
        </w:pBdr>
        <w:spacing w:after="300"/>
        <w:jc w:val="center"/>
      </w:pPr>
      <w:r>
        <w:rPr>
          <w:i/>
          <w:iCs/>
          <w:color w:val="666666"/>
          <w:sz w:val="18"/>
          <w:szCs w:val="18"/>
        </w:rPr>
        <w:t xml:space="preserve">Updated March 30, </w:t>
      </w:r>
      <w:proofErr w:type="gramStart"/>
      <w:r>
        <w:rPr>
          <w:i/>
          <w:iCs/>
          <w:color w:val="666666"/>
          <w:sz w:val="18"/>
          <w:szCs w:val="18"/>
        </w:rPr>
        <w:t>2026  |</w:t>
      </w:r>
      <w:proofErr w:type="gramEnd"/>
      <w:r>
        <w:rPr>
          <w:i/>
          <w:iCs/>
          <w:color w:val="666666"/>
          <w:sz w:val="18"/>
          <w:szCs w:val="18"/>
        </w:rPr>
        <w:t xml:space="preserve">  Verified Against Proposal</w:t>
      </w:r>
    </w:p>
    <w:p w14:paraId="22ED1497" w14:textId="77777777" w:rsidR="00000000" w:rsidRDefault="00000000">
      <w:pPr>
        <w:pStyle w:val="Heading1"/>
      </w:pPr>
      <w:r>
        <w:t>THE ASK</w:t>
      </w:r>
    </w:p>
    <w:p w14:paraId="22ED1498" w14:textId="77777777" w:rsidR="00000000" w:rsidRDefault="00000000">
      <w:r>
        <w:rPr>
          <w:b/>
          <w:bCs/>
        </w:rPr>
        <w:t xml:space="preserve">What they’re really asking: </w:t>
      </w:r>
      <w:r>
        <w:t>This is the “what happens when the real world doesn’t cooperate” question. They’ve assessed ~60 agencies before (Q26) and they know most don’t have clean documentation. This isn’t hypothetical — it’s their lived experience. They’re testing your fieldcraft.</w:t>
      </w:r>
    </w:p>
    <w:p w14:paraId="22ED1499" w14:textId="77777777" w:rsidR="00000000" w:rsidRDefault="00000000">
      <w:pPr>
        <w:spacing w:after="100"/>
      </w:pPr>
    </w:p>
    <w:p w14:paraId="22ED149A" w14:textId="77777777" w:rsidR="00000000" w:rsidRDefault="00000000">
      <w:r>
        <w:t>Two distinct things they want to hear:</w:t>
      </w:r>
    </w:p>
    <w:p w14:paraId="22ED149B" w14:textId="77777777" w:rsidR="00000000" w:rsidRDefault="00000000">
      <w:pPr>
        <w:pStyle w:val="ListParagraph"/>
        <w:numPr>
          <w:ilvl w:val="0"/>
          <w:numId w:val="3"/>
        </w:numPr>
      </w:pPr>
      <w:r>
        <w:rPr>
          <w:b/>
          <w:bCs/>
        </w:rPr>
        <w:t xml:space="preserve">1. </w:t>
      </w:r>
      <w:r>
        <w:t>How do you still produce a credible assessment when the inputs are garbage?</w:t>
      </w:r>
    </w:p>
    <w:p w14:paraId="22ED149C" w14:textId="77777777" w:rsidR="00000000" w:rsidRDefault="00000000">
      <w:pPr>
        <w:pStyle w:val="ListParagraph"/>
        <w:numPr>
          <w:ilvl w:val="0"/>
          <w:numId w:val="3"/>
        </w:numPr>
      </w:pPr>
      <w:r>
        <w:rPr>
          <w:b/>
          <w:bCs/>
        </w:rPr>
        <w:t xml:space="preserve">2. </w:t>
      </w:r>
      <w:r>
        <w:t>When two pieces of evidence tell you different things, what’s your decision-making process?</w:t>
      </w:r>
    </w:p>
    <w:p w14:paraId="22ED149D" w14:textId="77777777" w:rsidR="00000000" w:rsidRDefault="00000000">
      <w:pPr>
        <w:spacing w:after="100"/>
      </w:pPr>
    </w:p>
    <w:p w14:paraId="22ED149E" w14:textId="77777777" w:rsidR="00000000" w:rsidRDefault="00000000">
      <w:pPr>
        <w:pStyle w:val="Heading2"/>
      </w:pPr>
      <w:r>
        <w:t>Must-Hit Items for Your Response</w:t>
      </w:r>
    </w:p>
    <w:p w14:paraId="22ED149F" w14:textId="77777777" w:rsidR="00000000" w:rsidRDefault="00000000">
      <w:pPr>
        <w:pStyle w:val="Heading3"/>
      </w:pPr>
      <w:r>
        <w:lastRenderedPageBreak/>
        <w:t>1. You Expect This, Not Treat It as an Exception</w:t>
      </w:r>
    </w:p>
    <w:p w14:paraId="22ED14A0" w14:textId="77777777" w:rsidR="00000000" w:rsidRDefault="00000000">
      <w:r>
        <w:t>Your methodology should assume incomplete documentation as the default, not the edge case. Most State agencies won’t have a tidy evidence binder waiting for you. Lead with that acknowledgment.</w:t>
      </w:r>
    </w:p>
    <w:p w14:paraId="22ED14A1" w14:textId="77777777" w:rsidR="00000000" w:rsidRDefault="00000000">
      <w:pPr>
        <w:pStyle w:val="ListParagraph"/>
        <w:numPr>
          <w:ilvl w:val="0"/>
          <w:numId w:val="3"/>
        </w:numPr>
      </w:pPr>
      <w:r>
        <w:rPr>
          <w:b/>
          <w:bCs/>
        </w:rPr>
        <w:t xml:space="preserve">Proposal Reference: </w:t>
      </w:r>
      <w:r>
        <w:t>F.2.1 (Normalize phase) — Evidence collection is designed around structured interviews and artifact review, not pre-packaged documentation. The approach is built to work when inputs are messy.</w:t>
      </w:r>
    </w:p>
    <w:p w14:paraId="22ED14A2" w14:textId="77777777" w:rsidR="00000000" w:rsidRDefault="00000000">
      <w:pPr>
        <w:pStyle w:val="ListParagraph"/>
        <w:numPr>
          <w:ilvl w:val="0"/>
          <w:numId w:val="3"/>
        </w:numPr>
      </w:pPr>
      <w:r>
        <w:rPr>
          <w:b/>
          <w:bCs/>
        </w:rPr>
        <w:t xml:space="preserve">What to say: </w:t>
      </w:r>
      <w:r>
        <w:t>“We assume incomplete documentation. That’s not an obstacle — it’s the operating environment. Our methodology is built for it.”</w:t>
      </w:r>
    </w:p>
    <w:p w14:paraId="22ED14A3" w14:textId="77777777" w:rsidR="00000000" w:rsidRDefault="00000000">
      <w:pPr>
        <w:spacing w:after="100"/>
      </w:pPr>
    </w:p>
    <w:p w14:paraId="22ED14A4" w14:textId="77777777" w:rsidR="00000000" w:rsidRDefault="00000000">
      <w:pPr>
        <w:pStyle w:val="Heading3"/>
      </w:pPr>
      <w:r>
        <w:t>2. Multi-Source Evidence Collection</w:t>
      </w:r>
    </w:p>
    <w:p w14:paraId="22ED14A5" w14:textId="77777777" w:rsidR="00000000" w:rsidRDefault="00000000">
      <w:r>
        <w:t>Interviews, walkthroughs, system demonstrations, artifact review, policy inspection — you triangulate. If a policy document doesn’t exist, you don’t just score it zero and move on. You investigate whether the practice exists even without documentation, and score accordingly.</w:t>
      </w:r>
    </w:p>
    <w:p w14:paraId="22ED14A6" w14:textId="77777777" w:rsidR="00000000" w:rsidRDefault="00000000">
      <w:pPr>
        <w:pStyle w:val="ListParagraph"/>
        <w:numPr>
          <w:ilvl w:val="0"/>
          <w:numId w:val="3"/>
        </w:numPr>
      </w:pPr>
      <w:r>
        <w:rPr>
          <w:b/>
          <w:bCs/>
        </w:rPr>
        <w:t xml:space="preserve">Proposal Reference: </w:t>
      </w:r>
      <w:r>
        <w:t>F.2.1 (Normalize) — “Conduct structured interviews with agency personnel to validate control implementation. Review policies, procedures, and technical artifacts for completeness and currency. Evaluate evidence against NIST CSF controls.”</w:t>
      </w:r>
    </w:p>
    <w:p w14:paraId="22ED14A7" w14:textId="77777777" w:rsidR="00000000" w:rsidRDefault="00000000">
      <w:pPr>
        <w:pStyle w:val="ListParagraph"/>
        <w:numPr>
          <w:ilvl w:val="0"/>
          <w:numId w:val="3"/>
        </w:numPr>
      </w:pPr>
      <w:r>
        <w:rPr>
          <w:b/>
          <w:bCs/>
        </w:rPr>
        <w:t xml:space="preserve">Key Framing: </w:t>
      </w:r>
      <w:r>
        <w:t>The proposal describes this as a “non-intrusive approach” relying on “structured interviews, documentation and artifact review, and validation of how cybersecurity controls operate in practice” (F.2). Three evidence sources, not one.</w:t>
      </w:r>
    </w:p>
    <w:p w14:paraId="22ED14A8" w14:textId="77777777" w:rsidR="00000000" w:rsidRDefault="00000000">
      <w:pPr>
        <w:spacing w:after="100"/>
      </w:pPr>
    </w:p>
    <w:p w14:paraId="22ED14A9" w14:textId="77777777" w:rsidR="00000000" w:rsidRDefault="00000000">
      <w:pPr>
        <w:pStyle w:val="Heading3"/>
      </w:pPr>
      <w:r>
        <w:t>3. Missing Documentation vs. Nonexistent Control</w:t>
      </w:r>
    </w:p>
    <w:p w14:paraId="22ED14AA" w14:textId="77777777" w:rsidR="00000000" w:rsidRDefault="00000000">
      <w:r>
        <w:t>There’s a difference between “we couldn’t find the document” and “the agency doesn’t do this at all.” Your methodology needs to distinguish between a documentation gap and an actual control gap. The maturity score should reflect which one it is.</w:t>
      </w:r>
    </w:p>
    <w:p w14:paraId="22ED14AB" w14:textId="77777777" w:rsidR="00000000" w:rsidRDefault="00000000">
      <w:pPr>
        <w:pStyle w:val="ListParagraph"/>
        <w:numPr>
          <w:ilvl w:val="0"/>
          <w:numId w:val="3"/>
        </w:numPr>
      </w:pPr>
      <w:r>
        <w:rPr>
          <w:b/>
          <w:bCs/>
        </w:rPr>
        <w:t xml:space="preserve">Proposal Reference: </w:t>
      </w:r>
      <w:r>
        <w:t>F.5.2 (ESG) — defines “how partial or compensating implementations are evaluated.” This is the mechanism for distinguishing between “no policy document” and “no practice at all.”</w:t>
      </w:r>
    </w:p>
    <w:p w14:paraId="22ED14AC" w14:textId="77777777" w:rsidR="00000000" w:rsidRDefault="00000000">
      <w:pPr>
        <w:pStyle w:val="ListParagraph"/>
        <w:numPr>
          <w:ilvl w:val="0"/>
          <w:numId w:val="3"/>
        </w:numPr>
      </w:pPr>
      <w:r>
        <w:rPr>
          <w:b/>
          <w:bCs/>
        </w:rPr>
        <w:t xml:space="preserve">What to say: </w:t>
      </w:r>
      <w:r>
        <w:t>“If a policy doesn’t exist but interviews and artifacts confirm the practice is happening consistently, that’s a documentation gap — not a control gap. The maturity score reflects the actual state of the control, not the state of the filing cabinet.”</w:t>
      </w:r>
    </w:p>
    <w:p w14:paraId="22ED14AD" w14:textId="77777777" w:rsidR="00000000" w:rsidRDefault="00000000">
      <w:pPr>
        <w:spacing w:after="100"/>
      </w:pPr>
    </w:p>
    <w:p w14:paraId="22ED14AE" w14:textId="77777777" w:rsidR="00000000" w:rsidRDefault="00000000">
      <w:pPr>
        <w:pStyle w:val="Heading3"/>
      </w:pPr>
      <w:r>
        <w:t>4. Reconciling Conflicting Evidence</w:t>
      </w:r>
    </w:p>
    <w:p w14:paraId="22ED14AF" w14:textId="77777777" w:rsidR="00000000" w:rsidRDefault="00000000">
      <w:r>
        <w:t>When a policy says one thing and an interview reveals another, what wins? Walk them through your evidence hierarchy — what weight do you give to written policy versus observed practice versus self-reported responses?</w:t>
      </w:r>
    </w:p>
    <w:p w14:paraId="22ED14B0" w14:textId="77777777" w:rsidR="00000000" w:rsidRDefault="00000000">
      <w:pPr>
        <w:pStyle w:val="ListParagraph"/>
        <w:numPr>
          <w:ilvl w:val="0"/>
          <w:numId w:val="3"/>
        </w:numPr>
      </w:pPr>
      <w:r>
        <w:rPr>
          <w:b/>
          <w:bCs/>
        </w:rPr>
        <w:t xml:space="preserve">Proposal Reference: </w:t>
      </w:r>
      <w:r>
        <w:t>F.5.2 — ESG governs “how evidence is interpreted and how maturity ratings are assigned.” Assessors must “link every finding directly to validated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2AB3" w14:paraId="22ED14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22ED14B1" w14:textId="77777777" w:rsidR="00000000" w:rsidRDefault="00000000">
            <w:r>
              <w:rPr>
                <w:b/>
                <w:bCs/>
              </w:rPr>
              <w:t>⚠️ PREP NOTE — Evidence Hierarchy</w:t>
            </w:r>
          </w:p>
          <w:p w14:paraId="22ED14B2" w14:textId="77777777" w:rsidR="00000000" w:rsidRDefault="00000000">
            <w:pPr>
              <w:spacing w:before="80"/>
            </w:pPr>
            <w:r>
              <w:rPr>
                <w:sz w:val="20"/>
                <w:szCs w:val="20"/>
              </w:rPr>
              <w:t xml:space="preserve">The proposal does not spell out an explicit evidence hierarchy (e.g., artifacts &gt; interviews &gt; self-reported). The ESG’s “how evidence is interpreted” language is the hook, but the presenter needs to articulate a clear hierarchy that matches how you </w:t>
            </w:r>
            <w:proofErr w:type="gramStart"/>
            <w:r>
              <w:rPr>
                <w:sz w:val="20"/>
                <w:szCs w:val="20"/>
              </w:rPr>
              <w:t>actually score</w:t>
            </w:r>
            <w:proofErr w:type="gramEnd"/>
            <w:r>
              <w:rPr>
                <w:sz w:val="20"/>
                <w:szCs w:val="20"/>
              </w:rPr>
              <w:t>. Suggested order: validated artifacts and system evidence carry the most weight, corroborated interview responses next, self-reported claims without corroboration carry the least. Confirm this matches your practice before presenting.</w:t>
            </w:r>
          </w:p>
        </w:tc>
      </w:tr>
    </w:tbl>
    <w:p w14:paraId="22ED14B4" w14:textId="77777777" w:rsidR="00000000" w:rsidRDefault="00000000">
      <w:pPr>
        <w:spacing w:after="100"/>
      </w:pPr>
    </w:p>
    <w:p w14:paraId="22ED14B5" w14:textId="77777777" w:rsidR="00000000" w:rsidRDefault="00000000">
      <w:pPr>
        <w:pStyle w:val="ListParagraph"/>
        <w:numPr>
          <w:ilvl w:val="0"/>
          <w:numId w:val="3"/>
        </w:numPr>
      </w:pPr>
      <w:r>
        <w:rPr>
          <w:b/>
          <w:bCs/>
        </w:rPr>
        <w:t xml:space="preserve">What to say: </w:t>
      </w:r>
      <w:r>
        <w:t>“A great policy that nobody follows scores lower than no policy with consistent practice. Our evidence hierarchy: validated artifacts first, corroborated interviews second, uncorroborated self-reports last. When evidence conflicts, the more verifiable source wins, and the ESG documents exactly how that decision is made.”</w:t>
      </w:r>
    </w:p>
    <w:p w14:paraId="22ED14B6" w14:textId="77777777" w:rsidR="00000000" w:rsidRDefault="00000000">
      <w:pPr>
        <w:spacing w:after="100"/>
      </w:pPr>
    </w:p>
    <w:p w14:paraId="22ED14B7" w14:textId="77777777" w:rsidR="00000000" w:rsidRDefault="00000000">
      <w:pPr>
        <w:pStyle w:val="Heading3"/>
      </w:pPr>
      <w:r>
        <w:t>5. Discrepancies Get Documented, Not Buried</w:t>
      </w:r>
    </w:p>
    <w:p w14:paraId="22ED14B8" w14:textId="77777777" w:rsidR="00000000" w:rsidRDefault="00000000">
      <w:r>
        <w:t>When you find conflicting information, it doesn’t disappear into a judgment call. Explain how it gets captured, how resolution rationale is recorded, and how it shows up in the final deliverable.</w:t>
      </w:r>
    </w:p>
    <w:p w14:paraId="22ED14B9" w14:textId="77777777" w:rsidR="00000000" w:rsidRDefault="00000000">
      <w:pPr>
        <w:pStyle w:val="ListParagraph"/>
        <w:numPr>
          <w:ilvl w:val="0"/>
          <w:numId w:val="3"/>
        </w:numPr>
        <w:shd w:val="clear" w:color="auto" w:fill="E8F5E9"/>
      </w:pPr>
      <w:r>
        <w:rPr>
          <w:b/>
          <w:bCs/>
          <w:color w:val="2E7D32"/>
        </w:rPr>
        <w:t xml:space="preserve">NEW — Security Data Specialist Role: </w:t>
      </w:r>
      <w:r>
        <w:rPr>
          <w:color w:val="2E7D32"/>
        </w:rPr>
        <w:t xml:space="preserve">This role is highly relevant to Q3 and was missing from the original outline. Per F.4.2 and G.3.2, the Security Data Specialist manages the full lifecycle of assessment evidence, maintains artifact repositories and evidence tracking logs, and ensures data readiness for GRC integration. Named tools: Evidence Collection Matrix, Artifact Submission Log, GRC Import Package. When the panel </w:t>
      </w:r>
      <w:proofErr w:type="gramStart"/>
      <w:r>
        <w:rPr>
          <w:color w:val="2E7D32"/>
        </w:rPr>
        <w:t>asks</w:t>
      </w:r>
      <w:proofErr w:type="gramEnd"/>
      <w:r>
        <w:rPr>
          <w:color w:val="2E7D32"/>
        </w:rPr>
        <w:t xml:space="preserve"> “what would we see in your workpapers,” these are concrete answers.</w:t>
      </w:r>
    </w:p>
    <w:p w14:paraId="22ED14BA" w14:textId="77777777" w:rsidR="00000000" w:rsidRDefault="00000000">
      <w:pPr>
        <w:pStyle w:val="ListParagraph"/>
        <w:numPr>
          <w:ilvl w:val="0"/>
          <w:numId w:val="3"/>
        </w:numPr>
      </w:pPr>
      <w:r>
        <w:rPr>
          <w:b/>
          <w:bCs/>
        </w:rPr>
        <w:t xml:space="preserve">Proposal Reference: </w:t>
      </w:r>
      <w:r>
        <w:t>F.5.2 — “Scoring rationale is documented for audit traceability.” F.5.3 (FRTA) — validates “correct linkage between evidence and maturity determinations.”</w:t>
      </w:r>
    </w:p>
    <w:p w14:paraId="22ED14BB" w14:textId="77777777" w:rsidR="00000000" w:rsidRDefault="00000000">
      <w:pPr>
        <w:pStyle w:val="ListParagraph"/>
        <w:numPr>
          <w:ilvl w:val="0"/>
          <w:numId w:val="3"/>
        </w:numPr>
      </w:pPr>
      <w:r>
        <w:rPr>
          <w:b/>
          <w:bCs/>
        </w:rPr>
        <w:t xml:space="preserve">Key Detail: </w:t>
      </w:r>
      <w:r>
        <w:t>Every maturity rating is traceable to the evidence that supports it. When evidence conflicted, the workpapers show what was collected, what was contradictory, and how the assessor resolved it — all referencing the ESG.</w:t>
      </w:r>
    </w:p>
    <w:p w14:paraId="22ED14BC" w14:textId="77777777" w:rsidR="00000000" w:rsidRDefault="00000000">
      <w:pPr>
        <w:spacing w:after="100"/>
      </w:pPr>
    </w:p>
    <w:p w14:paraId="22ED14BD" w14:textId="77777777" w:rsidR="00000000" w:rsidRDefault="00000000">
      <w:pPr>
        <w:pStyle w:val="Heading3"/>
      </w:pPr>
      <w:r>
        <w:t>6. The ISO as Facilitator, Not Gatekeeper</w:t>
      </w:r>
    </w:p>
    <w:p w14:paraId="22ED14BE" w14:textId="77777777" w:rsidR="00000000" w:rsidRDefault="00000000">
      <w:r>
        <w:t>Q&amp;A confirmed (Q22, Q36) that ISOs assist in obtaining access and have escalation paths to agency leadership. Show that you leverage the ISO relationship when documentation is hard to get, but you don’t depend on the ISO to produce the evidence for you.</w:t>
      </w:r>
    </w:p>
    <w:p w14:paraId="22ED14BF" w14:textId="77777777" w:rsidR="00000000" w:rsidRDefault="00000000">
      <w:pPr>
        <w:pStyle w:val="ListParagraph"/>
        <w:numPr>
          <w:ilvl w:val="0"/>
          <w:numId w:val="3"/>
        </w:numPr>
      </w:pPr>
      <w:r>
        <w:rPr>
          <w:b/>
          <w:bCs/>
        </w:rPr>
        <w:t xml:space="preserve">Proposal Reference: </w:t>
      </w:r>
      <w:r>
        <w:t>F.4.1 — ISO “confirms scope, facilitates agency access, reviews draft deliverables, and participates in closeout activities.” Operational tools include Scope Review Form and Artifact Access Tracker.</w:t>
      </w:r>
    </w:p>
    <w:p w14:paraId="22ED14C0" w14:textId="77777777" w:rsidR="00000000" w:rsidRDefault="00000000">
      <w:pPr>
        <w:pStyle w:val="ListParagraph"/>
        <w:numPr>
          <w:ilvl w:val="0"/>
          <w:numId w:val="3"/>
        </w:numPr>
        <w:shd w:val="clear" w:color="auto" w:fill="E8F5E9"/>
      </w:pPr>
      <w:r>
        <w:rPr>
          <w:b/>
          <w:bCs/>
          <w:color w:val="2E7D32"/>
        </w:rPr>
        <w:t xml:space="preserve">NEW — Draft Review as Validation Check: </w:t>
      </w:r>
      <w:r>
        <w:rPr>
          <w:color w:val="2E7D32"/>
        </w:rPr>
        <w:t>Per F.4.2 item 3, draft deliverables are shared with the ISO for “factual validation” before final submission. In sparse-documentation environments where you’re leaning harder on interview evidence, this ISO review step becomes a critical accuracy check — the agency has a chance to surface evidence you may have missed before the score is finalized.</w:t>
      </w:r>
    </w:p>
    <w:p w14:paraId="22ED14C1" w14:textId="77777777" w:rsidR="00000000" w:rsidRDefault="00000000">
      <w:pPr>
        <w:pStyle w:val="ListParagraph"/>
        <w:numPr>
          <w:ilvl w:val="0"/>
          <w:numId w:val="3"/>
        </w:numPr>
      </w:pPr>
      <w:r>
        <w:rPr>
          <w:b/>
          <w:bCs/>
        </w:rPr>
        <w:t xml:space="preserve">Escalation: </w:t>
      </w:r>
      <w:r>
        <w:t>Issues are reported to the ISO within one business day. Unresolved items are elevated through PMO leadership to OSM (F.4.2 item 4).</w:t>
      </w:r>
    </w:p>
    <w:p w14:paraId="22ED14C2" w14:textId="77777777" w:rsidR="00000000" w:rsidRDefault="00000000">
      <w:pPr>
        <w:spacing w:after="100"/>
      </w:pPr>
    </w:p>
    <w:p w14:paraId="22ED14C3" w14:textId="77777777" w:rsidR="00000000" w:rsidRDefault="00000000">
      <w:pPr>
        <w:pStyle w:val="Heading3"/>
      </w:pPr>
      <w:r>
        <w:t>7. No Technical Testing — Know Your Lane</w:t>
      </w:r>
    </w:p>
    <w:p w14:paraId="22ED14C4" w14:textId="77777777" w:rsidR="00000000" w:rsidRDefault="00000000">
      <w:r>
        <w:t>Q48 confirmed assessments are strictly policy, process, and documentation review. No vulnerability scanning, no pen testing. When you find a gap that suggests a technical issue, you document it as a finding and flag it, but you don’t cross the line.</w:t>
      </w:r>
    </w:p>
    <w:p w14:paraId="22ED14C5" w14:textId="77777777" w:rsidR="00000000" w:rsidRDefault="00000000">
      <w:pPr>
        <w:pStyle w:val="ListParagraph"/>
        <w:numPr>
          <w:ilvl w:val="0"/>
          <w:numId w:val="3"/>
        </w:numPr>
      </w:pPr>
      <w:r>
        <w:rPr>
          <w:b/>
          <w:bCs/>
        </w:rPr>
        <w:t xml:space="preserve">Proposal Reference: </w:t>
      </w:r>
      <w:r>
        <w:t>F.2 — “Active technical testing, such as vulnerability scanning or penetration testing, is not performed unless explicitly directed by the State in a specific Work Order.”</w:t>
      </w:r>
    </w:p>
    <w:p w14:paraId="22ED14C6" w14:textId="77777777" w:rsidR="00000000" w:rsidRDefault="00000000">
      <w:pPr>
        <w:pStyle w:val="ListParagraph"/>
        <w:numPr>
          <w:ilvl w:val="0"/>
          <w:numId w:val="3"/>
        </w:numPr>
      </w:pPr>
      <w:r>
        <w:rPr>
          <w:b/>
          <w:bCs/>
        </w:rPr>
        <w:lastRenderedPageBreak/>
        <w:t xml:space="preserve">Framing: </w:t>
      </w:r>
      <w:r>
        <w:t>Use the proposal’s own language: “non-intrusive approach” designed for “objectivity and comparability across agencies while avoiding disruption to operational environments.”</w:t>
      </w:r>
    </w:p>
    <w:p w14:paraId="22ED14C7" w14:textId="77777777" w:rsidR="00000000" w:rsidRDefault="00000000">
      <w:pPr>
        <w:spacing w:after="100"/>
      </w:pPr>
    </w:p>
    <w:p w14:paraId="22ED14C8" w14:textId="77777777" w:rsidR="00000000" w:rsidRDefault="00000000">
      <w:pPr>
        <w:pStyle w:val="Heading3"/>
      </w:pPr>
      <w:r>
        <w:t>8. Incomplete Inventories</w:t>
      </w:r>
    </w:p>
    <w:p w14:paraId="22ED14C9" w14:textId="77777777" w:rsidR="00000000" w:rsidRDefault="00000000">
      <w:r>
        <w:t>They called this out by name. Have an answer for what you do when an agency can’t tell you how many systems they have, what data they hold, or what their network looks like.</w:t>
      </w:r>
    </w:p>
    <w:p w14:paraId="22ED14CA" w14:textId="77777777" w:rsidR="00000000" w:rsidRDefault="00000000">
      <w:pPr>
        <w:pStyle w:val="ListParagraph"/>
        <w:numPr>
          <w:ilvl w:val="0"/>
          <w:numId w:val="3"/>
        </w:numPr>
      </w:pPr>
      <w:r>
        <w:rPr>
          <w:b/>
          <w:bCs/>
        </w:rPr>
        <w:t xml:space="preserve">Proposal Reference: </w:t>
      </w:r>
      <w:r>
        <w:t>Assess phase (F.2.1) — “Review agency mission, complexity tier, prior assessments, and system boundaries to define assessment scope.” Scope is validated with the ISO before fieldwork begins.</w:t>
      </w:r>
    </w:p>
    <w:p w14:paraId="22ED14CB" w14:textId="77777777" w:rsidR="00000000" w:rsidRDefault="00000000">
      <w:pPr>
        <w:pStyle w:val="ListParagraph"/>
        <w:numPr>
          <w:ilvl w:val="0"/>
          <w:numId w:val="3"/>
        </w:numPr>
      </w:pPr>
      <w:r>
        <w:rPr>
          <w:b/>
          <w:bCs/>
        </w:rPr>
        <w:t xml:space="preserve">What to say: </w:t>
      </w:r>
      <w:r>
        <w:t>“If an agency can’t provide a complete asset inventory, that’s itself a finding under Identify. We scope based on what we can validate — through interviews, network documentation that does exist, and what the ISO can confirm. The inventory gap gets documented as a maturity finding, not swept under the rug.”</w:t>
      </w:r>
    </w:p>
    <w:p w14:paraId="22ED14CC" w14:textId="77777777" w:rsidR="00000000" w:rsidRDefault="00000000">
      <w:pPr>
        <w:spacing w:after="100"/>
      </w:pPr>
    </w:p>
    <w:p w14:paraId="22ED14CD" w14:textId="77777777" w:rsidR="00000000" w:rsidRDefault="00000000">
      <w:r>
        <w:br w:type="page"/>
      </w:r>
    </w:p>
    <w:p w14:paraId="22ED14CE" w14:textId="77777777" w:rsidR="00000000" w:rsidRDefault="00000000">
      <w:pPr>
        <w:pStyle w:val="Heading1"/>
      </w:pPr>
      <w:r>
        <w:lastRenderedPageBreak/>
        <w:t>GOALS</w:t>
      </w:r>
    </w:p>
    <w:p w14:paraId="22ED14CF" w14:textId="77777777" w:rsidR="00000000" w:rsidRDefault="00000000">
      <w:pPr>
        <w:pStyle w:val="ListParagraph"/>
        <w:numPr>
          <w:ilvl w:val="0"/>
          <w:numId w:val="3"/>
        </w:numPr>
      </w:pPr>
      <w:r>
        <w:rPr>
          <w:b/>
          <w:bCs/>
        </w:rPr>
        <w:t xml:space="preserve">Show you’ve been in the weeds before. </w:t>
      </w:r>
      <w:r>
        <w:t xml:space="preserve">This answer can’t be theoretical. It needs to feel like you’ve walked into a room where nobody could find the firewall </w:t>
      </w:r>
      <w:proofErr w:type="gramStart"/>
      <w:r>
        <w:t>policy</w:t>
      </w:r>
      <w:proofErr w:type="gramEnd"/>
      <w:r>
        <w:t xml:space="preserve"> and you knew exactly what to do next.</w:t>
      </w:r>
    </w:p>
    <w:p w14:paraId="22ED14D0" w14:textId="77777777" w:rsidR="00000000" w:rsidRDefault="00000000">
      <w:pPr>
        <w:pStyle w:val="ListParagraph"/>
        <w:numPr>
          <w:ilvl w:val="0"/>
          <w:numId w:val="3"/>
        </w:numPr>
      </w:pPr>
      <w:r>
        <w:rPr>
          <w:b/>
          <w:bCs/>
        </w:rPr>
        <w:t xml:space="preserve">Demonstrate rigor even when inputs are messy. </w:t>
      </w:r>
      <w:r>
        <w:t>“Limited documentation” doesn’t mean “lower standards” — it means a different evidence collection approach with the same scoring discipline.</w:t>
      </w:r>
    </w:p>
    <w:p w14:paraId="22ED14D1" w14:textId="77777777" w:rsidR="00000000" w:rsidRDefault="00000000">
      <w:pPr>
        <w:pStyle w:val="ListParagraph"/>
        <w:numPr>
          <w:ilvl w:val="0"/>
          <w:numId w:val="3"/>
        </w:numPr>
      </w:pPr>
      <w:r>
        <w:rPr>
          <w:b/>
          <w:bCs/>
        </w:rPr>
        <w:t xml:space="preserve">Prove findings are traceable. </w:t>
      </w:r>
      <w:r>
        <w:t>Every score, even in a messy environment, is backed by documented rationale. The Security Data Specialist, Evidence Collection Matrix, and ESG criteria make this concrete.</w:t>
      </w:r>
    </w:p>
    <w:p w14:paraId="22ED14D2" w14:textId="77777777" w:rsidR="00000000" w:rsidRDefault="00000000">
      <w:pPr>
        <w:pStyle w:val="ListParagraph"/>
        <w:numPr>
          <w:ilvl w:val="0"/>
          <w:numId w:val="3"/>
        </w:numPr>
      </w:pPr>
      <w:r>
        <w:rPr>
          <w:b/>
          <w:bCs/>
        </w:rPr>
        <w:t xml:space="preserve">Connect to Q1 and Q2 without repeating them. </w:t>
      </w:r>
      <w:r>
        <w:t>Reference ANCHOR’s Assess and Normalize phases and the ESG briefly, but this is about practical application when conditions are bad.</w:t>
      </w:r>
    </w:p>
    <w:p w14:paraId="22ED14D3" w14:textId="77777777" w:rsidR="00000000" w:rsidRDefault="00000000">
      <w:pPr>
        <w:spacing w:after="100"/>
      </w:pPr>
    </w:p>
    <w:p w14:paraId="22ED14D4" w14:textId="77777777" w:rsidR="00000000" w:rsidRDefault="00000000">
      <w:r>
        <w:br w:type="page"/>
      </w:r>
    </w:p>
    <w:p w14:paraId="22ED14D5" w14:textId="77777777" w:rsidR="00000000" w:rsidRDefault="00000000">
      <w:pPr>
        <w:pStyle w:val="Heading1"/>
      </w:pPr>
      <w:r>
        <w:lastRenderedPageBreak/>
        <w:t>POTENTIAL FOLLOW-UP QUESTIONS</w:t>
      </w:r>
    </w:p>
    <w:p w14:paraId="22ED14D6" w14:textId="77777777" w:rsidR="00000000" w:rsidRDefault="00000000">
      <w:pPr>
        <w:pStyle w:val="Heading2"/>
      </w:pPr>
      <w:r>
        <w:t>On Missing Documentation</w:t>
      </w:r>
    </w:p>
    <w:p w14:paraId="22ED14D7" w14:textId="77777777" w:rsidR="00000000" w:rsidRDefault="00000000">
      <w:pPr>
        <w:pStyle w:val="ListParagraph"/>
        <w:numPr>
          <w:ilvl w:val="0"/>
          <w:numId w:val="3"/>
        </w:numPr>
      </w:pPr>
      <w:r>
        <w:t>“An agency tells you they have an incident response plan but can’t produce it. They insist it exists. What maturity level do they get for that control, and how do you justify it?”</w:t>
      </w:r>
    </w:p>
    <w:p w14:paraId="22ED14D8" w14:textId="77777777" w:rsidR="00000000" w:rsidRDefault="00000000">
      <w:pPr>
        <w:pStyle w:val="ListParagraph"/>
        <w:numPr>
          <w:ilvl w:val="0"/>
          <w:numId w:val="3"/>
        </w:numPr>
      </w:pPr>
      <w:r>
        <w:t xml:space="preserve">“What percentage of agencies in your </w:t>
      </w:r>
      <w:proofErr w:type="gramStart"/>
      <w:r>
        <w:t>past experience</w:t>
      </w:r>
      <w:proofErr w:type="gramEnd"/>
      <w:r>
        <w:t xml:space="preserve"> </w:t>
      </w:r>
      <w:proofErr w:type="gramStart"/>
      <w:r>
        <w:t>actually had</w:t>
      </w:r>
      <w:proofErr w:type="gramEnd"/>
      <w:r>
        <w:t xml:space="preserve"> complete documentation ready when you showed up? How did you handle the ones that didn’t?”</w:t>
      </w:r>
    </w:p>
    <w:p w14:paraId="22ED14D9" w14:textId="77777777" w:rsidR="00000000" w:rsidRDefault="00000000">
      <w:pPr>
        <w:pStyle w:val="ListParagraph"/>
        <w:numPr>
          <w:ilvl w:val="0"/>
          <w:numId w:val="3"/>
        </w:numPr>
      </w:pPr>
      <w:r>
        <w:t>“If an agency has no asset inventory at all — they can’t tell you what systems they run — how do you even begin scoping the assessment?”</w:t>
      </w:r>
    </w:p>
    <w:p w14:paraId="22ED14DA" w14:textId="77777777" w:rsidR="00000000" w:rsidRDefault="00000000">
      <w:pPr>
        <w:spacing w:after="100"/>
      </w:pPr>
    </w:p>
    <w:p w14:paraId="22ED14DB" w14:textId="77777777" w:rsidR="00000000" w:rsidRDefault="00000000">
      <w:pPr>
        <w:pStyle w:val="Heading2"/>
      </w:pPr>
      <w:r>
        <w:t>On Conflicting Evidence</w:t>
      </w:r>
    </w:p>
    <w:p w14:paraId="22ED14DC" w14:textId="77777777" w:rsidR="00000000" w:rsidRDefault="00000000">
      <w:pPr>
        <w:pStyle w:val="ListParagraph"/>
        <w:numPr>
          <w:ilvl w:val="0"/>
          <w:numId w:val="3"/>
        </w:numPr>
      </w:pPr>
      <w:r>
        <w:t>“You interview a CISO who says they do quarterly access reviews. Their logs show the last review was fourteen months ago. Walk me through exactly how you score that and what goes in the report.”</w:t>
      </w:r>
    </w:p>
    <w:p w14:paraId="22ED14DD" w14:textId="77777777" w:rsidR="00000000" w:rsidRDefault="00000000">
      <w:pPr>
        <w:pStyle w:val="ListParagraph"/>
        <w:numPr>
          <w:ilvl w:val="0"/>
          <w:numId w:val="3"/>
        </w:numPr>
      </w:pPr>
      <w:r>
        <w:t>“Two people at the same agency give you contradictory answers about the same control. How do you decide who’s right?”</w:t>
      </w:r>
    </w:p>
    <w:p w14:paraId="22ED14DE" w14:textId="77777777" w:rsidR="00000000" w:rsidRDefault="00000000">
      <w:pPr>
        <w:pStyle w:val="ListParagraph"/>
        <w:numPr>
          <w:ilvl w:val="0"/>
          <w:numId w:val="3"/>
        </w:numPr>
      </w:pPr>
      <w:r>
        <w:t>“How do you prevent your assessors from defaulting to the more favorable interpretation when evidence conflicts? What’s the check on that?”</w:t>
      </w:r>
    </w:p>
    <w:p w14:paraId="22ED14DF" w14:textId="77777777" w:rsidR="00000000" w:rsidRDefault="00000000">
      <w:pPr>
        <w:spacing w:after="100"/>
      </w:pPr>
    </w:p>
    <w:p w14:paraId="22ED14E0" w14:textId="77777777" w:rsidR="00000000" w:rsidRDefault="00000000">
      <w:pPr>
        <w:pStyle w:val="Heading2"/>
      </w:pPr>
      <w:r>
        <w:t>On Documentation and Traceability</w:t>
      </w:r>
    </w:p>
    <w:p w14:paraId="22ED14E1" w14:textId="77777777" w:rsidR="00000000" w:rsidRDefault="00000000">
      <w:pPr>
        <w:pStyle w:val="ListParagraph"/>
        <w:numPr>
          <w:ilvl w:val="0"/>
          <w:numId w:val="3"/>
        </w:numPr>
      </w:pPr>
      <w:r>
        <w:t>“If we pulled your workpapers for an assessment where documentation was sparse, what would we see? How do you document your reasoning when evidence is thin?”</w:t>
      </w:r>
    </w:p>
    <w:p w14:paraId="22ED14E2" w14:textId="77777777" w:rsidR="00000000" w:rsidRDefault="00000000">
      <w:pPr>
        <w:pStyle w:val="ListParagraph"/>
        <w:numPr>
          <w:ilvl w:val="0"/>
          <w:numId w:val="3"/>
        </w:numPr>
      </w:pPr>
      <w:r>
        <w:t>“How does a finding based on interview evidence versus a finding based on documented policy look different in your deliverables?”</w:t>
      </w:r>
    </w:p>
    <w:p w14:paraId="22ED14E3" w14:textId="77777777" w:rsidR="00000000" w:rsidRDefault="00000000">
      <w:pPr>
        <w:spacing w:after="100"/>
      </w:pPr>
    </w:p>
    <w:p w14:paraId="22ED14E4" w14:textId="77777777" w:rsidR="00000000" w:rsidRDefault="00000000">
      <w:pPr>
        <w:pStyle w:val="Heading2"/>
      </w:pPr>
      <w:r>
        <w:t>On Escalation</w:t>
      </w:r>
    </w:p>
    <w:p w14:paraId="22ED14E5" w14:textId="77777777" w:rsidR="00000000" w:rsidRDefault="00000000">
      <w:pPr>
        <w:pStyle w:val="ListParagraph"/>
        <w:numPr>
          <w:ilvl w:val="0"/>
          <w:numId w:val="3"/>
        </w:numPr>
      </w:pPr>
      <w:r>
        <w:t>“You’ve been trying to get access to an agency’s security documentation for two weeks and the agency contact is unresponsive. The ISO is helpful but doesn’t have the documents either. What’s your next move?”</w:t>
      </w:r>
    </w:p>
    <w:p w14:paraId="22ED14E6" w14:textId="77777777" w:rsidR="00000000" w:rsidRDefault="00000000">
      <w:pPr>
        <w:pStyle w:val="ListParagraph"/>
        <w:numPr>
          <w:ilvl w:val="0"/>
          <w:numId w:val="3"/>
        </w:numPr>
      </w:pPr>
      <w:r>
        <w:t xml:space="preserve">“At what point do you flag to </w:t>
      </w:r>
      <w:proofErr w:type="spellStart"/>
      <w:r>
        <w:t>DoIT</w:t>
      </w:r>
      <w:proofErr w:type="spellEnd"/>
      <w:r>
        <w:t xml:space="preserve"> that an agency’s lack of documentation is making a credible assessment impossible?”</w:t>
      </w:r>
    </w:p>
    <w:p w14:paraId="22ED14E7" w14:textId="77777777" w:rsidR="00000000" w:rsidRDefault="00000000">
      <w:pPr>
        <w:spacing w:after="100"/>
      </w:pPr>
    </w:p>
    <w:p w14:paraId="22ED14E8" w14:textId="77777777" w:rsidR="00000000" w:rsidRDefault="00000000">
      <w:pPr>
        <w:pStyle w:val="Heading2"/>
      </w:pPr>
      <w:r>
        <w:t>The Curveball</w:t>
      </w:r>
    </w:p>
    <w:p w14:paraId="22ED14E9" w14:textId="77777777" w:rsidR="00000000" w:rsidRDefault="00000000">
      <w:pPr>
        <w:pStyle w:val="ListParagraph"/>
        <w:numPr>
          <w:ilvl w:val="0"/>
          <w:numId w:val="3"/>
        </w:numPr>
      </w:pPr>
      <w:r>
        <w:t>“You complete an assessment and give an agency a Level 2 on a control. The agency pushes back hard — they say you didn’t have enough information to score them that low and you missed evidence they had but didn’t share in time. How do you handle that?”</w:t>
      </w:r>
    </w:p>
    <w:p w14:paraId="22ED14EA" w14:textId="77777777" w:rsidR="00000000" w:rsidRDefault="00000000">
      <w:pPr>
        <w:pStyle w:val="ListParagraph"/>
        <w:numPr>
          <w:ilvl w:val="0"/>
          <w:numId w:val="3"/>
        </w:numPr>
        <w:shd w:val="clear" w:color="auto" w:fill="E8F5E9"/>
      </w:pPr>
      <w:r>
        <w:rPr>
          <w:b/>
          <w:bCs/>
          <w:color w:val="2E7D32"/>
        </w:rPr>
        <w:t xml:space="preserve">PREP NOTE: </w:t>
      </w:r>
      <w:r>
        <w:rPr>
          <w:color w:val="2E7D32"/>
        </w:rPr>
        <w:t xml:space="preserve">The proposal’s answer is in F.5.5 (State Review and Acceptance Support) and F.4.2 item 3 (draft deliverables shared with ISO for factual validation). The agency had a chance to surface that evidence during the draft review. If they didn’t, the score stands based on what was available. If they produce credible evidence after the fact, you </w:t>
      </w:r>
      <w:r>
        <w:rPr>
          <w:color w:val="2E7D32"/>
        </w:rPr>
        <w:lastRenderedPageBreak/>
        <w:t>have a process to incorporate it — but the burden was on them during the assessment window.</w:t>
      </w:r>
    </w:p>
    <w:p w14:paraId="22ED14EB" w14:textId="77777777" w:rsidR="00000000" w:rsidRDefault="00000000">
      <w:r>
        <w:br w:type="page"/>
      </w:r>
    </w:p>
    <w:p w14:paraId="22ED14EC" w14:textId="77777777" w:rsidR="00000000" w:rsidRDefault="00000000">
      <w:pPr>
        <w:pStyle w:val="Heading1"/>
      </w:pPr>
      <w:r>
        <w:lastRenderedPageBreak/>
        <w:t>CHANGE LOG</w:t>
      </w:r>
    </w:p>
    <w:p w14:paraId="22ED14ED" w14:textId="77777777" w:rsidR="00000000" w:rsidRDefault="00000000">
      <w:r>
        <w:rPr>
          <w:i/>
          <w:iCs/>
        </w:rPr>
        <w:t>Changes from original outline, verified against Assurit_Tech_Reduced.pdf:</w:t>
      </w:r>
    </w:p>
    <w:p w14:paraId="22ED14EE" w14:textId="77777777" w:rsidR="00000000" w:rsidRDefault="0000000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D72AB3" w14:paraId="22ED14F2" w14:textId="77777777">
        <w:tc>
          <w:tcPr>
            <w:tcW w:w="6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2ED14EF" w14:textId="77777777" w:rsidR="00000000"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2ED14F0" w14:textId="77777777" w:rsidR="00000000" w:rsidRDefault="00000000">
            <w:r>
              <w:rPr>
                <w:b/>
                <w:bCs/>
                <w:color w:val="FFFFFF"/>
                <w:sz w:val="20"/>
                <w:szCs w:val="20"/>
              </w:rPr>
              <w:t>Item</w:t>
            </w:r>
          </w:p>
        </w:tc>
        <w:tc>
          <w:tcPr>
            <w:tcW w:w="5960" w:type="dxa"/>
            <w:tcBorders>
              <w:top w:val="single" w:sz="1" w:space="0" w:color="CCCCCC"/>
              <w:left w:val="single" w:sz="1" w:space="0" w:color="CCCCCC"/>
              <w:bottom w:val="single" w:sz="1" w:space="0" w:color="CCCCCC"/>
              <w:right w:val="single" w:sz="1" w:space="0" w:color="CCCCCC"/>
            </w:tcBorders>
            <w:shd w:val="clear" w:color="auto" w:fill="333333"/>
            <w:tcMar>
              <w:top w:w="80" w:type="dxa"/>
              <w:left w:w="120" w:type="dxa"/>
              <w:bottom w:w="80" w:type="dxa"/>
              <w:right w:w="120" w:type="dxa"/>
            </w:tcMar>
          </w:tcPr>
          <w:p w14:paraId="22ED14F1" w14:textId="77777777" w:rsidR="00000000" w:rsidRDefault="00000000">
            <w:r>
              <w:rPr>
                <w:b/>
                <w:bCs/>
                <w:color w:val="FFFFFF"/>
                <w:sz w:val="20"/>
                <w:szCs w:val="20"/>
              </w:rPr>
              <w:t>Change Description</w:t>
            </w:r>
          </w:p>
        </w:tc>
      </w:tr>
      <w:tr w:rsidR="00D72AB3" w14:paraId="22ED14F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4F3" w14:textId="77777777" w:rsidR="00000000"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ED14F4"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4F5" w14:textId="77777777" w:rsidR="00000000" w:rsidRDefault="00000000">
            <w:r>
              <w:rPr>
                <w:sz w:val="20"/>
                <w:szCs w:val="20"/>
              </w:rPr>
              <w:t>Added Security Data Specialist role (F.4.2, G.3.2) to traceability section. This role manages evidence lifecycle, maintains artifact repositories, and operates the Evidence Collection Matrix and Artifact Submission Log — directly relevant to Q3’s workpapers question.</w:t>
            </w:r>
          </w:p>
        </w:tc>
      </w:tr>
      <w:tr w:rsidR="00D72AB3" w14:paraId="22ED14F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4F7" w14:textId="77777777" w:rsidR="00000000"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ED14F8"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4F9" w14:textId="77777777" w:rsidR="00000000" w:rsidRDefault="00000000">
            <w:r>
              <w:rPr>
                <w:sz w:val="20"/>
                <w:szCs w:val="20"/>
              </w:rPr>
              <w:t>Added prep warning on evidence hierarchy. Proposal does not spell out explicit weighting (artifacts &gt; interviews &gt; self-reports). Presenter must articulate this clearly and confirm it matches actual scoring practice.</w:t>
            </w:r>
          </w:p>
        </w:tc>
      </w:tr>
      <w:tr w:rsidR="00D72AB3" w14:paraId="22ED14F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4FB" w14:textId="77777777" w:rsidR="00000000"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ED14FC"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4FD" w14:textId="77777777" w:rsidR="00000000" w:rsidRDefault="00000000">
            <w:r>
              <w:rPr>
                <w:sz w:val="20"/>
                <w:szCs w:val="20"/>
              </w:rPr>
              <w:t>Added ISO draft review as validation check for sparse-documentation environments. Per F.4.2 item 3, draft deliverables are shared with ISO for factual validation — critical accuracy check when evidence is thin.</w:t>
            </w:r>
          </w:p>
        </w:tc>
      </w:tr>
      <w:tr w:rsidR="00D72AB3" w14:paraId="22ED150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4FF" w14:textId="77777777" w:rsidR="00000000"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ED1500"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501" w14:textId="77777777" w:rsidR="00000000" w:rsidRDefault="00000000">
            <w:r>
              <w:rPr>
                <w:sz w:val="20"/>
                <w:szCs w:val="20"/>
              </w:rPr>
              <w:t>Added curveball prep note grounding the “agency pushback” answer in F.5.5 (State Review and Acceptance Support) and the draft review process.</w:t>
            </w:r>
          </w:p>
        </w:tc>
      </w:tr>
      <w:tr w:rsidR="00D72AB3" w14:paraId="22ED150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503" w14:textId="77777777" w:rsidR="00000000"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ED1504" w14:textId="77777777" w:rsidR="00000000" w:rsidRDefault="00000000">
            <w:r>
              <w:rPr>
                <w:b/>
                <w:bCs/>
                <w:color w:val="2E7D32"/>
                <w:sz w:val="20"/>
                <w:szCs w:val="20"/>
              </w:rPr>
              <w:t>Addition</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D1505" w14:textId="77777777" w:rsidR="00000000" w:rsidRDefault="00000000">
            <w:r>
              <w:rPr>
                <w:sz w:val="20"/>
                <w:szCs w:val="20"/>
              </w:rPr>
              <w:t>Added proposal-specific language for no-technical-testing boundary: “non-intrusive approach” framing from F.2.</w:t>
            </w:r>
          </w:p>
        </w:tc>
      </w:tr>
    </w:tbl>
    <w:p w14:paraId="22ED1507" w14:textId="77777777" w:rsidR="00000000" w:rsidRDefault="00000000"/>
    <w:p w14:paraId="512A879A" w14:textId="77777777" w:rsidR="00000000" w:rsidRDefault="00000000">
      <w:pPr>
        <w:pStyle w:val="Heading1"/>
      </w:pPr>
      <w:r>
        <w:t>ORAL PRESENTATION PREP</w:t>
      </w:r>
    </w:p>
    <w:p w14:paraId="512A879B" w14:textId="77777777" w:rsidR="00000000" w:rsidRDefault="00000000">
      <w:pPr>
        <w:pStyle w:val="Heading2"/>
      </w:pPr>
      <w:r>
        <w:t>Section 2, Question 4: Tools, GRC Platforms &amp; ServiceNow</w:t>
      </w:r>
    </w:p>
    <w:p w14:paraId="512A879C" w14:textId="77777777" w:rsidR="00000000" w:rsidRDefault="00000000">
      <w:pPr>
        <w:spacing w:after="200"/>
      </w:pPr>
      <w:r>
        <w:t xml:space="preserve">Updated March 31, </w:t>
      </w:r>
      <w:proofErr w:type="gramStart"/>
      <w:r>
        <w:t>2026  |</w:t>
      </w:r>
      <w:proofErr w:type="gramEnd"/>
      <w:r>
        <w:t xml:space="preserve">  Verified Against Proposal and Team Input</w:t>
      </w:r>
    </w:p>
    <w:p w14:paraId="512A879D" w14:textId="77777777" w:rsidR="00000000" w:rsidRDefault="00000000">
      <w:pPr>
        <w:pStyle w:val="Heading1"/>
      </w:pPr>
      <w:r>
        <w:t>THE ASK</w:t>
      </w:r>
    </w:p>
    <w:p w14:paraId="512A879E" w14:textId="77777777" w:rsidR="00000000" w:rsidRDefault="00000000">
      <w:pPr>
        <w:spacing w:after="200"/>
      </w:pPr>
      <w:r>
        <w:rPr>
          <w:b/>
          <w:bCs/>
        </w:rPr>
        <w:t xml:space="preserve">What they’re really asking: </w:t>
      </w:r>
      <w:r>
        <w:t xml:space="preserve">This is the “can you actually plug into our system” question. The panel knows ServiceNow GRC is the system of </w:t>
      </w:r>
      <w:proofErr w:type="gramStart"/>
      <w:r>
        <w:t>record</w:t>
      </w:r>
      <w:proofErr w:type="gramEnd"/>
      <w:r>
        <w:t xml:space="preserve"> and they’ve held back technical details until post-award. They’re not expecting a demo. They want to </w:t>
      </w:r>
      <w:proofErr w:type="gramStart"/>
      <w:r>
        <w:t>know:</w:t>
      </w:r>
      <w:proofErr w:type="gramEnd"/>
      <w:r>
        <w:t xml:space="preserve"> do you have a mature data management approach, are you flexible enough to adapt to whatever specs they hand you after award, and will the dashboards </w:t>
      </w:r>
      <w:proofErr w:type="gramStart"/>
      <w:r>
        <w:t>actually be</w:t>
      </w:r>
      <w:proofErr w:type="gramEnd"/>
      <w:r>
        <w:t xml:space="preserve"> useful — not just pretty.</w:t>
      </w:r>
    </w:p>
    <w:p w14:paraId="512A879F" w14:textId="77777777" w:rsidR="00000000" w:rsidRDefault="00000000">
      <w:pPr>
        <w:spacing w:after="200"/>
      </w:pPr>
      <w:r>
        <w:rPr>
          <w:b/>
          <w:bCs/>
        </w:rPr>
        <w:t>Three threads:</w:t>
      </w:r>
    </w:p>
    <w:p w14:paraId="512A87A0" w14:textId="77777777" w:rsidR="00000000" w:rsidRDefault="00000000">
      <w:pPr>
        <w:pStyle w:val="ListParagraph"/>
        <w:numPr>
          <w:ilvl w:val="0"/>
          <w:numId w:val="5"/>
        </w:numPr>
        <w:spacing w:after="80"/>
      </w:pPr>
      <w:r>
        <w:t>What is your platform for managing assessment data, evidence, agency interaction, and program execution?</w:t>
      </w:r>
    </w:p>
    <w:p w14:paraId="512A87A1" w14:textId="77777777" w:rsidR="00000000" w:rsidRDefault="00000000">
      <w:pPr>
        <w:pStyle w:val="ListParagraph"/>
        <w:numPr>
          <w:ilvl w:val="0"/>
          <w:numId w:val="5"/>
        </w:numPr>
        <w:spacing w:after="80"/>
      </w:pPr>
      <w:r>
        <w:t>How will you get that data into ServiceNow in whatever format they need?</w:t>
      </w:r>
    </w:p>
    <w:p w14:paraId="512A87A2" w14:textId="77777777" w:rsidR="00000000" w:rsidRDefault="00000000">
      <w:pPr>
        <w:pStyle w:val="ListParagraph"/>
        <w:numPr>
          <w:ilvl w:val="0"/>
          <w:numId w:val="5"/>
        </w:numPr>
        <w:spacing w:after="200"/>
      </w:pPr>
      <w:r>
        <w:t xml:space="preserve">What do the dashboards and reporting </w:t>
      </w:r>
      <w:proofErr w:type="gramStart"/>
      <w:r>
        <w:t>actually look</w:t>
      </w:r>
      <w:proofErr w:type="gramEnd"/>
      <w:r>
        <w:t xml:space="preserve"> like, and how does historical tracking work?</w:t>
      </w:r>
    </w:p>
    <w:p w14:paraId="512A87A3" w14:textId="77777777" w:rsidR="00000000" w:rsidRDefault="00000000">
      <w:pPr>
        <w:pStyle w:val="Heading1"/>
      </w:pPr>
      <w:r>
        <w:lastRenderedPageBreak/>
        <w:t>Must-Hit Items for Your Response</w:t>
      </w:r>
    </w:p>
    <w:p w14:paraId="512A87A4" w14:textId="77777777" w:rsidR="00000000" w:rsidRDefault="00000000">
      <w:pPr>
        <w:pStyle w:val="Heading2"/>
      </w:pPr>
      <w:r>
        <w:t>1. Your Custom Assessment Management Platform</w:t>
      </w:r>
    </w:p>
    <w:p w14:paraId="512A87A5" w14:textId="77777777" w:rsidR="00000000" w:rsidRDefault="00000000">
      <w:pPr>
        <w:spacing w:after="200"/>
      </w:pPr>
      <w:r>
        <w:t>This is the lead story and the biggest differentiator. Assurit built a custom web application — purpose-built for managing cybersecurity assessments at scale. This is not a shared drive, not a repurposed project management tool, and not a collection of spreadsheets. It is the single operational hub for the Maryland program.</w:t>
      </w:r>
    </w:p>
    <w:p w14:paraId="512A87A6" w14:textId="77777777" w:rsidR="00000000" w:rsidRDefault="00000000">
      <w:pPr>
        <w:spacing w:after="200"/>
      </w:pPr>
      <w:r>
        <w:rPr>
          <w:b/>
          <w:bCs/>
        </w:rPr>
        <w:t>Key points to hit:</w:t>
      </w:r>
    </w:p>
    <w:p w14:paraId="512A87A7" w14:textId="77777777" w:rsidR="00000000" w:rsidRDefault="00000000">
      <w:pPr>
        <w:pStyle w:val="ListParagraph"/>
        <w:numPr>
          <w:ilvl w:val="0"/>
          <w:numId w:val="6"/>
        </w:numPr>
        <w:spacing w:after="80"/>
      </w:pPr>
      <w:r>
        <w:t>Custom-built on modern web technologies, designed specifically for Maryland and this assessment process</w:t>
      </w:r>
    </w:p>
    <w:p w14:paraId="512A87A8" w14:textId="77777777" w:rsidR="00000000" w:rsidRDefault="00000000">
      <w:pPr>
        <w:pStyle w:val="ListParagraph"/>
        <w:numPr>
          <w:ilvl w:val="0"/>
          <w:numId w:val="6"/>
        </w:numPr>
        <w:spacing w:after="80"/>
      </w:pPr>
      <w:r>
        <w:t>Manages scheduling, monitoring, task tracking, evidence collection, scoring, and reporting — all in one system</w:t>
      </w:r>
    </w:p>
    <w:p w14:paraId="512A87A9" w14:textId="77777777" w:rsidR="00000000" w:rsidRDefault="00000000">
      <w:pPr>
        <w:pStyle w:val="ListParagraph"/>
        <w:numPr>
          <w:ilvl w:val="0"/>
          <w:numId w:val="6"/>
        </w:numPr>
        <w:spacing w:after="80"/>
      </w:pPr>
      <w:r>
        <w:t>Executes the ANCHOR lifecycle within the platform — each phase’s inputs, outputs, and quality gates are built into the workflow</w:t>
      </w:r>
    </w:p>
    <w:p w14:paraId="512A87AA" w14:textId="77777777" w:rsidR="00000000" w:rsidRDefault="00000000">
      <w:pPr>
        <w:pStyle w:val="ListParagraph"/>
        <w:numPr>
          <w:ilvl w:val="0"/>
          <w:numId w:val="6"/>
        </w:numPr>
        <w:spacing w:after="80"/>
      </w:pPr>
      <w:r>
        <w:t>Currently deployed internally; upon award, will be deployed in a secure environment meeting all RFP security and access requirements</w:t>
      </w:r>
    </w:p>
    <w:p w14:paraId="512A87AB" w14:textId="77777777" w:rsidR="00000000" w:rsidRDefault="00000000">
      <w:pPr>
        <w:spacing w:after="200"/>
      </w:pPr>
    </w:p>
    <w:p w14:paraId="512A87AC" w14:textId="77777777" w:rsidR="00000000" w:rsidRDefault="00000000">
      <w:pPr>
        <w:spacing w:after="200"/>
      </w:pPr>
      <w:r>
        <w:rPr>
          <w:b/>
          <w:bCs/>
          <w:color w:val="C00000"/>
        </w:rPr>
        <w:t xml:space="preserve">⚠️ CRITICAL FRAMING — </w:t>
      </w:r>
      <w:r>
        <w:t>Lead with confidence. This is an existing, operational tool — not a post-award build promise. The secure deployment environment is post-award, but the application itself is built and working. The presenter should convey: “We built this tool. It runs our assessment process today. When awarded, we deploy it into a secure environment that meets your requirements.”</w:t>
      </w:r>
    </w:p>
    <w:p w14:paraId="512A87AD" w14:textId="77777777" w:rsidR="00000000" w:rsidRDefault="00000000">
      <w:pPr>
        <w:pStyle w:val="Heading2"/>
      </w:pPr>
      <w:r>
        <w:t>2. Agency-Facing Capabilities</w:t>
      </w:r>
    </w:p>
    <w:p w14:paraId="512A87AE" w14:textId="77777777" w:rsidR="00000000" w:rsidRDefault="00000000">
      <w:pPr>
        <w:spacing w:after="200"/>
      </w:pPr>
      <w:r>
        <w:t>The platform is not just an internal management tool — it is the collaboration layer between Assurit and every agency. This is a differentiator most competitors won’t have.</w:t>
      </w:r>
    </w:p>
    <w:p w14:paraId="512A87AF" w14:textId="77777777" w:rsidR="00000000" w:rsidRDefault="00000000">
      <w:pPr>
        <w:pStyle w:val="ListParagraph"/>
        <w:numPr>
          <w:ilvl w:val="0"/>
          <w:numId w:val="6"/>
        </w:numPr>
        <w:spacing w:after="80"/>
      </w:pPr>
      <w:r>
        <w:t>Agencies upload artifacts, respond to assessment questions, and provide documentation directly through the platform</w:t>
      </w:r>
    </w:p>
    <w:p w14:paraId="512A87B0" w14:textId="77777777" w:rsidR="00000000" w:rsidRDefault="00000000">
      <w:pPr>
        <w:pStyle w:val="ListParagraph"/>
        <w:numPr>
          <w:ilvl w:val="0"/>
          <w:numId w:val="6"/>
        </w:numPr>
        <w:spacing w:after="80"/>
      </w:pPr>
      <w:r>
        <w:t>Agency representatives and executives have direct access to all data and responses their agency has provided</w:t>
      </w:r>
    </w:p>
    <w:p w14:paraId="512A87B1" w14:textId="77777777" w:rsidR="00000000" w:rsidRDefault="00000000">
      <w:pPr>
        <w:pStyle w:val="ListParagraph"/>
        <w:numPr>
          <w:ilvl w:val="0"/>
          <w:numId w:val="6"/>
        </w:numPr>
        <w:spacing w:after="80"/>
      </w:pPr>
      <w:r>
        <w:t>Agency leadership can see exactly what was submitted, what has been reviewed, and where their assessment stands — no waiting for status emails</w:t>
      </w:r>
    </w:p>
    <w:p w14:paraId="512A87B2" w14:textId="77777777" w:rsidR="00000000" w:rsidRDefault="00000000">
      <w:pPr>
        <w:spacing w:after="200"/>
      </w:pPr>
    </w:p>
    <w:p w14:paraId="512A87B3" w14:textId="77777777" w:rsidR="00000000" w:rsidRDefault="00000000">
      <w:pPr>
        <w:spacing w:after="200"/>
      </w:pPr>
      <w:r>
        <w:rPr>
          <w:i/>
          <w:iCs/>
          <w:color w:val="4472C4"/>
        </w:rPr>
        <w:t>Recommended framing: “Agencies aren’t emailing us spreadsheets. They log into our platform, upload their artifacts, respond to our questions, and see their assessment status in real time. Their executives can see everything their team has submitted.”</w:t>
      </w:r>
    </w:p>
    <w:p w14:paraId="512A87B4" w14:textId="77777777" w:rsidR="00000000" w:rsidRDefault="00000000">
      <w:pPr>
        <w:pStyle w:val="Heading2"/>
      </w:pPr>
      <w:r>
        <w:t xml:space="preserve">3. State Visibility — What </w:t>
      </w:r>
      <w:proofErr w:type="spellStart"/>
      <w:r>
        <w:t>DoIT</w:t>
      </w:r>
      <w:proofErr w:type="spellEnd"/>
      <w:r>
        <w:t xml:space="preserve"> and OSM See</w:t>
      </w:r>
    </w:p>
    <w:p w14:paraId="512A87B5" w14:textId="77777777" w:rsidR="00000000" w:rsidRDefault="00000000">
      <w:pPr>
        <w:spacing w:after="200"/>
      </w:pPr>
      <w:r>
        <w:t xml:space="preserve">The State doesn’t wait for reports. </w:t>
      </w:r>
      <w:proofErr w:type="spellStart"/>
      <w:r>
        <w:t>DoIT</w:t>
      </w:r>
      <w:proofErr w:type="spellEnd"/>
      <w:r>
        <w:t xml:space="preserve"> and OSM have access to the same system the assessment teams are working in.</w:t>
      </w:r>
    </w:p>
    <w:p w14:paraId="512A87B6" w14:textId="77777777" w:rsidR="00000000" w:rsidRDefault="00000000">
      <w:pPr>
        <w:pStyle w:val="ListParagraph"/>
        <w:numPr>
          <w:ilvl w:val="0"/>
          <w:numId w:val="6"/>
        </w:numPr>
        <w:spacing w:after="80"/>
      </w:pPr>
      <w:r>
        <w:lastRenderedPageBreak/>
        <w:t>All assessments, all agency responses, all assessor notes, and all supporting documents are visible to State users</w:t>
      </w:r>
    </w:p>
    <w:p w14:paraId="512A87B7" w14:textId="77777777" w:rsidR="00000000" w:rsidRDefault="00000000">
      <w:pPr>
        <w:pStyle w:val="ListParagraph"/>
        <w:numPr>
          <w:ilvl w:val="0"/>
          <w:numId w:val="6"/>
        </w:numPr>
        <w:spacing w:after="80"/>
      </w:pPr>
      <w:r>
        <w:t>Dashboarding and data tools as outlined in the RFP are built into the platform</w:t>
      </w:r>
    </w:p>
    <w:p w14:paraId="512A87B8" w14:textId="77777777" w:rsidR="00000000" w:rsidRDefault="00000000">
      <w:pPr>
        <w:pStyle w:val="ListParagraph"/>
        <w:numPr>
          <w:ilvl w:val="0"/>
          <w:numId w:val="6"/>
        </w:numPr>
        <w:spacing w:after="80"/>
      </w:pPr>
      <w:r>
        <w:t>Agency-level views: maturity scores by CSF function, findings detail, prioritized recommendations</w:t>
      </w:r>
    </w:p>
    <w:p w14:paraId="512A87B9" w14:textId="77777777" w:rsidR="00000000" w:rsidRDefault="00000000">
      <w:pPr>
        <w:pStyle w:val="ListParagraph"/>
        <w:numPr>
          <w:ilvl w:val="0"/>
          <w:numId w:val="6"/>
        </w:numPr>
        <w:spacing w:after="80"/>
      </w:pPr>
      <w:r>
        <w:t xml:space="preserve">Statewide views: maturity heat maps across agencies, trend lines over time, </w:t>
      </w:r>
      <w:proofErr w:type="gramStart"/>
      <w:r>
        <w:t>drill-downs</w:t>
      </w:r>
      <w:proofErr w:type="gramEnd"/>
      <w:r>
        <w:t xml:space="preserve"> by control family or agency size</w:t>
      </w:r>
    </w:p>
    <w:p w14:paraId="512A87BA" w14:textId="77777777" w:rsidR="00000000" w:rsidRDefault="00000000">
      <w:pPr>
        <w:pStyle w:val="ListParagraph"/>
        <w:numPr>
          <w:ilvl w:val="0"/>
          <w:numId w:val="6"/>
        </w:numPr>
        <w:spacing w:after="80"/>
      </w:pPr>
      <w:r>
        <w:t>Anonymized benchmarking: agencies see how they compare to similar-sized peers without seeing specific agency data (Q65)</w:t>
      </w:r>
    </w:p>
    <w:p w14:paraId="512A87BB" w14:textId="77777777" w:rsidR="00000000" w:rsidRDefault="00000000">
      <w:pPr>
        <w:pStyle w:val="ListParagraph"/>
        <w:numPr>
          <w:ilvl w:val="0"/>
          <w:numId w:val="6"/>
        </w:numPr>
        <w:spacing w:after="80"/>
      </w:pPr>
      <w:r>
        <w:t>Historical trending: prior assessment data from the State integrated alongside new results</w:t>
      </w:r>
    </w:p>
    <w:p w14:paraId="512A87BC" w14:textId="77777777" w:rsidR="00000000" w:rsidRDefault="00000000">
      <w:pPr>
        <w:spacing w:after="200"/>
      </w:pPr>
    </w:p>
    <w:p w14:paraId="512A87BD" w14:textId="77777777" w:rsidR="00000000" w:rsidRDefault="00000000">
      <w:pPr>
        <w:spacing w:after="200"/>
      </w:pPr>
      <w:r>
        <w:rPr>
          <w:b/>
          <w:bCs/>
          <w:color w:val="C00000"/>
        </w:rPr>
        <w:t xml:space="preserve">⚠️ PREP NOTE — Dashboard Design Constraints from Q&amp;A: </w:t>
      </w:r>
      <w:r>
        <w:t>The following specs are NOT in the proposal but show you’ve done homework. Weave them in as understanding of State requirements — don’t volunteer as firm commitments: Real-time means within 24 hours (Q29). Page load under 10 seconds (Q30). Under 20 concurrent users (Q30/Q129). SSO/SAML integration with Entra (Q50/Q138). Mobile responsive (Q50).</w:t>
      </w:r>
    </w:p>
    <w:p w14:paraId="512A87BE" w14:textId="77777777" w:rsidR="00000000" w:rsidRDefault="00000000">
      <w:pPr>
        <w:pStyle w:val="Heading2"/>
      </w:pPr>
      <w:r>
        <w:t>4. Data Model and ServiceNow GRC Integration</w:t>
      </w:r>
    </w:p>
    <w:p w14:paraId="512A87BF" w14:textId="77777777" w:rsidR="00000000" w:rsidRDefault="00000000">
      <w:pPr>
        <w:spacing w:after="200"/>
      </w:pPr>
      <w:r>
        <w:t>The platform’s data model was designed from the ground up for integration with ServiceNow GRC. This is the strongest version of the integration story — you didn’t structure data for portability and hope it would map; you architected for ServiceNow specifically.</w:t>
      </w:r>
    </w:p>
    <w:p w14:paraId="512A87C0" w14:textId="77777777" w:rsidR="00000000" w:rsidRDefault="00000000">
      <w:pPr>
        <w:pStyle w:val="ListParagraph"/>
        <w:numPr>
          <w:ilvl w:val="0"/>
          <w:numId w:val="6"/>
        </w:numPr>
        <w:spacing w:after="80"/>
      </w:pPr>
      <w:r>
        <w:t>Data model designed to integrate directly with ServiceNow GRC</w:t>
      </w:r>
    </w:p>
    <w:p w14:paraId="512A87C1" w14:textId="77777777" w:rsidR="00000000" w:rsidRDefault="00000000">
      <w:pPr>
        <w:pStyle w:val="ListParagraph"/>
        <w:numPr>
          <w:ilvl w:val="0"/>
          <w:numId w:val="6"/>
        </w:numPr>
        <w:spacing w:after="80"/>
      </w:pPr>
      <w:r>
        <w:t>Upon award, Assurit will build the API to map directly to the State’s ServiceNow schema and endpoints</w:t>
      </w:r>
    </w:p>
    <w:p w14:paraId="512A87C2" w14:textId="77777777" w:rsidR="00000000" w:rsidRDefault="00000000">
      <w:pPr>
        <w:pStyle w:val="ListParagraph"/>
        <w:numPr>
          <w:ilvl w:val="0"/>
          <w:numId w:val="6"/>
        </w:numPr>
        <w:spacing w:after="80"/>
      </w:pPr>
      <w:r>
        <w:t>Data is structured from day one in State-compatible formats — JSON, XML, CSV (Q24)</w:t>
      </w:r>
    </w:p>
    <w:p w14:paraId="512A87C3" w14:textId="77777777" w:rsidR="00000000" w:rsidRDefault="00000000">
      <w:pPr>
        <w:pStyle w:val="ListParagraph"/>
        <w:numPr>
          <w:ilvl w:val="0"/>
          <w:numId w:val="6"/>
        </w:numPr>
        <w:spacing w:after="80"/>
      </w:pPr>
      <w:r>
        <w:t>Harmonize phase validates data formatting and GRC readiness before any deliverable reaches the State</w:t>
      </w:r>
    </w:p>
    <w:p w14:paraId="512A87C4" w14:textId="77777777" w:rsidR="00000000" w:rsidRDefault="00000000">
      <w:pPr>
        <w:pStyle w:val="ListParagraph"/>
        <w:numPr>
          <w:ilvl w:val="0"/>
          <w:numId w:val="6"/>
        </w:numPr>
        <w:spacing w:after="80"/>
      </w:pPr>
      <w:r>
        <w:t>Every assessment produces a GRC Import Package — structured, formatted, and ready for ingestion without rework</w:t>
      </w:r>
    </w:p>
    <w:p w14:paraId="512A87C5" w14:textId="77777777" w:rsidR="00000000" w:rsidRDefault="00000000">
      <w:pPr>
        <w:spacing w:after="200"/>
      </w:pPr>
    </w:p>
    <w:p w14:paraId="512A87C6" w14:textId="77777777" w:rsidR="00000000" w:rsidRDefault="00000000">
      <w:pPr>
        <w:spacing w:after="200"/>
      </w:pPr>
      <w:r>
        <w:rPr>
          <w:i/>
          <w:iCs/>
          <w:color w:val="4472C4"/>
        </w:rPr>
        <w:t>Recommended framing: “Our data model was designed for ServiceNow integration — that’s how we architected it. When we get the specs post-award, we’re building an API to map to your schema. We’re not cleaning up data or retrofitting — we’re connecting a system that was built for this.”</w:t>
      </w:r>
    </w:p>
    <w:p w14:paraId="512A87C7" w14:textId="77777777" w:rsidR="00000000" w:rsidRDefault="00000000">
      <w:pPr>
        <w:spacing w:after="200"/>
      </w:pPr>
      <w:r>
        <w:rPr>
          <w:b/>
          <w:bCs/>
          <w:color w:val="C00000"/>
        </w:rPr>
        <w:t xml:space="preserve">⚠️ PREP NOTE — ServiceNow Experience: </w:t>
      </w:r>
      <w:r>
        <w:t>The proposal does not claim specific ServiceNow module expertise or name prior ServiceNow integration projects. If team members have direct ServiceNow GRC experience, prepare specific examples (which modules, what type of integration). Generic claims won’t hold up if the panel probes.</w:t>
      </w:r>
    </w:p>
    <w:p w14:paraId="512A87C8" w14:textId="77777777" w:rsidR="00000000" w:rsidRDefault="00000000">
      <w:pPr>
        <w:pStyle w:val="Heading2"/>
      </w:pPr>
      <w:r>
        <w:t>5. Security and Deployment</w:t>
      </w:r>
    </w:p>
    <w:p w14:paraId="512A87C9" w14:textId="77777777" w:rsidR="00000000" w:rsidRDefault="00000000">
      <w:pPr>
        <w:spacing w:after="200"/>
      </w:pPr>
      <w:r>
        <w:lastRenderedPageBreak/>
        <w:t>Address the deployment model directly and confidently. The platform exists today; the secure deployment is post-award.</w:t>
      </w:r>
    </w:p>
    <w:p w14:paraId="512A87CA" w14:textId="77777777" w:rsidR="00000000" w:rsidRDefault="00000000">
      <w:pPr>
        <w:pStyle w:val="ListParagraph"/>
        <w:numPr>
          <w:ilvl w:val="0"/>
          <w:numId w:val="6"/>
        </w:numPr>
        <w:spacing w:after="80"/>
      </w:pPr>
      <w:r>
        <w:t xml:space="preserve">Currently deployed in </w:t>
      </w:r>
      <w:proofErr w:type="spellStart"/>
      <w:r>
        <w:t>Assurit’s</w:t>
      </w:r>
      <w:proofErr w:type="spellEnd"/>
      <w:r>
        <w:t xml:space="preserve"> internal environment</w:t>
      </w:r>
    </w:p>
    <w:p w14:paraId="512A87CB" w14:textId="77777777" w:rsidR="00000000" w:rsidRDefault="00000000">
      <w:pPr>
        <w:pStyle w:val="ListParagraph"/>
        <w:numPr>
          <w:ilvl w:val="0"/>
          <w:numId w:val="6"/>
        </w:numPr>
        <w:spacing w:after="80"/>
      </w:pPr>
      <w:r>
        <w:t>Upon award, deployed into a secure environment meeting all RFP requirements for security, access control, and data protection</w:t>
      </w:r>
    </w:p>
    <w:p w14:paraId="512A87CC" w14:textId="77777777" w:rsidR="00000000" w:rsidRDefault="00000000">
      <w:pPr>
        <w:pStyle w:val="ListParagraph"/>
        <w:numPr>
          <w:ilvl w:val="0"/>
          <w:numId w:val="6"/>
        </w:numPr>
        <w:spacing w:after="80"/>
      </w:pPr>
      <w:r>
        <w:t>Role-based access control: agency users see their data only; State users see everything</w:t>
      </w:r>
    </w:p>
    <w:p w14:paraId="512A87CD" w14:textId="77777777" w:rsidR="00000000" w:rsidRDefault="00000000">
      <w:pPr>
        <w:pStyle w:val="ListParagraph"/>
        <w:numPr>
          <w:ilvl w:val="0"/>
          <w:numId w:val="6"/>
        </w:numPr>
        <w:spacing w:after="80"/>
      </w:pPr>
      <w:r>
        <w:t>SSO/SAML integration with Entra</w:t>
      </w:r>
    </w:p>
    <w:p w14:paraId="512A87CE" w14:textId="77777777" w:rsidR="00000000" w:rsidRDefault="00000000">
      <w:pPr>
        <w:pStyle w:val="ListParagraph"/>
        <w:numPr>
          <w:ilvl w:val="0"/>
          <w:numId w:val="6"/>
        </w:numPr>
        <w:spacing w:after="80"/>
      </w:pPr>
      <w:r>
        <w:t>DR posture: geo-redundant hosting in U.S.-based regions, RPO ≤ 1 hour, RTO ≤ 24 hours</w:t>
      </w:r>
    </w:p>
    <w:p w14:paraId="512A87CF" w14:textId="77777777" w:rsidR="00000000" w:rsidRDefault="00000000">
      <w:pPr>
        <w:spacing w:after="200"/>
      </w:pPr>
    </w:p>
    <w:p w14:paraId="512A87D0" w14:textId="77777777" w:rsidR="00000000" w:rsidRDefault="00000000">
      <w:pPr>
        <w:spacing w:after="200"/>
      </w:pPr>
      <w:r>
        <w:rPr>
          <w:b/>
          <w:bCs/>
          <w:color w:val="C00000"/>
        </w:rPr>
        <w:t xml:space="preserve">⚠️ PREP NOTE — Hosting Environment: </w:t>
      </w:r>
      <w:r>
        <w:t>The specific hosting environment (Azure, AWS, GCP, etc.) has not been finalized. Do not name a specific cloud provider. Keep the language to “secure environment” and “meets all RFP security requirements.” If pressed by the panel, the honest answer is: “We will select the hosting environment that best meets the State’s security requirements. The platform is built on modern web technologies that are cloud-agnostic.”</w:t>
      </w:r>
    </w:p>
    <w:p w14:paraId="512A87D1" w14:textId="77777777" w:rsidR="00000000" w:rsidRDefault="00000000">
      <w:pPr>
        <w:pStyle w:val="Heading2"/>
      </w:pPr>
      <w:r>
        <w:t>6. Historical Data Integration</w:t>
      </w:r>
    </w:p>
    <w:p w14:paraId="512A87D2" w14:textId="77777777" w:rsidR="00000000" w:rsidRDefault="00000000">
      <w:pPr>
        <w:spacing w:after="200"/>
      </w:pPr>
      <w:r>
        <w:t>About 60 agencies previously assessed, some with 3 years of data in spreadsheets, databases, and PDFs (Q26). Data will be provided in a normalized state (Q27).</w:t>
      </w:r>
    </w:p>
    <w:p w14:paraId="512A87D3" w14:textId="77777777" w:rsidR="00000000" w:rsidRDefault="00000000">
      <w:pPr>
        <w:pStyle w:val="ListParagraph"/>
        <w:numPr>
          <w:ilvl w:val="0"/>
          <w:numId w:val="6"/>
        </w:numPr>
        <w:spacing w:after="80"/>
      </w:pPr>
      <w:r>
        <w:t>Prior assessment data is ingested into the platform and displayed alongside new results for trend analysis</w:t>
      </w:r>
    </w:p>
    <w:p w14:paraId="512A87D4" w14:textId="77777777" w:rsidR="00000000" w:rsidRDefault="00000000">
      <w:pPr>
        <w:pStyle w:val="ListParagraph"/>
        <w:numPr>
          <w:ilvl w:val="0"/>
          <w:numId w:val="6"/>
        </w:numPr>
        <w:spacing w:after="80"/>
      </w:pPr>
      <w:r>
        <w:t>The platform’s data model supports mapping legacy scoring to the current CMMI-based methodology</w:t>
      </w:r>
    </w:p>
    <w:p w14:paraId="512A87D5" w14:textId="77777777" w:rsidR="00000000" w:rsidRDefault="00000000">
      <w:pPr>
        <w:pStyle w:val="ListParagraph"/>
        <w:numPr>
          <w:ilvl w:val="0"/>
          <w:numId w:val="6"/>
        </w:numPr>
        <w:spacing w:after="80"/>
      </w:pPr>
      <w:r>
        <w:t>Historical data appears in the same dashboards and reporting views as current assessment results</w:t>
      </w:r>
    </w:p>
    <w:p w14:paraId="512A87D6" w14:textId="77777777" w:rsidR="00000000" w:rsidRDefault="00000000">
      <w:pPr>
        <w:spacing w:after="200"/>
      </w:pPr>
    </w:p>
    <w:p w14:paraId="512A87D7" w14:textId="77777777" w:rsidR="00000000" w:rsidRDefault="00000000">
      <w:pPr>
        <w:spacing w:after="200"/>
      </w:pPr>
      <w:r>
        <w:rPr>
          <w:b/>
          <w:bCs/>
          <w:color w:val="C00000"/>
        </w:rPr>
        <w:t xml:space="preserve">⚠️ PREP NOTE — Historical Data Ingestion: </w:t>
      </w:r>
      <w:r>
        <w:t>The proposal references trend analysis capability but does not describe an explicit plan for ingesting ~60 agencies’ prior assessment data in mixed formats. The presenter must be prepared to describe: (1) how legacy data gets mapped to your current data model, (2) how you handle comparability between prior scoring criteria and your CMMI-based methodology, and (3) timeline for historical data to appear alongside new results in dashboards.</w:t>
      </w:r>
    </w:p>
    <w:p w14:paraId="512A87D8" w14:textId="77777777" w:rsidR="00000000" w:rsidRDefault="00000000">
      <w:pPr>
        <w:pStyle w:val="Heading2"/>
      </w:pPr>
      <w:r>
        <w:t>7. Reporting Deliverables Beyond Dashboards</w:t>
      </w:r>
    </w:p>
    <w:p w14:paraId="512A87D9" w14:textId="77777777" w:rsidR="00000000" w:rsidRDefault="00000000">
      <w:pPr>
        <w:spacing w:after="200"/>
      </w:pPr>
      <w:r>
        <w:t>SARs, POA&amp;Ms, agency-level briefings, statewide roll-ups. Dashboards are one piece.</w:t>
      </w:r>
    </w:p>
    <w:p w14:paraId="512A87DA" w14:textId="77777777" w:rsidR="00000000" w:rsidRDefault="00000000">
      <w:pPr>
        <w:pStyle w:val="ListParagraph"/>
        <w:numPr>
          <w:ilvl w:val="0"/>
          <w:numId w:val="6"/>
        </w:numPr>
        <w:spacing w:after="80"/>
      </w:pPr>
      <w:r>
        <w:t>Closeout briefings with maturity results, key findings, and prioritized recommendations (RFP 2.3.1.C–D)</w:t>
      </w:r>
    </w:p>
    <w:p w14:paraId="512A87DB" w14:textId="77777777" w:rsidR="00000000" w:rsidRDefault="00000000">
      <w:pPr>
        <w:pStyle w:val="ListParagraph"/>
        <w:numPr>
          <w:ilvl w:val="0"/>
          <w:numId w:val="6"/>
        </w:numPr>
        <w:spacing w:after="80"/>
      </w:pPr>
      <w:r>
        <w:t>Agency and statewide dashboards (RFP 2.3.1.F–I)</w:t>
      </w:r>
    </w:p>
    <w:p w14:paraId="512A87DC" w14:textId="77777777" w:rsidR="00000000" w:rsidRDefault="00000000">
      <w:pPr>
        <w:pStyle w:val="ListParagraph"/>
        <w:numPr>
          <w:ilvl w:val="0"/>
          <w:numId w:val="6"/>
        </w:numPr>
        <w:spacing w:after="80"/>
      </w:pPr>
      <w:r>
        <w:t>GRC-ready data package for ServiceNow import (RFP 2.3.1.K)</w:t>
      </w:r>
    </w:p>
    <w:p w14:paraId="512A87DD" w14:textId="77777777" w:rsidR="00000000" w:rsidRDefault="00000000">
      <w:pPr>
        <w:pStyle w:val="ListParagraph"/>
        <w:numPr>
          <w:ilvl w:val="0"/>
          <w:numId w:val="6"/>
        </w:numPr>
        <w:spacing w:after="80"/>
      </w:pPr>
      <w:r>
        <w:t>Trend analysis and enterprise risk insights from the Optimize phase (RFP 2.3.1.J, L)</w:t>
      </w:r>
    </w:p>
    <w:p w14:paraId="512A87DE" w14:textId="77777777" w:rsidR="00000000" w:rsidRDefault="00000000">
      <w:pPr>
        <w:pStyle w:val="ListParagraph"/>
        <w:numPr>
          <w:ilvl w:val="0"/>
          <w:numId w:val="6"/>
        </w:numPr>
        <w:spacing w:after="80"/>
      </w:pPr>
      <w:r>
        <w:t>POA&amp;M support data to inform remediation planning</w:t>
      </w:r>
    </w:p>
    <w:p w14:paraId="512A87DF" w14:textId="77777777" w:rsidR="00000000" w:rsidRDefault="00000000">
      <w:pPr>
        <w:spacing w:after="200"/>
      </w:pPr>
    </w:p>
    <w:p w14:paraId="512A87E0" w14:textId="77777777" w:rsidR="00000000" w:rsidRDefault="00000000">
      <w:pPr>
        <w:spacing w:after="200"/>
      </w:pPr>
      <w:r>
        <w:t>All deliverables flow from the platform’s single dataset. One source of truth, multiple output formats.</w:t>
      </w:r>
    </w:p>
    <w:p w14:paraId="512A87E1" w14:textId="77777777" w:rsidR="00000000" w:rsidRDefault="00000000">
      <w:pPr>
        <w:pStyle w:val="Heading2"/>
      </w:pPr>
      <w:r>
        <w:t>8. Data Retention</w:t>
      </w:r>
    </w:p>
    <w:p w14:paraId="512A87E2" w14:textId="77777777" w:rsidR="00000000" w:rsidRDefault="00000000">
      <w:pPr>
        <w:spacing w:after="200"/>
      </w:pPr>
      <w:r>
        <w:t>Q31 confirmed you’re not required to retain and archive once data is transferred. Show your handoff process is clean and complete.</w:t>
      </w:r>
    </w:p>
    <w:p w14:paraId="512A87E3" w14:textId="77777777" w:rsidR="00000000" w:rsidRDefault="00000000">
      <w:pPr>
        <w:spacing w:after="200"/>
      </w:pPr>
      <w:r>
        <w:t xml:space="preserve">Data retention post-transfer is the State’s responsibility. </w:t>
      </w:r>
      <w:proofErr w:type="spellStart"/>
      <w:r>
        <w:t>Assurit’s</w:t>
      </w:r>
      <w:proofErr w:type="spellEnd"/>
      <w:r>
        <w:t xml:space="preserve"> handoff process ensures the data package is complete, validated, and documented before transfer.</w:t>
      </w:r>
    </w:p>
    <w:p w14:paraId="512A87E4" w14:textId="77777777" w:rsidR="00000000" w:rsidRDefault="00000000">
      <w:r>
        <w:br w:type="page"/>
      </w:r>
    </w:p>
    <w:p w14:paraId="512A87E5" w14:textId="77777777" w:rsidR="00000000" w:rsidRDefault="00000000">
      <w:pPr>
        <w:pStyle w:val="Heading1"/>
      </w:pPr>
      <w:r>
        <w:lastRenderedPageBreak/>
        <w:t>GOALS</w:t>
      </w:r>
    </w:p>
    <w:p w14:paraId="512A87E6" w14:textId="77777777" w:rsidR="00000000" w:rsidRDefault="00000000">
      <w:pPr>
        <w:pStyle w:val="ListParagraph"/>
        <w:numPr>
          <w:ilvl w:val="0"/>
          <w:numId w:val="6"/>
        </w:numPr>
        <w:spacing w:after="80"/>
      </w:pPr>
      <w:r>
        <w:t>Lead with the custom platform. This is your differentiator — you built the tool, it’s operational, and it manages everything end to end.</w:t>
      </w:r>
    </w:p>
    <w:p w14:paraId="512A87E7" w14:textId="77777777" w:rsidR="00000000" w:rsidRDefault="00000000">
      <w:pPr>
        <w:pStyle w:val="ListParagraph"/>
        <w:numPr>
          <w:ilvl w:val="0"/>
          <w:numId w:val="6"/>
        </w:numPr>
        <w:spacing w:after="80"/>
      </w:pPr>
      <w:r>
        <w:t>Show the agency experience. Agencies interact directly with the platform — uploading, responding, reviewing. This isn’t a one-way data collection exercise.</w:t>
      </w:r>
    </w:p>
    <w:p w14:paraId="512A87E8" w14:textId="77777777" w:rsidR="00000000" w:rsidRDefault="00000000">
      <w:pPr>
        <w:pStyle w:val="ListParagraph"/>
        <w:numPr>
          <w:ilvl w:val="0"/>
          <w:numId w:val="6"/>
        </w:numPr>
        <w:spacing w:after="80"/>
      </w:pPr>
      <w:r>
        <w:t>Show a data pipeline, not just a tool name. Evidence collection → structured data → GRC integration → dashboard visualization. End to end.</w:t>
      </w:r>
    </w:p>
    <w:p w14:paraId="512A87E9" w14:textId="77777777" w:rsidR="00000000" w:rsidRDefault="00000000">
      <w:pPr>
        <w:pStyle w:val="ListParagraph"/>
        <w:numPr>
          <w:ilvl w:val="0"/>
          <w:numId w:val="6"/>
        </w:numPr>
        <w:spacing w:after="80"/>
      </w:pPr>
      <w:r>
        <w:t>Demonstrate the ServiceNow integration story with confidence. The data model was designed for it. The API will be built to map directly. This is architecture, not hope.</w:t>
      </w:r>
    </w:p>
    <w:p w14:paraId="512A87EA" w14:textId="77777777" w:rsidR="00000000" w:rsidRDefault="00000000">
      <w:pPr>
        <w:pStyle w:val="ListParagraph"/>
        <w:numPr>
          <w:ilvl w:val="0"/>
          <w:numId w:val="6"/>
        </w:numPr>
        <w:spacing w:after="80"/>
      </w:pPr>
      <w:r>
        <w:t xml:space="preserve">Make dashboards tangible. Specific visualizations (heat maps, trend lines, </w:t>
      </w:r>
      <w:proofErr w:type="gramStart"/>
      <w:r>
        <w:t>drill-downs</w:t>
      </w:r>
      <w:proofErr w:type="gramEnd"/>
      <w:r>
        <w:t>) — not “interactive dashboards.”</w:t>
      </w:r>
    </w:p>
    <w:p w14:paraId="512A87EB" w14:textId="77777777" w:rsidR="00000000" w:rsidRDefault="00000000">
      <w:pPr>
        <w:pStyle w:val="ListParagraph"/>
        <w:numPr>
          <w:ilvl w:val="0"/>
          <w:numId w:val="6"/>
        </w:numPr>
        <w:spacing w:after="80"/>
      </w:pPr>
      <w:r>
        <w:t>Connect to Q2 without repeating. Structured scoring data from ESG and CMMI feeds directly into what gets imported and visualized.</w:t>
      </w:r>
    </w:p>
    <w:p w14:paraId="512A87EC" w14:textId="77777777" w:rsidR="00000000" w:rsidRDefault="00000000">
      <w:pPr>
        <w:spacing w:after="200"/>
      </w:pPr>
    </w:p>
    <w:p w14:paraId="512A87ED" w14:textId="77777777" w:rsidR="00000000" w:rsidRDefault="00000000">
      <w:pPr>
        <w:pStyle w:val="Heading1"/>
      </w:pPr>
      <w:r>
        <w:t>POTENTIAL FOLLOW-UP QUESTIONS</w:t>
      </w:r>
    </w:p>
    <w:p w14:paraId="512A87EE" w14:textId="77777777" w:rsidR="00000000" w:rsidRDefault="00000000">
      <w:pPr>
        <w:pStyle w:val="Heading3"/>
      </w:pPr>
      <w:r>
        <w:t>On the Custom Platform</w:t>
      </w:r>
    </w:p>
    <w:p w14:paraId="512A87EF" w14:textId="77777777" w:rsidR="00000000" w:rsidRDefault="00000000">
      <w:pPr>
        <w:pStyle w:val="ListParagraph"/>
        <w:numPr>
          <w:ilvl w:val="0"/>
          <w:numId w:val="6"/>
        </w:numPr>
        <w:spacing w:after="80"/>
      </w:pPr>
      <w:r>
        <w:t>“Walk me through the lifecycle of a single piece of evidence — from the moment an agency uploads it to the moment it appears in ServiceNow. What happens in your system?”</w:t>
      </w:r>
    </w:p>
    <w:p w14:paraId="512A87F0" w14:textId="77777777" w:rsidR="00000000" w:rsidRDefault="00000000">
      <w:pPr>
        <w:pStyle w:val="ListParagraph"/>
        <w:numPr>
          <w:ilvl w:val="0"/>
          <w:numId w:val="6"/>
        </w:numPr>
        <w:spacing w:after="80"/>
      </w:pPr>
      <w:r>
        <w:t>“You said the platform is currently deployed internally. What’s your timeline for getting it deployed in a production-ready secure environment after award?”</w:t>
      </w:r>
    </w:p>
    <w:p w14:paraId="512A87F1" w14:textId="77777777" w:rsidR="00000000" w:rsidRDefault="00000000">
      <w:pPr>
        <w:pStyle w:val="ListParagraph"/>
        <w:numPr>
          <w:ilvl w:val="0"/>
          <w:numId w:val="6"/>
        </w:numPr>
        <w:spacing w:after="80"/>
      </w:pPr>
      <w:r>
        <w:t>“How do you prevent evidence from one agency’s assessment from being visible to another agency when they’re both using the same platform?”</w:t>
      </w:r>
    </w:p>
    <w:p w14:paraId="512A87F2" w14:textId="77777777" w:rsidR="00000000" w:rsidRDefault="00000000">
      <w:pPr>
        <w:pStyle w:val="ListParagraph"/>
        <w:numPr>
          <w:ilvl w:val="0"/>
          <w:numId w:val="6"/>
        </w:numPr>
        <w:spacing w:after="80"/>
      </w:pPr>
      <w:r>
        <w:t>“What happens to active assessments if your platform goes down mid-engagement?”</w:t>
      </w:r>
    </w:p>
    <w:p w14:paraId="512A87F3" w14:textId="77777777" w:rsidR="00000000" w:rsidRDefault="00000000">
      <w:pPr>
        <w:pStyle w:val="ListParagraph"/>
        <w:numPr>
          <w:ilvl w:val="0"/>
          <w:numId w:val="6"/>
        </w:numPr>
        <w:spacing w:after="80"/>
      </w:pPr>
      <w:r>
        <w:t>“What tech stack is this built on?”</w:t>
      </w:r>
    </w:p>
    <w:p w14:paraId="512A87F4" w14:textId="77777777" w:rsidR="00000000" w:rsidRDefault="00000000">
      <w:pPr>
        <w:spacing w:after="200"/>
      </w:pPr>
    </w:p>
    <w:p w14:paraId="512A87F5" w14:textId="77777777" w:rsidR="00000000" w:rsidRDefault="00000000">
      <w:pPr>
        <w:spacing w:after="200"/>
      </w:pPr>
      <w:r>
        <w:rPr>
          <w:i/>
          <w:iCs/>
          <w:color w:val="4472C4"/>
        </w:rPr>
        <w:t>Note on tech stack: Keep it high-level — “modern web technologies, designed for scalability and portability.” If pressed for specifics, answer factually but don’t name a hosting provider.</w:t>
      </w:r>
    </w:p>
    <w:p w14:paraId="512A87F6" w14:textId="77777777" w:rsidR="00000000" w:rsidRDefault="00000000">
      <w:pPr>
        <w:pStyle w:val="Heading3"/>
      </w:pPr>
      <w:r>
        <w:t>On Agency Interaction</w:t>
      </w:r>
    </w:p>
    <w:p w14:paraId="512A87F7" w14:textId="77777777" w:rsidR="00000000" w:rsidRDefault="00000000">
      <w:pPr>
        <w:pStyle w:val="ListParagraph"/>
        <w:numPr>
          <w:ilvl w:val="0"/>
          <w:numId w:val="6"/>
        </w:numPr>
        <w:spacing w:after="80"/>
      </w:pPr>
      <w:r>
        <w:t xml:space="preserve">“What does the agency experience </w:t>
      </w:r>
      <w:proofErr w:type="gramStart"/>
      <w:r>
        <w:t>actually look</w:t>
      </w:r>
      <w:proofErr w:type="gramEnd"/>
      <w:r>
        <w:t xml:space="preserve"> like? Walk me through what an ISO sees when they log in.”</w:t>
      </w:r>
    </w:p>
    <w:p w14:paraId="512A87F8" w14:textId="77777777" w:rsidR="00000000" w:rsidRDefault="00000000">
      <w:pPr>
        <w:pStyle w:val="ListParagraph"/>
        <w:numPr>
          <w:ilvl w:val="0"/>
          <w:numId w:val="6"/>
        </w:numPr>
        <w:spacing w:after="80"/>
      </w:pPr>
      <w:r>
        <w:t xml:space="preserve">“How do you handle an agency that’s </w:t>
      </w:r>
      <w:proofErr w:type="gramStart"/>
      <w:r>
        <w:t>slow</w:t>
      </w:r>
      <w:proofErr w:type="gramEnd"/>
      <w:r>
        <w:t xml:space="preserve"> to upload artifacts or respond to questions? Does the platform flag that?”</w:t>
      </w:r>
    </w:p>
    <w:p w14:paraId="512A87F9" w14:textId="77777777" w:rsidR="00000000" w:rsidRDefault="00000000">
      <w:pPr>
        <w:pStyle w:val="ListParagraph"/>
        <w:numPr>
          <w:ilvl w:val="0"/>
          <w:numId w:val="6"/>
        </w:numPr>
        <w:spacing w:after="80"/>
      </w:pPr>
      <w:r>
        <w:t>“Agency executives have access to their assessment data — at what point? During the assessment or only after it’s finalized?”</w:t>
      </w:r>
    </w:p>
    <w:p w14:paraId="512A87FA" w14:textId="77777777" w:rsidR="00000000" w:rsidRDefault="00000000">
      <w:pPr>
        <w:spacing w:after="200"/>
      </w:pPr>
    </w:p>
    <w:p w14:paraId="512A87FB" w14:textId="77777777" w:rsidR="00000000" w:rsidRDefault="00000000">
      <w:pPr>
        <w:pStyle w:val="Heading3"/>
      </w:pPr>
      <w:r>
        <w:t>On ServiceNow Integration</w:t>
      </w:r>
    </w:p>
    <w:p w14:paraId="512A87FC" w14:textId="77777777" w:rsidR="00000000" w:rsidRDefault="00000000">
      <w:pPr>
        <w:pStyle w:val="ListParagraph"/>
        <w:numPr>
          <w:ilvl w:val="0"/>
          <w:numId w:val="6"/>
        </w:numPr>
        <w:spacing w:after="80"/>
      </w:pPr>
      <w:r>
        <w:lastRenderedPageBreak/>
        <w:t>“You said the data model was designed for ServiceNow. What specifically about ServiceNow’s GRC schema influenced your data model design?”</w:t>
      </w:r>
    </w:p>
    <w:p w14:paraId="512A87FD" w14:textId="77777777" w:rsidR="00000000" w:rsidRDefault="00000000">
      <w:pPr>
        <w:pStyle w:val="ListParagraph"/>
        <w:numPr>
          <w:ilvl w:val="0"/>
          <w:numId w:val="6"/>
        </w:numPr>
        <w:spacing w:after="80"/>
      </w:pPr>
      <w:r>
        <w:t>“You won’t have API docs or schema details until after award. What’s your plan for the first 30 days to get the integration stood up?”</w:t>
      </w:r>
    </w:p>
    <w:p w14:paraId="512A87FE" w14:textId="77777777" w:rsidR="00000000" w:rsidRDefault="00000000">
      <w:pPr>
        <w:pStyle w:val="ListParagraph"/>
        <w:numPr>
          <w:ilvl w:val="0"/>
          <w:numId w:val="6"/>
        </w:numPr>
        <w:spacing w:after="80"/>
      </w:pPr>
      <w:r>
        <w:t xml:space="preserve">“Have any of your team members </w:t>
      </w:r>
      <w:proofErr w:type="gramStart"/>
      <w:r>
        <w:t>actually built</w:t>
      </w:r>
      <w:proofErr w:type="gramEnd"/>
      <w:r>
        <w:t xml:space="preserve"> integrations into ServiceNow GRC before? Which modules?”</w:t>
      </w:r>
    </w:p>
    <w:p w14:paraId="512A87FF" w14:textId="77777777" w:rsidR="00000000" w:rsidRDefault="00000000">
      <w:pPr>
        <w:pStyle w:val="ListParagraph"/>
        <w:numPr>
          <w:ilvl w:val="0"/>
          <w:numId w:val="6"/>
        </w:numPr>
        <w:spacing w:after="80"/>
      </w:pPr>
      <w:r>
        <w:t>“If we hand you a data schema that doesn’t align with how you’ve structured your assessment data, how much rework are we looking at?”</w:t>
      </w:r>
    </w:p>
    <w:p w14:paraId="512A8800" w14:textId="77777777" w:rsidR="00000000" w:rsidRDefault="00000000">
      <w:pPr>
        <w:spacing w:after="200"/>
      </w:pPr>
    </w:p>
    <w:p w14:paraId="512A8801" w14:textId="77777777" w:rsidR="00000000" w:rsidRDefault="00000000">
      <w:pPr>
        <w:pStyle w:val="Heading3"/>
      </w:pPr>
      <w:r>
        <w:t>On Dashboards</w:t>
      </w:r>
    </w:p>
    <w:p w14:paraId="512A8802" w14:textId="77777777" w:rsidR="00000000" w:rsidRDefault="00000000">
      <w:pPr>
        <w:pStyle w:val="ListParagraph"/>
        <w:numPr>
          <w:ilvl w:val="0"/>
          <w:numId w:val="6"/>
        </w:numPr>
        <w:spacing w:after="80"/>
      </w:pPr>
      <w:r>
        <w:t xml:space="preserve">“Show me — conceptually — what the statewide dashboard looks like. What’s on it when a </w:t>
      </w:r>
      <w:proofErr w:type="spellStart"/>
      <w:r>
        <w:t>DoIT</w:t>
      </w:r>
      <w:proofErr w:type="spellEnd"/>
      <w:r>
        <w:t xml:space="preserve"> executive opens it Monday morning?”</w:t>
      </w:r>
    </w:p>
    <w:p w14:paraId="512A8803" w14:textId="77777777" w:rsidR="00000000" w:rsidRDefault="00000000">
      <w:pPr>
        <w:pStyle w:val="ListParagraph"/>
        <w:numPr>
          <w:ilvl w:val="0"/>
          <w:numId w:val="6"/>
        </w:numPr>
        <w:spacing w:after="80"/>
      </w:pPr>
      <w:r>
        <w:t>“An agency director wants to see their results compared to agencies of similar size, but they can’t see anyone else’s specific data. How does that work?”</w:t>
      </w:r>
    </w:p>
    <w:p w14:paraId="512A8804" w14:textId="77777777" w:rsidR="00000000" w:rsidRDefault="00000000">
      <w:pPr>
        <w:pStyle w:val="ListParagraph"/>
        <w:numPr>
          <w:ilvl w:val="0"/>
          <w:numId w:val="6"/>
        </w:numPr>
        <w:spacing w:after="80"/>
      </w:pPr>
      <w:r>
        <w:t>“We said real-time means within 24 hours. Your dashboard shows a finding was closed but the data is 18 hours stale. An ISO calls confused. How do you handle that?”</w:t>
      </w:r>
    </w:p>
    <w:p w14:paraId="512A8805" w14:textId="77777777" w:rsidR="00000000" w:rsidRDefault="00000000">
      <w:pPr>
        <w:spacing w:after="200"/>
      </w:pPr>
    </w:p>
    <w:p w14:paraId="512A8806" w14:textId="77777777" w:rsidR="00000000" w:rsidRDefault="00000000">
      <w:pPr>
        <w:pStyle w:val="Heading3"/>
      </w:pPr>
      <w:r>
        <w:t>On Historical Data</w:t>
      </w:r>
    </w:p>
    <w:p w14:paraId="512A8807" w14:textId="77777777" w:rsidR="00000000" w:rsidRDefault="00000000">
      <w:pPr>
        <w:pStyle w:val="ListParagraph"/>
        <w:numPr>
          <w:ilvl w:val="0"/>
          <w:numId w:val="6"/>
        </w:numPr>
        <w:spacing w:after="80"/>
      </w:pPr>
      <w:r>
        <w:t>“We have three years of prior assessment data for some agencies in mixed formats. Walk me through your ingestion plan.”</w:t>
      </w:r>
    </w:p>
    <w:p w14:paraId="512A8808" w14:textId="77777777" w:rsidR="00000000" w:rsidRDefault="00000000">
      <w:pPr>
        <w:pStyle w:val="ListParagraph"/>
        <w:numPr>
          <w:ilvl w:val="0"/>
          <w:numId w:val="6"/>
        </w:numPr>
        <w:spacing w:after="80"/>
      </w:pPr>
      <w:r>
        <w:t>“How do you handle comparability between prior assessment results that may have used different scoring criteria and your current methodology?”</w:t>
      </w:r>
    </w:p>
    <w:p w14:paraId="512A8809" w14:textId="77777777" w:rsidR="00000000" w:rsidRDefault="00000000">
      <w:pPr>
        <w:spacing w:after="200"/>
      </w:pPr>
    </w:p>
    <w:p w14:paraId="512A880A" w14:textId="77777777" w:rsidR="00000000" w:rsidRDefault="00000000">
      <w:pPr>
        <w:pStyle w:val="Heading3"/>
      </w:pPr>
      <w:r>
        <w:t>The Curveball</w:t>
      </w:r>
    </w:p>
    <w:p w14:paraId="512A880B" w14:textId="77777777" w:rsidR="00000000" w:rsidRDefault="00000000">
      <w:pPr>
        <w:pStyle w:val="ListParagraph"/>
        <w:numPr>
          <w:ilvl w:val="0"/>
          <w:numId w:val="6"/>
        </w:numPr>
        <w:spacing w:after="80"/>
      </w:pPr>
      <w:r>
        <w:t>“</w:t>
      </w:r>
      <w:proofErr w:type="spellStart"/>
      <w:r>
        <w:t>DoIT</w:t>
      </w:r>
      <w:proofErr w:type="spellEnd"/>
      <w:r>
        <w:t xml:space="preserve"> decides six months into the contract that they want to switch from ServiceNow GRC to a different platform. How much of your work survives that transition?”</w:t>
      </w:r>
    </w:p>
    <w:p w14:paraId="512A880C" w14:textId="77777777" w:rsidR="00000000" w:rsidRDefault="00000000">
      <w:pPr>
        <w:spacing w:after="200"/>
      </w:pPr>
    </w:p>
    <w:p w14:paraId="512A880D" w14:textId="77777777" w:rsidR="00000000" w:rsidRDefault="00000000">
      <w:pPr>
        <w:spacing w:after="200"/>
      </w:pPr>
      <w:r>
        <w:rPr>
          <w:b/>
          <w:bCs/>
          <w:color w:val="C00000"/>
        </w:rPr>
        <w:t xml:space="preserve">PREP NOTE: </w:t>
      </w:r>
      <w:r>
        <w:t>The answer is: almost all of it. Your data is structured in portable formats (JSON, XML, CSV) independent of ServiceNow. The assessment methodology, scoring, and evidence collection don’t change. Only the API mapping layer changes. The data model is platform-agnostic by design — ServiceNow was the target, but the architecture doesn’t depend on it.</w:t>
      </w:r>
    </w:p>
    <w:p w14:paraId="512A880E" w14:textId="77777777" w:rsidR="00000000" w:rsidRDefault="00000000">
      <w:r>
        <w:br w:type="page"/>
      </w:r>
    </w:p>
    <w:p w14:paraId="512A880F" w14:textId="77777777" w:rsidR="00000000" w:rsidRDefault="00000000">
      <w:pPr>
        <w:pStyle w:val="Heading1"/>
      </w:pPr>
      <w:r>
        <w:lastRenderedPageBreak/>
        <w:t>CHANGE LOG</w:t>
      </w:r>
    </w:p>
    <w:p w14:paraId="512A8810" w14:textId="77777777" w:rsidR="00000000" w:rsidRDefault="00000000">
      <w:pPr>
        <w:spacing w:after="200"/>
      </w:pPr>
      <w:r>
        <w:t>Changes from previous version, reflecting team input on custom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7260"/>
      </w:tblGrid>
      <w:tr w:rsidR="00994F20" w14:paraId="512A8814"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2A8811" w14:textId="77777777" w:rsidR="00000000" w:rsidRDefault="00000000">
            <w:r>
              <w:rPr>
                <w:b/>
                <w:bCs/>
                <w:color w:val="FFFFFF"/>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2A8812" w14:textId="77777777" w:rsidR="00000000" w:rsidRDefault="00000000">
            <w:r>
              <w:rPr>
                <w:b/>
                <w:bCs/>
                <w:color w:val="FFFFFF"/>
                <w:sz w:val="20"/>
                <w:szCs w:val="20"/>
              </w:rPr>
              <w:t>Item</w:t>
            </w:r>
          </w:p>
        </w:tc>
        <w:tc>
          <w:tcPr>
            <w:tcW w:w="7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2A8813" w14:textId="77777777" w:rsidR="00000000" w:rsidRDefault="00000000">
            <w:r>
              <w:rPr>
                <w:b/>
                <w:bCs/>
                <w:color w:val="FFFFFF"/>
                <w:sz w:val="20"/>
                <w:szCs w:val="20"/>
              </w:rPr>
              <w:t>Change Description</w:t>
            </w:r>
          </w:p>
        </w:tc>
      </w:tr>
      <w:tr w:rsidR="00994F20" w14:paraId="512A881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15" w14:textId="77777777" w:rsidR="00000000"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16" w14:textId="77777777" w:rsidR="00000000" w:rsidRDefault="00000000">
            <w:r>
              <w:rPr>
                <w:sz w:val="20"/>
                <w:szCs w:val="20"/>
              </w:rPr>
              <w:t>Rewrite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17" w14:textId="77777777" w:rsidR="00000000" w:rsidRDefault="00000000">
            <w:r>
              <w:rPr>
                <w:sz w:val="20"/>
                <w:szCs w:val="20"/>
              </w:rPr>
              <w:t>Replaced M365/Azure commercial platform framing with custom-built assessment management application. The platform is purpose-built for Maryland, not a general-purpose cloud environment.</w:t>
            </w:r>
          </w:p>
        </w:tc>
      </w:tr>
      <w:tr w:rsidR="00994F20" w14:paraId="512A881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19" w14:textId="77777777" w:rsidR="00000000"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1A" w14:textId="77777777" w:rsidR="00000000" w:rsidRDefault="00000000">
            <w:r>
              <w:rPr>
                <w:sz w:val="20"/>
                <w:szCs w:val="20"/>
              </w:rPr>
              <w:t>Rewrite</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1B" w14:textId="77777777" w:rsidR="00000000" w:rsidRDefault="00000000">
            <w:r>
              <w:rPr>
                <w:sz w:val="20"/>
                <w:szCs w:val="20"/>
              </w:rPr>
              <w:t xml:space="preserve">Removed all references to specific cloud providers (Microsoft, Azure). Hosting environment is TBD; language now </w:t>
            </w:r>
            <w:proofErr w:type="gramStart"/>
            <w:r>
              <w:rPr>
                <w:sz w:val="20"/>
                <w:szCs w:val="20"/>
              </w:rPr>
              <w:t>says</w:t>
            </w:r>
            <w:proofErr w:type="gramEnd"/>
            <w:r>
              <w:rPr>
                <w:sz w:val="20"/>
                <w:szCs w:val="20"/>
              </w:rPr>
              <w:t xml:space="preserve"> “secure environment meeting RFP requirements.”</w:t>
            </w:r>
          </w:p>
        </w:tc>
      </w:tr>
      <w:tr w:rsidR="00994F20" w14:paraId="512A882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1D" w14:textId="77777777" w:rsidR="00000000"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1E"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1F" w14:textId="77777777" w:rsidR="00000000" w:rsidRDefault="00000000">
            <w:r>
              <w:rPr>
                <w:sz w:val="20"/>
                <w:szCs w:val="20"/>
              </w:rPr>
              <w:t>Added Agency-Facing Capabilities as a new section. Agencies interact directly with the platform to upload artifacts, respond to questions, and review their data.</w:t>
            </w:r>
          </w:p>
        </w:tc>
      </w:tr>
      <w:tr w:rsidR="00994F20" w14:paraId="512A882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21" w14:textId="77777777" w:rsidR="00000000"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22" w14:textId="77777777" w:rsidR="00000000" w:rsidRDefault="00000000">
            <w:r>
              <w:rPr>
                <w:sz w:val="20"/>
                <w:szCs w:val="20"/>
              </w:rPr>
              <w:t>Rewrite</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23" w14:textId="77777777" w:rsidR="00000000" w:rsidRDefault="00000000">
            <w:r>
              <w:rPr>
                <w:sz w:val="20"/>
                <w:szCs w:val="20"/>
              </w:rPr>
              <w:t xml:space="preserve">ServiceNow integration story changed from “we structured data for portability” to “our data model was designed for ServiceNow </w:t>
            </w:r>
            <w:proofErr w:type="gramStart"/>
            <w:r>
              <w:rPr>
                <w:sz w:val="20"/>
                <w:szCs w:val="20"/>
              </w:rPr>
              <w:t>integration</w:t>
            </w:r>
            <w:proofErr w:type="gramEnd"/>
            <w:r>
              <w:rPr>
                <w:sz w:val="20"/>
                <w:szCs w:val="20"/>
              </w:rPr>
              <w:t xml:space="preserve"> and we will build the API to map directly.”</w:t>
            </w:r>
          </w:p>
        </w:tc>
      </w:tr>
      <w:tr w:rsidR="00994F20" w14:paraId="512A882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25" w14:textId="77777777" w:rsidR="00000000"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26"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27" w14:textId="77777777" w:rsidR="00000000" w:rsidRDefault="00000000">
            <w:r>
              <w:rPr>
                <w:sz w:val="20"/>
                <w:szCs w:val="20"/>
              </w:rPr>
              <w:t>Added Security and Deployment section addressing the local-to-secure deployment transition, RBAC, and SSO.</w:t>
            </w:r>
          </w:p>
        </w:tc>
      </w:tr>
      <w:tr w:rsidR="00994F20" w14:paraId="512A882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29" w14:textId="77777777" w:rsidR="00000000" w:rsidRDefault="00000000">
            <w:r>
              <w:rPr>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2A"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2A882B" w14:textId="77777777" w:rsidR="00000000" w:rsidRDefault="00000000">
            <w:r>
              <w:rPr>
                <w:sz w:val="20"/>
                <w:szCs w:val="20"/>
              </w:rPr>
              <w:t>Added prep note warning not to name a specific cloud provider if pressed by the panel.</w:t>
            </w:r>
          </w:p>
        </w:tc>
      </w:tr>
      <w:tr w:rsidR="00994F20" w14:paraId="512A883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2D" w14:textId="77777777" w:rsidR="00000000" w:rsidRDefault="00000000">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2E" w14:textId="77777777" w:rsidR="00000000" w:rsidRDefault="00000000">
            <w:r>
              <w:rPr>
                <w:sz w:val="20"/>
                <w:szCs w:val="20"/>
              </w:rPr>
              <w:t>Update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A882F" w14:textId="77777777" w:rsidR="00000000" w:rsidRDefault="00000000">
            <w:r>
              <w:rPr>
                <w:sz w:val="20"/>
                <w:szCs w:val="20"/>
              </w:rPr>
              <w:t>Updated follow-up questions to reflect custom platform framing, including new questions about agency experience, tech stack, and deployment timeline.</w:t>
            </w:r>
          </w:p>
        </w:tc>
      </w:tr>
    </w:tbl>
    <w:p w14:paraId="512A8831" w14:textId="77777777" w:rsidR="00000000" w:rsidRDefault="00000000"/>
    <w:p w14:paraId="36973BBF" w14:textId="77777777" w:rsidR="00000000" w:rsidRDefault="00000000">
      <w:pPr>
        <w:spacing w:before="400" w:after="60"/>
        <w:jc w:val="center"/>
      </w:pPr>
      <w:r>
        <w:rPr>
          <w:b/>
          <w:bCs/>
          <w:color w:val="2D2D2D"/>
          <w:sz w:val="40"/>
          <w:szCs w:val="40"/>
        </w:rPr>
        <w:t>ORAL PRESENTATION PREP</w:t>
      </w:r>
    </w:p>
    <w:p w14:paraId="36973BC0" w14:textId="77777777" w:rsidR="00000000" w:rsidRDefault="00000000">
      <w:pPr>
        <w:spacing w:after="60"/>
        <w:jc w:val="center"/>
      </w:pPr>
      <w:r>
        <w:rPr>
          <w:color w:val="555555"/>
          <w:sz w:val="26"/>
          <w:szCs w:val="26"/>
        </w:rPr>
        <w:t>Section 2, Question 5: Accuracy &amp; Quality of Deliverables</w:t>
      </w:r>
    </w:p>
    <w:p w14:paraId="36973BC1" w14:textId="77777777" w:rsidR="00000000" w:rsidRDefault="00000000">
      <w:pPr>
        <w:pBdr>
          <w:bottom w:val="single" w:sz="12" w:space="1" w:color="D4A017"/>
        </w:pBdr>
        <w:spacing w:after="80"/>
        <w:jc w:val="center"/>
      </w:pPr>
    </w:p>
    <w:p w14:paraId="36973BC2" w14:textId="77777777" w:rsidR="00000000" w:rsidRDefault="00000000">
      <w:pPr>
        <w:spacing w:after="300"/>
        <w:jc w:val="center"/>
      </w:pPr>
      <w:r>
        <w:rPr>
          <w:i/>
          <w:iCs/>
          <w:color w:val="607D8B"/>
          <w:sz w:val="20"/>
          <w:szCs w:val="20"/>
        </w:rPr>
        <w:t xml:space="preserve">Updated March 30, </w:t>
      </w:r>
      <w:proofErr w:type="gramStart"/>
      <w:r>
        <w:rPr>
          <w:i/>
          <w:iCs/>
          <w:color w:val="607D8B"/>
          <w:sz w:val="20"/>
          <w:szCs w:val="20"/>
        </w:rPr>
        <w:t>2026</w:t>
      </w:r>
      <w:proofErr w:type="gramEnd"/>
      <w:r>
        <w:rPr>
          <w:i/>
          <w:iCs/>
          <w:color w:val="607D8B"/>
          <w:sz w:val="20"/>
          <w:szCs w:val="20"/>
        </w:rPr>
        <w:t xml:space="preserve"> | Verified Against Proposal</w:t>
      </w:r>
    </w:p>
    <w:p w14:paraId="36973BC3" w14:textId="77777777" w:rsidR="00000000" w:rsidRDefault="00000000">
      <w:pPr>
        <w:pBdr>
          <w:bottom w:val="single" w:sz="6" w:space="1" w:color="D4A017"/>
        </w:pBdr>
        <w:spacing w:before="200" w:after="200"/>
      </w:pPr>
    </w:p>
    <w:p w14:paraId="36973BC4" w14:textId="77777777" w:rsidR="00000000" w:rsidRDefault="00000000">
      <w:pPr>
        <w:pStyle w:val="Heading1"/>
        <w:spacing w:before="200" w:after="120"/>
      </w:pPr>
      <w:r>
        <w:t>THE ASK</w:t>
      </w:r>
    </w:p>
    <w:p w14:paraId="36973BC5" w14:textId="77777777" w:rsidR="00000000" w:rsidRDefault="00000000">
      <w:pPr>
        <w:spacing w:before="80" w:after="80"/>
      </w:pPr>
      <w:r>
        <w:rPr>
          <w:b/>
          <w:bCs/>
          <w:color w:val="333333"/>
        </w:rPr>
        <w:t xml:space="preserve">What they're really asking: </w:t>
      </w:r>
      <w:r>
        <w:rPr>
          <w:color w:val="333333"/>
        </w:rPr>
        <w:t>This is the quality control question, aimed squarely at deliverables — not process in general. The panel has seen bad assessment reports before. They've seen SARs that are vague, POA&amp;Ms that are copy-paste boilerplate, and findings an agency reads and says "okay, but what do I actually do with this?"</w:t>
      </w:r>
    </w:p>
    <w:p w14:paraId="36973BC6" w14:textId="77777777" w:rsidR="00000000" w:rsidRDefault="00000000">
      <w:pPr>
        <w:spacing w:before="80" w:after="80"/>
      </w:pPr>
      <w:r>
        <w:rPr>
          <w:color w:val="333333"/>
        </w:rPr>
        <w:t>Three things packed in:</w:t>
      </w:r>
    </w:p>
    <w:p w14:paraId="36973BC7" w14:textId="77777777" w:rsidR="00000000" w:rsidRDefault="00000000">
      <w:pPr>
        <w:pStyle w:val="ListParagraph"/>
        <w:numPr>
          <w:ilvl w:val="0"/>
          <w:numId w:val="8"/>
        </w:numPr>
        <w:spacing w:before="40" w:after="40"/>
      </w:pPr>
      <w:r>
        <w:rPr>
          <w:color w:val="333333"/>
        </w:rPr>
        <w:t>How do you QA your own work before it goes out?</w:t>
      </w:r>
    </w:p>
    <w:p w14:paraId="36973BC8" w14:textId="77777777" w:rsidR="00000000" w:rsidRDefault="00000000">
      <w:pPr>
        <w:pStyle w:val="ListParagraph"/>
        <w:numPr>
          <w:ilvl w:val="0"/>
          <w:numId w:val="8"/>
        </w:numPr>
        <w:spacing w:before="40" w:after="40"/>
      </w:pPr>
      <w:r>
        <w:rPr>
          <w:color w:val="333333"/>
        </w:rPr>
        <w:t>How do you ensure deliverables look and feel the same across all ~90 assessments?</w:t>
      </w:r>
    </w:p>
    <w:p w14:paraId="36973BC9" w14:textId="77777777" w:rsidR="00000000" w:rsidRDefault="00000000">
      <w:pPr>
        <w:pStyle w:val="ListParagraph"/>
        <w:numPr>
          <w:ilvl w:val="0"/>
          <w:numId w:val="8"/>
        </w:numPr>
        <w:spacing w:before="40" w:after="40"/>
      </w:pPr>
      <w:r>
        <w:rPr>
          <w:color w:val="333333"/>
        </w:rPr>
        <w:t>How do you make findings actionable — not just accurate?</w:t>
      </w:r>
    </w:p>
    <w:p w14:paraId="36973BCA" w14:textId="77777777" w:rsidR="00000000" w:rsidRDefault="00000000">
      <w:pPr>
        <w:spacing w:before="80" w:after="80"/>
      </w:pPr>
      <w:r>
        <w:rPr>
          <w:b/>
          <w:bCs/>
          <w:color w:val="333333"/>
        </w:rPr>
        <w:lastRenderedPageBreak/>
        <w:t xml:space="preserve">That third piece is what they care about most. </w:t>
      </w:r>
      <w:r>
        <w:rPr>
          <w:color w:val="333333"/>
        </w:rPr>
        <w:t>Accuracy and consistency are table stakes. Actionability is where most vendors fall short.</w:t>
      </w:r>
    </w:p>
    <w:p w14:paraId="36973BCB" w14:textId="77777777" w:rsidR="00000000" w:rsidRDefault="00000000">
      <w:pPr>
        <w:pBdr>
          <w:bottom w:val="single" w:sz="6" w:space="1" w:color="D4A017"/>
        </w:pBdr>
        <w:spacing w:before="200" w:after="200"/>
      </w:pPr>
    </w:p>
    <w:p w14:paraId="36973BCC" w14:textId="77777777" w:rsidR="00000000" w:rsidRDefault="00000000">
      <w:pPr>
        <w:pStyle w:val="Heading1"/>
        <w:spacing w:before="200" w:after="120"/>
      </w:pPr>
      <w:r>
        <w:t>MUST-HIT ITEMS</w:t>
      </w:r>
    </w:p>
    <w:p w14:paraId="36973BCD" w14:textId="77777777" w:rsidR="00000000" w:rsidRDefault="00000000">
      <w:pPr>
        <w:pStyle w:val="Heading3"/>
        <w:spacing w:before="240" w:after="100"/>
      </w:pPr>
      <w:r>
        <w:t>1. FRTA as Your Formal Quality Gate</w:t>
      </w:r>
    </w:p>
    <w:p w14:paraId="36973BCE" w14:textId="77777777" w:rsidR="00000000" w:rsidRDefault="00000000">
      <w:pPr>
        <w:spacing w:before="80" w:after="80"/>
      </w:pPr>
      <w:r>
        <w:rPr>
          <w:color w:val="333333"/>
        </w:rPr>
        <w:t>Walk through the Finalization Review and Technical Assurance process — who reviews, what they check, what happens when something fails. The key: someone NOT on the original assessment team reviews deliverables before they reach the State.</w:t>
      </w:r>
    </w:p>
    <w:p w14:paraId="36973BCF" w14:textId="77777777" w:rsidR="00000000" w:rsidRDefault="00000000">
      <w:pPr>
        <w:spacing w:before="80" w:after="80"/>
      </w:pPr>
      <w:r>
        <w:rPr>
          <w:b/>
          <w:bCs/>
          <w:color w:val="B8860B"/>
        </w:rPr>
        <w:t xml:space="preserve">Proposal Reference: </w:t>
      </w:r>
      <w:r>
        <w:rPr>
          <w:i/>
          <w:iCs/>
          <w:color w:val="555555"/>
        </w:rPr>
        <w:t xml:space="preserve">F.5.3 — FRTA provides independent validation </w:t>
      </w:r>
      <w:proofErr w:type="gramStart"/>
      <w:r>
        <w:rPr>
          <w:i/>
          <w:iCs/>
          <w:color w:val="555555"/>
        </w:rPr>
        <w:t>of:</w:t>
      </w:r>
      <w:proofErr w:type="gramEnd"/>
      <w:r>
        <w:rPr>
          <w:i/>
          <w:iCs/>
          <w:color w:val="555555"/>
        </w:rPr>
        <w:t xml:space="preserve"> technical accuracy of findings and recommendations, correct linkage between evidence and maturity determinations, consistent application of scoring criteria, readiness of assessment data for GRC integration.</w:t>
      </w:r>
    </w:p>
    <w:p w14:paraId="36973BD0" w14:textId="77777777" w:rsidR="00000000" w:rsidRDefault="00000000">
      <w:pPr>
        <w:spacing w:before="80" w:after="80"/>
      </w:pPr>
      <w:r>
        <w:rPr>
          <w:b/>
          <w:bCs/>
          <w:color w:val="333333"/>
        </w:rPr>
        <w:t xml:space="preserve">Key Detail: </w:t>
      </w:r>
      <w:r>
        <w:rPr>
          <w:color w:val="333333"/>
        </w:rPr>
        <w:t>Conducted by senior technical specialists who were not responsible for the initial assessment. Findings that don't meet standards are returned for correction before State submission.</w:t>
      </w:r>
    </w:p>
    <w:p w14:paraId="36973BD1" w14:textId="77777777" w:rsidR="00000000" w:rsidRDefault="00000000">
      <w:pPr>
        <w:pStyle w:val="Heading3"/>
        <w:spacing w:before="240" w:after="100"/>
      </w:pPr>
      <w:r>
        <w:t>2. Multi-Layer Review Process</w:t>
      </w:r>
    </w:p>
    <w:p w14:paraId="36973BD2" w14:textId="77777777" w:rsidR="00000000" w:rsidRDefault="00000000">
      <w:pPr>
        <w:spacing w:before="80" w:after="80"/>
      </w:pPr>
      <w:r>
        <w:rPr>
          <w:color w:val="333333"/>
        </w:rPr>
        <w:t>QA isn't a single step. Show the layers: assessor self-review → peer review within POD → FRTA independent gate → State/ISO review (5 business days for drafts per Q43). Each layer catches different things.</w:t>
      </w:r>
    </w:p>
    <w:p w14:paraId="36973BD3" w14:textId="77777777" w:rsidR="00000000" w:rsidRDefault="00000000">
      <w:pPr>
        <w:spacing w:before="80" w:after="80"/>
      </w:pPr>
      <w:r>
        <w:rPr>
          <w:b/>
          <w:bCs/>
          <w:color w:val="B8860B"/>
        </w:rPr>
        <w:t xml:space="preserve">Proposal Reference: </w:t>
      </w:r>
      <w:r>
        <w:rPr>
          <w:i/>
          <w:iCs/>
          <w:color w:val="555555"/>
        </w:rPr>
        <w:t>F.5.1 — Three integrated layers: (1) Standardized Scoring and Evidence Controls, (2) Independent Technical Validation, (3) Program-Level Oversight and Continuous Improvement.</w:t>
      </w:r>
    </w:p>
    <w:p w14:paraId="36973BD4" w14:textId="77777777" w:rsidR="00000000" w:rsidRDefault="00000000">
      <w:pPr>
        <w:pStyle w:val="Heading3"/>
        <w:spacing w:before="240" w:after="100"/>
      </w:pPr>
      <w:r>
        <w:t>3. Standardized Deliverable Templates</w:t>
      </w:r>
    </w:p>
    <w:p w14:paraId="36973BD5" w14:textId="77777777" w:rsidR="00000000" w:rsidRDefault="00000000">
      <w:pPr>
        <w:spacing w:before="80" w:after="80"/>
      </w:pPr>
      <w:r>
        <w:rPr>
          <w:color w:val="333333"/>
        </w:rPr>
        <w:t>SARs, POA&amp;Ms, briefing decks follow consistent structure so Agency #1's report looks like Agency #60's. You own these templates (Q101 confirmed the State won't supply them). Designed for readability by non-technical agency staff, not just security professionals.</w:t>
      </w:r>
    </w:p>
    <w:p w14:paraId="36973BD6" w14:textId="77777777" w:rsidR="00000000" w:rsidRDefault="00000000">
      <w:pPr>
        <w:spacing w:before="80" w:after="80"/>
      </w:pPr>
      <w:r>
        <w:rPr>
          <w:b/>
          <w:bCs/>
          <w:color w:val="B8860B"/>
        </w:rPr>
        <w:t xml:space="preserve">Proposal Reference: </w:t>
      </w:r>
      <w:r>
        <w:rPr>
          <w:i/>
          <w:iCs/>
          <w:color w:val="555555"/>
        </w:rPr>
        <w:t>F.5.6 — Approved improvements incorporated into templates, guidance, or workflows. Templates are managed by the PMO.</w:t>
      </w:r>
    </w:p>
    <w:p w14:paraId="36973BD7" w14:textId="77777777" w:rsidR="00000000" w:rsidRDefault="00000000">
      <w:pPr>
        <w:spacing w:before="80" w:after="80"/>
      </w:pPr>
      <w:r>
        <w:rPr>
          <w:b/>
          <w:bCs/>
          <w:color w:val="2E7D32"/>
        </w:rPr>
        <w:t xml:space="preserve">What to say: </w:t>
      </w:r>
      <w:r>
        <w:rPr>
          <w:i/>
          <w:iCs/>
          <w:color w:val="333333"/>
        </w:rPr>
        <w:t>"We own the templates. The State won't hand them to us — we designed them, and we refine them as lessons learned accumulate across assessments."</w:t>
      </w:r>
    </w:p>
    <w:p w14:paraId="36973BD8" w14:textId="77777777" w:rsidR="00000000" w:rsidRDefault="00000000">
      <w:pPr>
        <w:pStyle w:val="Heading3"/>
        <w:spacing w:before="240" w:after="100"/>
      </w:pPr>
      <w:r>
        <w:t>4. What Makes a Finding "Actionable"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91E" w14:paraId="36973BDB" w14:textId="77777777">
        <w:tc>
          <w:tcPr>
            <w:tcW w:w="9360" w:type="dxa"/>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36973BD9" w14:textId="77777777" w:rsidR="00000000" w:rsidRDefault="00000000">
            <w:pPr>
              <w:spacing w:after="80"/>
            </w:pPr>
            <w:r>
              <w:rPr>
                <w:b/>
                <w:bCs/>
                <w:color w:val="B8860B"/>
              </w:rPr>
              <w:t>⚠️ PREP NOTE — Finding Structure</w:t>
            </w:r>
          </w:p>
          <w:p w14:paraId="36973BDA" w14:textId="77777777" w:rsidR="00000000" w:rsidRDefault="00000000">
            <w:pPr>
              <w:spacing w:before="40"/>
            </w:pPr>
            <w:r>
              <w:rPr>
                <w:color w:val="555555"/>
                <w:sz w:val="21"/>
                <w:szCs w:val="21"/>
              </w:rPr>
              <w:t>The proposal mentions 'prioritized recommendations' (RFP 2.3.1.C–D) and the Risk Assessment Consultant role includes 'ensure findings are communicated in clear, business-relevant terms' (G.3.2). But the proposal does not describe a specific finding structure. The recommended structure below is an articulation of practice, not a verbatim proposal quote — it's defensible but the presenter should know the distinction.</w:t>
            </w:r>
          </w:p>
        </w:tc>
      </w:tr>
    </w:tbl>
    <w:p w14:paraId="36973BDC" w14:textId="77777777" w:rsidR="00000000" w:rsidRDefault="00000000">
      <w:pPr>
        <w:spacing w:before="80" w:after="80"/>
      </w:pPr>
      <w:r>
        <w:rPr>
          <w:color w:val="333333"/>
        </w:rPr>
        <w:t>Every finding should include four components:</w:t>
      </w:r>
    </w:p>
    <w:p w14:paraId="36973BDD" w14:textId="77777777" w:rsidR="00000000" w:rsidRDefault="00000000">
      <w:pPr>
        <w:pStyle w:val="ListParagraph"/>
        <w:numPr>
          <w:ilvl w:val="0"/>
          <w:numId w:val="9"/>
        </w:numPr>
        <w:spacing w:before="40" w:after="40"/>
      </w:pPr>
      <w:r>
        <w:rPr>
          <w:color w:val="333333"/>
        </w:rPr>
        <w:t>Current state — what exists today</w:t>
      </w:r>
    </w:p>
    <w:p w14:paraId="36973BDE" w14:textId="77777777" w:rsidR="00000000" w:rsidRDefault="00000000">
      <w:pPr>
        <w:pStyle w:val="ListParagraph"/>
        <w:numPr>
          <w:ilvl w:val="0"/>
          <w:numId w:val="9"/>
        </w:numPr>
        <w:spacing w:before="40" w:after="40"/>
      </w:pPr>
      <w:r>
        <w:rPr>
          <w:color w:val="333333"/>
        </w:rPr>
        <w:t>Gap — what's missing or insufficient</w:t>
      </w:r>
    </w:p>
    <w:p w14:paraId="36973BDF" w14:textId="77777777" w:rsidR="00000000" w:rsidRDefault="00000000">
      <w:pPr>
        <w:pStyle w:val="ListParagraph"/>
        <w:numPr>
          <w:ilvl w:val="0"/>
          <w:numId w:val="9"/>
        </w:numPr>
        <w:spacing w:before="40" w:after="40"/>
      </w:pPr>
      <w:r>
        <w:rPr>
          <w:color w:val="333333"/>
        </w:rPr>
        <w:lastRenderedPageBreak/>
        <w:t>Risk implication — why it matters</w:t>
      </w:r>
    </w:p>
    <w:p w14:paraId="36973BE0" w14:textId="77777777" w:rsidR="00000000" w:rsidRDefault="00000000">
      <w:pPr>
        <w:pStyle w:val="ListParagraph"/>
        <w:numPr>
          <w:ilvl w:val="0"/>
          <w:numId w:val="9"/>
        </w:numPr>
        <w:spacing w:before="40" w:after="40"/>
      </w:pPr>
      <w:r>
        <w:rPr>
          <w:color w:val="333333"/>
        </w:rPr>
        <w:t>Prioritized remediation recommendation — what to do about it, with enough specificity that the agency can start planning</w:t>
      </w:r>
    </w:p>
    <w:p w14:paraId="36973BE1" w14:textId="77777777" w:rsidR="00000000" w:rsidRDefault="00000000">
      <w:pPr>
        <w:spacing w:before="80" w:after="80"/>
      </w:pPr>
      <w:r>
        <w:rPr>
          <w:b/>
          <w:bCs/>
          <w:color w:val="2E7D32"/>
        </w:rPr>
        <w:t xml:space="preserve">What to say: </w:t>
      </w:r>
      <w:r>
        <w:rPr>
          <w:i/>
          <w:iCs/>
          <w:color w:val="333333"/>
        </w:rPr>
        <w:t xml:space="preserve">"A finding that says 'access control is inadequate' is useless. A finding that </w:t>
      </w:r>
      <w:proofErr w:type="gramStart"/>
      <w:r>
        <w:rPr>
          <w:i/>
          <w:iCs/>
          <w:color w:val="333333"/>
        </w:rPr>
        <w:t>says</w:t>
      </w:r>
      <w:proofErr w:type="gramEnd"/>
      <w:r>
        <w:rPr>
          <w:i/>
          <w:iCs/>
          <w:color w:val="333333"/>
        </w:rPr>
        <w:t xml:space="preserve"> 'the agency lacks a formal access review process — quarterly reviews of privileged accounts against an approved access list would address this gap' gives the agency a starting point."</w:t>
      </w:r>
    </w:p>
    <w:p w14:paraId="36973BE2" w14:textId="77777777" w:rsidR="00000000" w:rsidRDefault="00000000">
      <w:pPr>
        <w:pStyle w:val="Heading3"/>
        <w:spacing w:before="240" w:after="100"/>
      </w:pPr>
      <w:r>
        <w:t>5. POA&amp;M Quality Specifically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91E" w14:paraId="36973BE5" w14:textId="77777777">
        <w:tc>
          <w:tcPr>
            <w:tcW w:w="9360" w:type="dxa"/>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36973BE3" w14:textId="77777777" w:rsidR="00000000" w:rsidRDefault="00000000">
            <w:pPr>
              <w:spacing w:after="80"/>
            </w:pPr>
            <w:r>
              <w:rPr>
                <w:b/>
                <w:bCs/>
                <w:color w:val="B8860B"/>
              </w:rPr>
              <w:t>⚠️ PREP NOTE — POA&amp;M Detail</w:t>
            </w:r>
          </w:p>
          <w:p w14:paraId="36973BE4" w14:textId="77777777" w:rsidR="00000000" w:rsidRDefault="00000000">
            <w:pPr>
              <w:spacing w:before="40"/>
            </w:pPr>
            <w:r>
              <w:rPr>
                <w:color w:val="555555"/>
                <w:sz w:val="21"/>
                <w:szCs w:val="21"/>
              </w:rPr>
              <w:t xml:space="preserve">The proposal treats POA&amp;Ms primarily as a data handoff — findings structured for ServiceNow GRC import to 'support POA&amp;M development and tracking' (RFP 2.3.1.K). It does not describe POA&amp;M contents in detail (milestones, resource estimates, cost tiers). The presenter needs to describe what </w:t>
            </w:r>
            <w:proofErr w:type="gramStart"/>
            <w:r>
              <w:rPr>
                <w:color w:val="555555"/>
                <w:sz w:val="21"/>
                <w:szCs w:val="21"/>
              </w:rPr>
              <w:t>actually goes</w:t>
            </w:r>
            <w:proofErr w:type="gramEnd"/>
            <w:r>
              <w:rPr>
                <w:color w:val="555555"/>
                <w:sz w:val="21"/>
                <w:szCs w:val="21"/>
              </w:rPr>
              <w:t xml:space="preserve"> into your POA&amp;Ms because the panel will push on this. Prepare specific examples of milestone structure, priority rankings, and how you handle recommendations that exceed an agency's budget.</w:t>
            </w:r>
          </w:p>
        </w:tc>
      </w:tr>
    </w:tbl>
    <w:p w14:paraId="36973BE6" w14:textId="77777777" w:rsidR="00000000" w:rsidRDefault="00000000">
      <w:pPr>
        <w:pStyle w:val="ListParagraph"/>
        <w:numPr>
          <w:ilvl w:val="0"/>
          <w:numId w:val="9"/>
        </w:numPr>
        <w:spacing w:before="40" w:after="40"/>
      </w:pPr>
      <w:r>
        <w:rPr>
          <w:color w:val="333333"/>
        </w:rPr>
        <w:t xml:space="preserve">POA&amp;Ms should include realistic milestones, resource estimates, and priority rankings so agencies can </w:t>
      </w:r>
      <w:proofErr w:type="gramStart"/>
      <w:r>
        <w:rPr>
          <w:color w:val="333333"/>
        </w:rPr>
        <w:t>actually plan</w:t>
      </w:r>
      <w:proofErr w:type="gramEnd"/>
      <w:r>
        <w:rPr>
          <w:color w:val="333333"/>
        </w:rPr>
        <w:t xml:space="preserve"> and budget.</w:t>
      </w:r>
    </w:p>
    <w:p w14:paraId="36973BE7" w14:textId="77777777" w:rsidR="00000000" w:rsidRDefault="00000000">
      <w:pPr>
        <w:pStyle w:val="ListParagraph"/>
        <w:numPr>
          <w:ilvl w:val="0"/>
          <w:numId w:val="9"/>
        </w:numPr>
        <w:spacing w:before="40" w:after="40"/>
      </w:pPr>
      <w:r>
        <w:rPr>
          <w:color w:val="333333"/>
        </w:rPr>
        <w:t>Structured for direct import into ServiceNow GRC (Q21).</w:t>
      </w:r>
    </w:p>
    <w:p w14:paraId="36973BE8" w14:textId="77777777" w:rsidR="00000000" w:rsidRDefault="00000000">
      <w:pPr>
        <w:pStyle w:val="ListParagraph"/>
        <w:numPr>
          <w:ilvl w:val="0"/>
          <w:numId w:val="9"/>
        </w:numPr>
        <w:spacing w:before="40" w:after="40"/>
      </w:pPr>
      <w:r>
        <w:rPr>
          <w:color w:val="333333"/>
        </w:rPr>
        <w:t>Recommendations should be tiered by complexity and cost — quick wins vs. multi-year efforts.</w:t>
      </w:r>
    </w:p>
    <w:p w14:paraId="36973BE9" w14:textId="77777777" w:rsidR="00000000" w:rsidRDefault="00000000">
      <w:pPr>
        <w:pStyle w:val="Heading3"/>
        <w:spacing w:before="240" w:after="100"/>
      </w:pPr>
      <w:r>
        <w:t>6. Consistency Checks Across the Portfolio</w:t>
      </w:r>
    </w:p>
    <w:p w14:paraId="36973BEA" w14:textId="77777777" w:rsidR="00000000" w:rsidRDefault="00000000">
      <w:pPr>
        <w:spacing w:before="80" w:after="80"/>
      </w:pPr>
      <w:r>
        <w:rPr>
          <w:color w:val="333333"/>
        </w:rPr>
        <w:t>When you've completed 30 assessments, how do you know you haven't drifted? Is Agency #30 scored on the same standard as Agency #1?</w:t>
      </w:r>
    </w:p>
    <w:p w14:paraId="36973BEB" w14:textId="77777777" w:rsidR="00000000" w:rsidRDefault="00000000">
      <w:pPr>
        <w:spacing w:before="80" w:after="80"/>
      </w:pPr>
      <w:r>
        <w:rPr>
          <w:b/>
          <w:bCs/>
          <w:color w:val="B8860B"/>
        </w:rPr>
        <w:t xml:space="preserve">Proposal Reference: </w:t>
      </w:r>
      <w:r>
        <w:rPr>
          <w:i/>
          <w:iCs/>
          <w:color w:val="555555"/>
        </w:rPr>
        <w:t xml:space="preserve">F.5.4 — PMO monitors quality trends across all active assessments </w:t>
      </w:r>
      <w:proofErr w:type="gramStart"/>
      <w:r>
        <w:rPr>
          <w:i/>
          <w:iCs/>
          <w:color w:val="555555"/>
        </w:rPr>
        <w:t>including:</w:t>
      </w:r>
      <w:proofErr w:type="gramEnd"/>
      <w:r>
        <w:rPr>
          <w:i/>
          <w:iCs/>
          <w:color w:val="555555"/>
        </w:rPr>
        <w:t xml:space="preserve"> periodic review of scoring distributions across agencies, identification of outliers or inconsistencies requiring recalibration, monitoring of rework rates and cycle times, verification that deliverables meet formatting and submission standards.</w:t>
      </w:r>
    </w:p>
    <w:p w14:paraId="36973BEC" w14:textId="77777777" w:rsidR="00000000" w:rsidRDefault="00000000">
      <w:pPr>
        <w:spacing w:before="80" w:after="80"/>
      </w:pPr>
      <w:r>
        <w:rPr>
          <w:b/>
          <w:bCs/>
          <w:color w:val="333333"/>
        </w:rPr>
        <w:t xml:space="preserve">Key Point: </w:t>
      </w:r>
      <w:r>
        <w:rPr>
          <w:color w:val="333333"/>
        </w:rPr>
        <w:t>This is portfolio-level QA, not just individual deliverable QA. The PMO is watching for drift across the entire program.</w:t>
      </w:r>
    </w:p>
    <w:p w14:paraId="36973BED" w14:textId="77777777" w:rsidR="00000000" w:rsidRDefault="00000000">
      <w:pPr>
        <w:pStyle w:val="Heading3"/>
        <w:spacing w:before="240" w:after="100"/>
      </w:pPr>
      <w:r>
        <w:t>7. QA Transparency to the State</w:t>
      </w:r>
    </w:p>
    <w:p w14:paraId="36973BEE" w14:textId="77777777" w:rsidR="00000000" w:rsidRDefault="00000000">
      <w:pPr>
        <w:spacing w:before="80" w:after="80"/>
      </w:pPr>
      <w:r>
        <w:rPr>
          <w:color w:val="333333"/>
        </w:rPr>
        <w:t>Q171 confirmed the State expects QA evidence (workpapers, scoring rationale, peer-review records) throughout the assessment process. This isn't internal-only QA — the State can see it.</w:t>
      </w:r>
    </w:p>
    <w:p w14:paraId="36973BEF" w14:textId="77777777" w:rsidR="00000000" w:rsidRDefault="00000000">
      <w:pPr>
        <w:spacing w:before="80" w:after="80"/>
      </w:pPr>
      <w:r>
        <w:rPr>
          <w:b/>
          <w:bCs/>
          <w:color w:val="B8860B"/>
        </w:rPr>
        <w:t xml:space="preserve">Proposal Reference: </w:t>
      </w:r>
      <w:r>
        <w:rPr>
          <w:i/>
          <w:iCs/>
          <w:color w:val="555555"/>
        </w:rPr>
        <w:t xml:space="preserve">F.5.5 — </w:t>
      </w:r>
      <w:proofErr w:type="spellStart"/>
      <w:r>
        <w:rPr>
          <w:i/>
          <w:iCs/>
          <w:color w:val="555555"/>
        </w:rPr>
        <w:t>Assurit's</w:t>
      </w:r>
      <w:proofErr w:type="spellEnd"/>
      <w:r>
        <w:rPr>
          <w:i/>
          <w:iCs/>
          <w:color w:val="555555"/>
        </w:rPr>
        <w:t xml:space="preserve"> internal quality controls complement, not replace, State oversight. Draft deliverables shared for ISO review. Feedback incorporated before finalization.</w:t>
      </w:r>
    </w:p>
    <w:p w14:paraId="36973BF0" w14:textId="77777777" w:rsidR="00000000" w:rsidRDefault="00000000">
      <w:pPr>
        <w:pStyle w:val="Heading3"/>
        <w:spacing w:before="240" w:after="100"/>
      </w:pPr>
      <w:r>
        <w:t>8. Handling State Feedback on Drafts</w:t>
      </w:r>
    </w:p>
    <w:p w14:paraId="36973BF1" w14:textId="77777777" w:rsidR="00000000" w:rsidRDefault="00000000">
      <w:pPr>
        <w:spacing w:before="80" w:after="80"/>
      </w:pPr>
      <w:r>
        <w:rPr>
          <w:color w:val="333333"/>
        </w:rPr>
        <w:t>After draft delivery, ISO has 5 business days to review (Q43). When they push back on a finding or disagree with a score, show you have a defined reconciliation workflow — not just "we'll incorporate their comments."</w:t>
      </w:r>
    </w:p>
    <w:p w14:paraId="36973BF2" w14:textId="77777777" w:rsidR="00000000" w:rsidRDefault="00000000">
      <w:pPr>
        <w:spacing w:before="80" w:after="80"/>
      </w:pPr>
      <w:r>
        <w:rPr>
          <w:b/>
          <w:bCs/>
          <w:color w:val="B8860B"/>
        </w:rPr>
        <w:t xml:space="preserve">Proposal Reference: </w:t>
      </w:r>
      <w:r>
        <w:rPr>
          <w:i/>
          <w:iCs/>
          <w:color w:val="555555"/>
        </w:rPr>
        <w:t>F.5.5 — "Feedback is reconciled and incorporated prior to final submission. Any discrepancies or questions are addressed collaboratively before finalization."</w:t>
      </w:r>
    </w:p>
    <w:p w14:paraId="36973BF3" w14:textId="77777777" w:rsidR="00000000" w:rsidRDefault="00000000">
      <w:pPr>
        <w:spacing w:before="80" w:after="80"/>
      </w:pPr>
      <w:r>
        <w:rPr>
          <w:b/>
          <w:bCs/>
          <w:color w:val="B8860B"/>
        </w:rPr>
        <w:t xml:space="preserve">Proposal Reference: </w:t>
      </w:r>
      <w:r>
        <w:rPr>
          <w:i/>
          <w:iCs/>
          <w:color w:val="555555"/>
        </w:rPr>
        <w:t>F.4.2 item 3 — Draft deliverables shared with ISO for factual validation.</w:t>
      </w:r>
    </w:p>
    <w:p w14:paraId="36973BF4" w14:textId="77777777" w:rsidR="00000000" w:rsidRDefault="00000000">
      <w:pPr>
        <w:spacing w:before="80" w:after="80"/>
      </w:pPr>
      <w:r>
        <w:rPr>
          <w:b/>
          <w:bCs/>
          <w:color w:val="2E7D32"/>
        </w:rPr>
        <w:lastRenderedPageBreak/>
        <w:t xml:space="preserve">What to say: </w:t>
      </w:r>
      <w:r>
        <w:rPr>
          <w:i/>
          <w:iCs/>
          <w:color w:val="333333"/>
        </w:rPr>
        <w:t>"If we agree the feedback is valid, we incorporate it and document why. If we believe the original finding is correct, we document that rationale too. The State sees both the finding and the reasoning — nothing is a black box."</w:t>
      </w:r>
    </w:p>
    <w:p w14:paraId="36973BF5" w14:textId="77777777" w:rsidR="00000000" w:rsidRDefault="00000000">
      <w:pPr>
        <w:pBdr>
          <w:bottom w:val="single" w:sz="6" w:space="1" w:color="D4A017"/>
        </w:pBdr>
        <w:spacing w:before="200" w:after="200"/>
      </w:pPr>
    </w:p>
    <w:p w14:paraId="36973BF6" w14:textId="77777777" w:rsidR="00000000" w:rsidRDefault="00000000">
      <w:pPr>
        <w:pStyle w:val="Heading1"/>
        <w:spacing w:before="200" w:after="120"/>
      </w:pPr>
      <w:r>
        <w:t>GOALS</w:t>
      </w:r>
    </w:p>
    <w:p w14:paraId="36973BF7" w14:textId="77777777" w:rsidR="00000000" w:rsidRDefault="00000000">
      <w:pPr>
        <w:pStyle w:val="ListParagraph"/>
        <w:numPr>
          <w:ilvl w:val="0"/>
          <w:numId w:val="10"/>
        </w:numPr>
        <w:spacing w:before="40" w:after="40"/>
      </w:pPr>
      <w:r>
        <w:rPr>
          <w:color w:val="333333"/>
        </w:rPr>
        <w:t>Make FRTA feel indispensable, not bureaucratic. It's the thing that prevents embarrassing mistakes from reaching the State.</w:t>
      </w:r>
    </w:p>
    <w:p w14:paraId="36973BF8" w14:textId="77777777" w:rsidR="00000000" w:rsidRDefault="00000000">
      <w:pPr>
        <w:pStyle w:val="ListParagraph"/>
        <w:numPr>
          <w:ilvl w:val="0"/>
          <w:numId w:val="10"/>
        </w:numPr>
        <w:spacing w:before="40" w:after="40"/>
      </w:pPr>
      <w:r>
        <w:rPr>
          <w:color w:val="333333"/>
        </w:rPr>
        <w:t>Show deliverables through the agency's eyes. Will the agency director understand the SAR? Can they act on it?</w:t>
      </w:r>
    </w:p>
    <w:p w14:paraId="36973BF9" w14:textId="77777777" w:rsidR="00000000" w:rsidRDefault="00000000">
      <w:pPr>
        <w:pStyle w:val="ListParagraph"/>
        <w:numPr>
          <w:ilvl w:val="0"/>
          <w:numId w:val="10"/>
        </w:numPr>
        <w:spacing w:before="40" w:after="40"/>
      </w:pPr>
      <w:r>
        <w:rPr>
          <w:color w:val="333333"/>
        </w:rPr>
        <w:t>Prove QA is systemic, not heroic. Doesn't depend on one smart person. Works even when your best reviewer is on vacation.</w:t>
      </w:r>
    </w:p>
    <w:p w14:paraId="36973BFA" w14:textId="77777777" w:rsidR="00000000" w:rsidRDefault="00000000">
      <w:pPr>
        <w:pStyle w:val="ListParagraph"/>
        <w:numPr>
          <w:ilvl w:val="0"/>
          <w:numId w:val="10"/>
        </w:numPr>
        <w:spacing w:before="40" w:after="40"/>
      </w:pPr>
      <w:r>
        <w:rPr>
          <w:color w:val="333333"/>
        </w:rPr>
        <w:t>Connect to Q2 and Q3 without repeating. ESG drives scoring consistency (Q2), evidence validation handles messy environments (Q3), FRTA ensures the final product reflects all of that accurately.</w:t>
      </w:r>
    </w:p>
    <w:p w14:paraId="36973BFB" w14:textId="77777777" w:rsidR="00000000" w:rsidRDefault="00000000">
      <w:pPr>
        <w:pBdr>
          <w:bottom w:val="single" w:sz="6" w:space="1" w:color="D4A017"/>
        </w:pBdr>
        <w:spacing w:before="200" w:after="200"/>
      </w:pPr>
    </w:p>
    <w:p w14:paraId="36973BFC" w14:textId="77777777" w:rsidR="00000000" w:rsidRDefault="00000000">
      <w:pPr>
        <w:pStyle w:val="Heading1"/>
        <w:spacing w:before="200" w:after="120"/>
      </w:pPr>
      <w:r>
        <w:t>POTENTIAL QUESTIONS</w:t>
      </w:r>
    </w:p>
    <w:p w14:paraId="36973BFD" w14:textId="77777777" w:rsidR="00000000" w:rsidRDefault="00000000">
      <w:pPr>
        <w:pStyle w:val="Heading2"/>
        <w:spacing w:before="300" w:after="120"/>
      </w:pPr>
      <w:r>
        <w:t>On the QA Process</w:t>
      </w:r>
    </w:p>
    <w:p w14:paraId="36973BFE" w14:textId="77777777" w:rsidR="00000000" w:rsidRDefault="00000000">
      <w:pPr>
        <w:pStyle w:val="ListParagraph"/>
        <w:numPr>
          <w:ilvl w:val="0"/>
          <w:numId w:val="11"/>
        </w:numPr>
        <w:spacing w:before="40" w:after="40"/>
      </w:pPr>
      <w:r>
        <w:rPr>
          <w:color w:val="333333"/>
        </w:rPr>
        <w:t>"Walk me through a specific example — a SAR is about to go out the door and your FRTA reviewer finds a problem. What happens next? Does it go back to the assessor? Does the timeline slip?"</w:t>
      </w:r>
    </w:p>
    <w:p w14:paraId="36973BFF" w14:textId="77777777" w:rsidR="00000000" w:rsidRDefault="00000000">
      <w:pPr>
        <w:pStyle w:val="ListParagraph"/>
        <w:numPr>
          <w:ilvl w:val="0"/>
          <w:numId w:val="11"/>
        </w:numPr>
        <w:spacing w:before="40" w:after="40"/>
      </w:pPr>
      <w:r>
        <w:rPr>
          <w:color w:val="333333"/>
        </w:rPr>
        <w:t>"How long does your internal QA cycle take from completed assessment to deliverable ready for State review? What percentage of your SLO window does QA consume?"</w:t>
      </w:r>
    </w:p>
    <w:p w14:paraId="36973C00" w14:textId="77777777" w:rsidR="00000000" w:rsidRDefault="00000000">
      <w:pPr>
        <w:pStyle w:val="ListParagraph"/>
        <w:numPr>
          <w:ilvl w:val="0"/>
          <w:numId w:val="11"/>
        </w:numPr>
        <w:spacing w:before="40" w:after="40"/>
      </w:pPr>
      <w:r>
        <w:rPr>
          <w:color w:val="333333"/>
        </w:rPr>
        <w:t>"You said independent reviewers check the work. How independent are they really — are they on the same team, same company, or truly separate?"</w:t>
      </w:r>
    </w:p>
    <w:p w14:paraId="36973C01" w14:textId="77777777" w:rsidR="00000000" w:rsidRDefault="00000000">
      <w:pPr>
        <w:pStyle w:val="Heading2"/>
        <w:spacing w:before="300" w:after="120"/>
      </w:pPr>
      <w:r>
        <w:t>On Deliverable Quality</w:t>
      </w:r>
    </w:p>
    <w:p w14:paraId="36973C02" w14:textId="77777777" w:rsidR="00000000" w:rsidRDefault="00000000">
      <w:pPr>
        <w:pStyle w:val="ListParagraph"/>
        <w:numPr>
          <w:ilvl w:val="0"/>
          <w:numId w:val="12"/>
        </w:numPr>
        <w:spacing w:before="40" w:after="40"/>
      </w:pPr>
      <w:r>
        <w:rPr>
          <w:color w:val="333333"/>
        </w:rPr>
        <w:t>"Show me the difference between a good finding and a bad finding in your SAR. What does actionable look like in practice?"</w:t>
      </w:r>
    </w:p>
    <w:p w14:paraId="36973C03" w14:textId="77777777" w:rsidR="00000000" w:rsidRDefault="00000000">
      <w:pPr>
        <w:pStyle w:val="ListParagraph"/>
        <w:numPr>
          <w:ilvl w:val="0"/>
          <w:numId w:val="12"/>
        </w:numPr>
        <w:spacing w:before="40" w:after="40"/>
      </w:pPr>
      <w:r>
        <w:rPr>
          <w:color w:val="333333"/>
        </w:rPr>
        <w:t>"An agency has no dedicated IT security staff — their IT director wears five hats. How do you write a POA&amp;M that's realistic for that level of resourcing?"</w:t>
      </w:r>
    </w:p>
    <w:p w14:paraId="36973C04" w14:textId="77777777" w:rsidR="00000000" w:rsidRDefault="00000000">
      <w:pPr>
        <w:pStyle w:val="ListParagraph"/>
        <w:numPr>
          <w:ilvl w:val="0"/>
          <w:numId w:val="12"/>
        </w:numPr>
        <w:spacing w:before="40" w:after="40"/>
      </w:pPr>
      <w:r>
        <w:rPr>
          <w:color w:val="333333"/>
        </w:rPr>
        <w:t>"Your POA&amp;M recommends a remediation that would cost an agency $2 million they don't have. How do you handle that? Do you tier recommendations by cost and complexity?"</w:t>
      </w:r>
    </w:p>
    <w:p w14:paraId="36973C05" w14:textId="77777777" w:rsidR="00000000" w:rsidRDefault="00000000">
      <w:pPr>
        <w:pStyle w:val="Heading2"/>
        <w:spacing w:before="300" w:after="120"/>
      </w:pPr>
      <w:r>
        <w:t>On Consistency Across the Portfolio</w:t>
      </w:r>
    </w:p>
    <w:p w14:paraId="36973C06" w14:textId="77777777" w:rsidR="00000000" w:rsidRDefault="00000000">
      <w:pPr>
        <w:pStyle w:val="ListParagraph"/>
        <w:numPr>
          <w:ilvl w:val="0"/>
          <w:numId w:val="13"/>
        </w:numPr>
        <w:spacing w:before="40" w:after="40"/>
      </w:pPr>
      <w:r>
        <w:rPr>
          <w:color w:val="333333"/>
        </w:rPr>
        <w:t xml:space="preserve">"You're on assessment number 50. How do you know your team hasn't gradually gotten more lenient or </w:t>
      </w:r>
      <w:proofErr w:type="gramStart"/>
      <w:r>
        <w:rPr>
          <w:color w:val="333333"/>
        </w:rPr>
        <w:t>more strict</w:t>
      </w:r>
      <w:proofErr w:type="gramEnd"/>
      <w:r>
        <w:rPr>
          <w:color w:val="333333"/>
        </w:rPr>
        <w:t xml:space="preserve"> in their scoring since assessment number 1?"</w:t>
      </w:r>
    </w:p>
    <w:p w14:paraId="36973C07" w14:textId="77777777" w:rsidR="00000000" w:rsidRDefault="00000000">
      <w:pPr>
        <w:pStyle w:val="ListParagraph"/>
        <w:numPr>
          <w:ilvl w:val="0"/>
          <w:numId w:val="13"/>
        </w:numPr>
        <w:spacing w:before="40" w:after="40"/>
      </w:pPr>
      <w:r>
        <w:rPr>
          <w:color w:val="333333"/>
        </w:rPr>
        <w:t>"If I compared the SAR format from your first completed assessment to your fiftieth, would they be structurally identical? What if your team improved the template along the way — how do you handle that without making earlier deliverables look inconsistent?"</w:t>
      </w:r>
    </w:p>
    <w:p w14:paraId="36973C08" w14:textId="77777777" w:rsidR="00000000" w:rsidRDefault="00000000">
      <w:pPr>
        <w:pStyle w:val="Heading2"/>
        <w:spacing w:before="300" w:after="120"/>
      </w:pPr>
      <w:r>
        <w:lastRenderedPageBreak/>
        <w:t>On State Feedback</w:t>
      </w:r>
    </w:p>
    <w:p w14:paraId="36973C09" w14:textId="77777777" w:rsidR="00000000" w:rsidRDefault="00000000">
      <w:pPr>
        <w:pStyle w:val="ListParagraph"/>
        <w:numPr>
          <w:ilvl w:val="0"/>
          <w:numId w:val="14"/>
        </w:numPr>
        <w:spacing w:before="40" w:after="40"/>
      </w:pPr>
      <w:r>
        <w:rPr>
          <w:color w:val="333333"/>
        </w:rPr>
        <w:t xml:space="preserve">"You deliver a draft </w:t>
      </w:r>
      <w:proofErr w:type="gramStart"/>
      <w:r>
        <w:rPr>
          <w:color w:val="333333"/>
        </w:rPr>
        <w:t>SAR</w:t>
      </w:r>
      <w:proofErr w:type="gramEnd"/>
      <w:r>
        <w:rPr>
          <w:color w:val="333333"/>
        </w:rPr>
        <w:t xml:space="preserve"> and the ISO disagrees with three of your findings. On one of them, you think the ISO is wrong. How does that conversation go?"</w:t>
      </w:r>
    </w:p>
    <w:p w14:paraId="36973C0A" w14:textId="77777777" w:rsidR="00000000" w:rsidRDefault="00000000">
      <w:pPr>
        <w:pStyle w:val="ListParagraph"/>
        <w:numPr>
          <w:ilvl w:val="0"/>
          <w:numId w:val="14"/>
        </w:numPr>
        <w:spacing w:before="40" w:after="40"/>
      </w:pPr>
      <w:r>
        <w:rPr>
          <w:color w:val="333333"/>
        </w:rPr>
        <w:t>"What if an agency pressures the ISO to push back on your findings because they don't want a low score? How do you maintain the integrity of your assessment?"</w:t>
      </w:r>
    </w:p>
    <w:p w14:paraId="36973C0B" w14:textId="77777777" w:rsidR="00000000" w:rsidRDefault="00000000">
      <w:pPr>
        <w:pStyle w:val="Heading2"/>
        <w:spacing w:before="300" w:after="120"/>
      </w:pPr>
      <w:r>
        <w:t>The Curveball</w:t>
      </w:r>
    </w:p>
    <w:p w14:paraId="36973C0C" w14:textId="77777777" w:rsidR="00000000" w:rsidRDefault="00000000">
      <w:pPr>
        <w:pStyle w:val="ListParagraph"/>
        <w:numPr>
          <w:ilvl w:val="0"/>
          <w:numId w:val="15"/>
        </w:numPr>
        <w:spacing w:before="40" w:after="40"/>
      </w:pPr>
      <w:r>
        <w:rPr>
          <w:color w:val="333333"/>
        </w:rPr>
        <w:t>"The State wants to publish a statewide summary based on your assessment data. They pull SARs from 20 different agencies and notice that the way findings are written varies in tone and detail across different PODs. What went wrong in your QA process, and how do you fix it?"</w:t>
      </w:r>
    </w:p>
    <w:p w14:paraId="36973C0D" w14:textId="77777777" w:rsidR="00000000" w:rsidRDefault="00000000">
      <w:pPr>
        <w:spacing w:before="80" w:after="80"/>
        <w:ind w:left="360"/>
      </w:pPr>
      <w:r>
        <w:rPr>
          <w:b/>
          <w:bCs/>
          <w:color w:val="2E7D32"/>
          <w:sz w:val="21"/>
          <w:szCs w:val="21"/>
        </w:rPr>
        <w:t xml:space="preserve">▶ PREP NOTE: </w:t>
      </w:r>
      <w:r>
        <w:rPr>
          <w:i/>
          <w:iCs/>
          <w:color w:val="2E7D32"/>
          <w:sz w:val="21"/>
          <w:szCs w:val="21"/>
        </w:rPr>
        <w:t>The answer is in F.5.4 (Program-Level Oversight) and F.5.6 (Continuous Improvement). The PMO should have caught tone/detail drift during periodic scoring distribution reviews and deliverable formatting verification. If it slipped through, the fix is: update the ESG and templates with tighter writing standards, brief all PODs, and retroactively review recent deliverables against the updated standard. Acknowledge the gap, show the correction mechanism.</w:t>
      </w:r>
    </w:p>
    <w:p w14:paraId="36973C0E" w14:textId="77777777" w:rsidR="00000000" w:rsidRDefault="00000000">
      <w:pPr>
        <w:pBdr>
          <w:bottom w:val="single" w:sz="6" w:space="1" w:color="D4A017"/>
        </w:pBdr>
        <w:spacing w:before="200" w:after="200"/>
      </w:pPr>
    </w:p>
    <w:p w14:paraId="36973C0F" w14:textId="77777777" w:rsidR="00000000" w:rsidRDefault="00000000">
      <w:pPr>
        <w:pStyle w:val="Heading1"/>
        <w:spacing w:before="200" w:after="120"/>
      </w:pPr>
      <w:r>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7360"/>
      </w:tblGrid>
      <w:tr w:rsidR="00F0291E" w14:paraId="36973C13" w14:textId="77777777">
        <w:tc>
          <w:tcPr>
            <w:tcW w:w="6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36973C10" w14:textId="77777777" w:rsidR="00000000" w:rsidRDefault="00000000">
            <w:pPr>
              <w:jc w:val="center"/>
            </w:pPr>
            <w:r>
              <w:rPr>
                <w:b/>
                <w:bCs/>
                <w:color w:val="FFFFFF"/>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36973C11" w14:textId="77777777" w:rsidR="00000000" w:rsidRDefault="00000000">
            <w:r>
              <w:rPr>
                <w:b/>
                <w:bCs/>
                <w:color w:val="FFFFFF"/>
                <w:sz w:val="20"/>
                <w:szCs w:val="20"/>
              </w:rPr>
              <w:t>Type</w:t>
            </w:r>
          </w:p>
        </w:tc>
        <w:tc>
          <w:tcPr>
            <w:tcW w:w="736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36973C12" w14:textId="77777777" w:rsidR="00000000" w:rsidRDefault="00000000">
            <w:r>
              <w:rPr>
                <w:b/>
                <w:bCs/>
                <w:color w:val="FFFFFF"/>
                <w:sz w:val="20"/>
                <w:szCs w:val="20"/>
              </w:rPr>
              <w:t>Description</w:t>
            </w:r>
          </w:p>
        </w:tc>
      </w:tr>
      <w:tr w:rsidR="00F0291E" w14:paraId="36973C17"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973C14" w14:textId="77777777" w:rsidR="00000000" w:rsidRDefault="00000000">
            <w:pPr>
              <w:jc w:val="center"/>
            </w:pPr>
            <w:r>
              <w:rPr>
                <w:b/>
                <w:bCs/>
                <w:color w:val="2D2D2D"/>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973C15"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73C16" w14:textId="77777777" w:rsidR="00000000" w:rsidRDefault="00000000">
            <w:r>
              <w:rPr>
                <w:color w:val="444444"/>
                <w:sz w:val="20"/>
                <w:szCs w:val="20"/>
              </w:rPr>
              <w:t>Added prep note on finding structure. Proposal mentions 'prioritized recommendations' but does not define a four-part finding format. Presenter should know this is articulation of practice, not verbatim proposal language.</w:t>
            </w:r>
          </w:p>
        </w:tc>
      </w:tr>
      <w:tr w:rsidR="00F0291E" w14:paraId="36973C1B"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973C18" w14:textId="77777777" w:rsidR="00000000" w:rsidRDefault="00000000">
            <w:pPr>
              <w:jc w:val="center"/>
            </w:pPr>
            <w:r>
              <w:rPr>
                <w:b/>
                <w:bCs/>
                <w:color w:val="2D2D2D"/>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973C19"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73C1A" w14:textId="77777777" w:rsidR="00000000" w:rsidRDefault="00000000">
            <w:r>
              <w:rPr>
                <w:color w:val="444444"/>
                <w:sz w:val="20"/>
                <w:szCs w:val="20"/>
              </w:rPr>
              <w:t>Added prep note on POA&amp;M detail. Proposal treats POA&amp;Ms as data handoff for ServiceNow GRC import, not as detailed remediation planning documents. Presenter must prepare specific examples of milestone structure and cost tiering.</w:t>
            </w:r>
          </w:p>
        </w:tc>
      </w:tr>
      <w:tr w:rsidR="00F0291E" w14:paraId="36973C1F"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973C1C" w14:textId="77777777" w:rsidR="00000000" w:rsidRDefault="00000000">
            <w:pPr>
              <w:jc w:val="center"/>
            </w:pPr>
            <w:r>
              <w:rPr>
                <w:b/>
                <w:bCs/>
                <w:color w:val="2D2D2D"/>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973C1D"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73C1E" w14:textId="77777777" w:rsidR="00000000" w:rsidRDefault="00000000">
            <w:r>
              <w:rPr>
                <w:color w:val="444444"/>
                <w:sz w:val="20"/>
                <w:szCs w:val="20"/>
              </w:rPr>
              <w:t>Added curveball prep note grounding the tone-drift answer in F.5.4 (PMO oversight of scoring distributions) and F.5.6 (continuous improvement feedback loops).</w:t>
            </w:r>
          </w:p>
        </w:tc>
      </w:tr>
      <w:tr w:rsidR="00F0291E" w14:paraId="36973C23"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973C20" w14:textId="77777777" w:rsidR="00000000" w:rsidRDefault="00000000">
            <w:pPr>
              <w:jc w:val="center"/>
            </w:pPr>
            <w:r>
              <w:rPr>
                <w:b/>
                <w:bCs/>
                <w:color w:val="2D2D2D"/>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973C21"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73C22" w14:textId="77777777" w:rsidR="00000000" w:rsidRDefault="00000000">
            <w:r>
              <w:rPr>
                <w:color w:val="444444"/>
                <w:sz w:val="20"/>
                <w:szCs w:val="20"/>
              </w:rPr>
              <w:t>Added SLO window prep note. Proposal (F.11) describes SLO tracking but does not state a specific day count. Presenter should know the exact source if referencing a 50-day window.</w:t>
            </w:r>
          </w:p>
        </w:tc>
      </w:tr>
    </w:tbl>
    <w:p w14:paraId="36973C24" w14:textId="77777777" w:rsidR="00000000" w:rsidRDefault="00000000"/>
    <w:p w14:paraId="70C413E0" w14:textId="77777777" w:rsidR="00000000" w:rsidRDefault="00000000">
      <w:pPr>
        <w:spacing w:before="400" w:after="60"/>
        <w:jc w:val="center"/>
      </w:pPr>
      <w:r>
        <w:rPr>
          <w:b/>
          <w:bCs/>
          <w:color w:val="2D2D2D"/>
          <w:sz w:val="40"/>
          <w:szCs w:val="40"/>
        </w:rPr>
        <w:t>ORAL PRESENTATION PREP</w:t>
      </w:r>
    </w:p>
    <w:p w14:paraId="70C413E1" w14:textId="77777777" w:rsidR="00000000" w:rsidRDefault="00000000">
      <w:pPr>
        <w:spacing w:after="60"/>
        <w:jc w:val="center"/>
      </w:pPr>
      <w:r>
        <w:rPr>
          <w:color w:val="555555"/>
          <w:sz w:val="26"/>
          <w:szCs w:val="26"/>
        </w:rPr>
        <w:t>Section 2, Question 6: Independence &amp; Objectivity of Assessments</w:t>
      </w:r>
    </w:p>
    <w:p w14:paraId="70C413E2" w14:textId="77777777" w:rsidR="00000000" w:rsidRDefault="00000000">
      <w:pPr>
        <w:pBdr>
          <w:bottom w:val="single" w:sz="12" w:space="1" w:color="D4A017"/>
        </w:pBdr>
        <w:spacing w:after="80"/>
        <w:jc w:val="center"/>
      </w:pPr>
    </w:p>
    <w:p w14:paraId="70C413E3" w14:textId="77777777" w:rsidR="00000000" w:rsidRDefault="00000000">
      <w:pPr>
        <w:spacing w:after="300"/>
        <w:jc w:val="center"/>
      </w:pPr>
      <w:r>
        <w:rPr>
          <w:i/>
          <w:iCs/>
          <w:color w:val="607D8B"/>
          <w:sz w:val="20"/>
          <w:szCs w:val="20"/>
        </w:rPr>
        <w:t>Updated March 31, 2026 | Verified Against Proposal</w:t>
      </w:r>
    </w:p>
    <w:p w14:paraId="70C413E4" w14:textId="77777777" w:rsidR="00000000" w:rsidRDefault="00000000">
      <w:pPr>
        <w:pBdr>
          <w:bottom w:val="single" w:sz="6" w:space="1" w:color="D4A017"/>
        </w:pBdr>
        <w:spacing w:before="200" w:after="200"/>
      </w:pPr>
    </w:p>
    <w:p w14:paraId="70C413E5" w14:textId="77777777" w:rsidR="00000000" w:rsidRDefault="00000000">
      <w:pPr>
        <w:pStyle w:val="Heading1"/>
        <w:spacing w:before="200" w:after="120"/>
      </w:pPr>
      <w:r>
        <w:lastRenderedPageBreak/>
        <w:t>THE ASK</w:t>
      </w:r>
    </w:p>
    <w:p w14:paraId="70C413E6" w14:textId="77777777" w:rsidR="00000000" w:rsidRDefault="00000000">
      <w:pPr>
        <w:spacing w:before="80" w:after="80"/>
      </w:pPr>
      <w:r>
        <w:rPr>
          <w:b/>
          <w:bCs/>
          <w:color w:val="333333"/>
        </w:rPr>
        <w:t xml:space="preserve">What they're really asking: </w:t>
      </w:r>
      <w:r>
        <w:rPr>
          <w:color w:val="333333"/>
        </w:rPr>
        <w:t>This is the “prove you won’t grade your own homework” question — but the homework they’re worried about isn’t this contract. The scope of this contract is assessment and advisory. You assess agencies, score their maturity, identify gaps, and deliver prioritized remediation recommendations. You do not perform the remediation itself. The panel knows that. What they’re really asking about is the incentive structure that exists after the assessment: the firm that identifies an agency’s gaps is best positioned to win the follow-on work to fix them. That’s where the conflict lives — not in doing the assessment, but in whether the assessment was shaped to create a remediation opportunity. They want to see that you’ve designed around that incentive, not just promised to ignore it.</w:t>
      </w:r>
    </w:p>
    <w:p w14:paraId="70C413E7" w14:textId="77777777" w:rsidR="00000000" w:rsidRDefault="00000000">
      <w:pPr>
        <w:spacing w:before="80" w:after="80"/>
      </w:pPr>
      <w:r>
        <w:rPr>
          <w:color w:val="333333"/>
        </w:rPr>
        <w:t>There are three distinct things the presenter needs to separate cleanly:</w:t>
      </w:r>
    </w:p>
    <w:p w14:paraId="70C413E8" w14:textId="77777777" w:rsidR="00000000" w:rsidRDefault="00000000">
      <w:pPr>
        <w:pStyle w:val="ListParagraph"/>
        <w:numPr>
          <w:ilvl w:val="0"/>
          <w:numId w:val="17"/>
        </w:numPr>
        <w:spacing w:before="40" w:after="40"/>
      </w:pPr>
      <w:r>
        <w:rPr>
          <w:color w:val="333333"/>
        </w:rPr>
        <w:t xml:space="preserve">Assessment — the objective evaluation of an agency’s maturity posture, driven by evidence and the ESG. This is the core of the contract. </w:t>
      </w:r>
    </w:p>
    <w:p w14:paraId="70C413E9" w14:textId="77777777" w:rsidR="00000000" w:rsidRDefault="00000000">
      <w:pPr>
        <w:pStyle w:val="ListParagraph"/>
        <w:numPr>
          <w:ilvl w:val="0"/>
          <w:numId w:val="17"/>
        </w:numPr>
        <w:spacing w:before="40" w:after="40"/>
      </w:pPr>
      <w:r>
        <w:rPr>
          <w:color w:val="333333"/>
        </w:rPr>
        <w:t xml:space="preserve">Advisory — prioritized remediation recommendations delivered as part of assessment outputs. The RFP requires these. Agencies need to know what to fix and how to prioritize. This is a deliverable, not a conflict. </w:t>
      </w:r>
    </w:p>
    <w:p w14:paraId="70C41430" w14:textId="77777777" w:rsidR="00000000" w:rsidRDefault="00000000">
      <w:pPr>
        <w:pStyle w:val="ListParagraph"/>
        <w:numPr>
          <w:ilvl w:val="0"/>
          <w:numId w:val="17"/>
        </w:numPr>
        <w:spacing w:before="40" w:after="40"/>
      </w:pPr>
      <w:r>
        <w:rPr>
          <w:color w:val="333333"/>
        </w:rPr>
        <w:t>Remediation — the actual implementation work to fix identified gaps. This is NOT in scope of this contract. The agency owns execution — whether they do it themselves, hire a separate firm, or build it into a future budget cycle.</w:t>
      </w:r>
    </w:p>
    <w:p w14:paraId="70C413EA" w14:textId="77777777" w:rsidR="00000000" w:rsidRDefault="00000000">
      <w:pPr>
        <w:spacing w:before="80" w:after="80"/>
      </w:pPr>
      <w:r>
        <w:rPr>
          <w:b/>
          <w:bCs/>
          <w:color w:val="333333"/>
        </w:rPr>
        <w:t xml:space="preserve">The Q&amp;A confirmed (Q25) that the contract does not prohibit you from bidding on remediation work, but COMAR 21.05.08 OCI rules apply. </w:t>
      </w:r>
      <w:r>
        <w:rPr>
          <w:color w:val="333333"/>
        </w:rPr>
        <w:t>So this is live — the panel knows the assessment creates the market for remediation, and they want to see that your process produces the same findings regardless of whether follow-on work exists. The distinction between advisory (in scope) and remediation (not in scope) is the bright line that makes this answerable.</w:t>
      </w:r>
    </w:p>
    <w:p w14:paraId="70C413EB" w14:textId="77777777" w:rsidR="00000000" w:rsidRDefault="00000000">
      <w:pPr>
        <w:pBdr>
          <w:bottom w:val="single" w:sz="6" w:space="1" w:color="D4A017"/>
        </w:pBdr>
        <w:spacing w:before="200" w:after="200"/>
      </w:pPr>
    </w:p>
    <w:p w14:paraId="70C413EC" w14:textId="77777777" w:rsidR="00000000" w:rsidRDefault="00000000">
      <w:pPr>
        <w:pStyle w:val="Heading1"/>
        <w:spacing w:before="200" w:after="120"/>
      </w:pPr>
      <w:r>
        <w:t>MUST-HIT ITEMS</w:t>
      </w:r>
    </w:p>
    <w:p w14:paraId="70C413ED" w14:textId="77777777" w:rsidR="00000000" w:rsidRDefault="00000000">
      <w:pPr>
        <w:pStyle w:val="Heading3"/>
        <w:spacing w:before="240" w:after="100"/>
      </w:pPr>
      <w:r>
        <w:t>1. Structural Separation in Your Operating Model</w:t>
      </w:r>
    </w:p>
    <w:p w14:paraId="70C413EE" w14:textId="77777777" w:rsidR="00000000" w:rsidRDefault="00000000">
      <w:pPr>
        <w:spacing w:before="80" w:after="80"/>
      </w:pPr>
      <w:r>
        <w:rPr>
          <w:color w:val="333333"/>
        </w:rPr>
        <w:t>The POD that assesses an agency should not be the team that provides remediation guidance or follow-on support. Show that your organizational structure enforces this, not just policy. Different people, different reporting lines, different incentives.</w:t>
      </w:r>
    </w:p>
    <w:p w14:paraId="70C413EF" w14:textId="77777777" w:rsidR="00000000" w:rsidRDefault="00000000">
      <w:pPr>
        <w:spacing w:before="80" w:after="80"/>
      </w:pPr>
      <w:r>
        <w:rPr>
          <w:b/>
          <w:bCs/>
          <w:color w:val="2E7D32"/>
        </w:rPr>
        <w:t xml:space="preserve">What to say: </w:t>
      </w:r>
      <w:r>
        <w:rPr>
          <w:i/>
          <w:iCs/>
          <w:color w:val="333333"/>
        </w:rPr>
        <w:t>"Our assessment teams are structurally separated from any advisory or remediation functions. The assessors' job is to produce accurate maturity ratings. They don't benefit from finding more problems, and they don't participate in remediation scoping."</w:t>
      </w:r>
    </w:p>
    <w:p w14:paraId="70C413F0" w14:textId="77777777" w:rsidR="00000000" w:rsidRDefault="00000000">
      <w:pPr>
        <w:pStyle w:val="Heading3"/>
        <w:spacing w:before="240" w:after="100"/>
      </w:pPr>
      <w:r>
        <w:t>2. Assessment Findings Stand on Their Own</w:t>
      </w:r>
    </w:p>
    <w:p w14:paraId="70C413F1" w14:textId="77777777" w:rsidR="00000000" w:rsidRDefault="00000000">
      <w:pPr>
        <w:spacing w:before="80" w:after="80"/>
      </w:pPr>
      <w:r>
        <w:rPr>
          <w:color w:val="333333"/>
        </w:rPr>
        <w:t>Maturity scores are based on evidence collected during the assessment. They don't change based on whether the agency wants remediation help. The score is the score — period. Your ESG and FRTA quality gate enforce this.</w:t>
      </w:r>
    </w:p>
    <w:p w14:paraId="70C413F2" w14:textId="77777777" w:rsidR="00000000" w:rsidRDefault="00000000">
      <w:pPr>
        <w:spacing w:before="80" w:after="80"/>
      </w:pPr>
      <w:r>
        <w:rPr>
          <w:b/>
          <w:bCs/>
          <w:color w:val="333333"/>
        </w:rPr>
        <w:t xml:space="preserve">Key Detail: </w:t>
      </w:r>
      <w:r>
        <w:rPr>
          <w:color w:val="333333"/>
        </w:rPr>
        <w:t>The ESG defines how evidence maps to maturity scores. FRTA independently validates that mapping. Neither process has any input from or connection to remediation planning. The scoring methodology is the same whether the agency pursues follow-on work or not.</w:t>
      </w:r>
    </w:p>
    <w:p w14:paraId="70C413F3" w14:textId="77777777" w:rsidR="00000000" w:rsidRDefault="00000000">
      <w:pPr>
        <w:pStyle w:val="Heading3"/>
        <w:spacing w:before="240" w:after="100"/>
      </w:pPr>
      <w:r>
        <w:lastRenderedPageBreak/>
        <w:t>3. The Scope Boundary: Assessment and Advisory, Not Remediation</w:t>
      </w:r>
    </w:p>
    <w:p w14:paraId="70C413F4" w14:textId="77777777" w:rsidR="00000000" w:rsidRDefault="00000000">
      <w:pPr>
        <w:spacing w:before="80" w:after="80"/>
      </w:pPr>
      <w:r>
        <w:rPr>
          <w:color w:val="333333"/>
        </w:rPr>
        <w:t>This is the most important distinction in your answer. The scope of this contract is assessment and advisory. Your deliverables include prioritized remediation recommendations because the RFP requires them and agencies need them. But there is a clear and deliberate boundary: you tell agencies what to fix and how to prioritize it. You do not do the fixing. Recommendations are specific enough for planning and budgeting — what needs to be addressed, why it matters, relative priority, rough complexity — but not so prescriptive that you’re doing implementation design. The agency or their chosen remediation vendor fills in the “how exactly.” Draw this line explicitly in the presentation.</w:t>
      </w:r>
    </w:p>
    <w:p w14:paraId="70C413F5" w14:textId="77777777" w:rsidR="00000000" w:rsidRDefault="00000000">
      <w:pPr>
        <w:spacing w:before="80" w:after="80"/>
      </w:pPr>
      <w:r>
        <w:rPr>
          <w:b/>
          <w:bCs/>
          <w:color w:val="2E7D32"/>
        </w:rPr>
        <w:t xml:space="preserve">What to say: </w:t>
      </w:r>
      <w:r>
        <w:rPr>
          <w:i/>
          <w:iCs/>
          <w:color w:val="333333"/>
        </w:rPr>
        <w:t>“The scope of this contract is assessment and advisory. We assess agencies, score their maturity, identify gaps, and deliver prioritized recommendations. We do not perform the remediation. Our recommendations tell the agency what needs to be addressed, why it matters, and how to prioritize it — with enough specificity to plan and budget. We don’t prescribe vendors, products, or implementation approaches. The agency owns the remediation decision. That boundary is what keeps the assessment objective — our findings are the same whether remediation work follows or not.”</w:t>
      </w:r>
    </w:p>
    <w:p w14:paraId="70C413F6" w14:textId="77777777" w:rsidR="00000000" w:rsidRDefault="00000000">
      <w:pPr>
        <w:pStyle w:val="Heading3"/>
        <w:spacing w:before="240" w:after="100"/>
      </w:pPr>
      <w:r>
        <w:t>4. OCI Awareness Without Being Defensive</w:t>
      </w:r>
    </w:p>
    <w:p w14:paraId="70C413F7" w14:textId="77777777" w:rsidR="00000000" w:rsidRDefault="00000000">
      <w:pPr>
        <w:spacing w:before="80" w:after="80"/>
      </w:pPr>
      <w:r>
        <w:rPr>
          <w:color w:val="333333"/>
        </w:rPr>
        <w:t>Reference COMAR 21.05.08 and show that you've thought about organizational conflict of interest. You can acknowledge that the contract doesn't create a blanket prohibition on remediation work, while showing that your methodology ensures assessment objectivity regardless.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08E4" w14:paraId="70C413FA" w14:textId="77777777">
        <w:tc>
          <w:tcPr>
            <w:tcW w:w="9360" w:type="dxa"/>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70C413F8" w14:textId="77777777" w:rsidR="00000000" w:rsidRDefault="00000000">
            <w:pPr>
              <w:spacing w:after="80"/>
            </w:pPr>
            <w:r>
              <w:rPr>
                <w:b/>
                <w:bCs/>
                <w:color w:val="B8860B"/>
              </w:rPr>
              <w:t>⚠️ PREP NOTE — OCI Framing</w:t>
            </w:r>
          </w:p>
          <w:p w14:paraId="70C413F9" w14:textId="77777777" w:rsidR="00000000" w:rsidRDefault="00000000">
            <w:pPr>
              <w:spacing w:before="40"/>
            </w:pPr>
            <w:r>
              <w:rPr>
                <w:color w:val="555555"/>
                <w:sz w:val="21"/>
                <w:szCs w:val="21"/>
              </w:rPr>
              <w:t>Don't be the vendor that pretends this tension doesn't exist. Every assessment firm faces this question. The ones who pretend the conflict doesn't exist look naive. The ones who show they've designed around it look mature. Acknowledge the tension, then show the structural safeguards.</w:t>
            </w:r>
          </w:p>
        </w:tc>
      </w:tr>
    </w:tbl>
    <w:p w14:paraId="70C413FB" w14:textId="77777777" w:rsidR="00000000" w:rsidRDefault="00000000">
      <w:pPr>
        <w:spacing w:before="80" w:after="80"/>
      </w:pPr>
      <w:r>
        <w:rPr>
          <w:b/>
          <w:bCs/>
          <w:color w:val="2E7D32"/>
        </w:rPr>
        <w:t xml:space="preserve">What to say: </w:t>
      </w:r>
      <w:r>
        <w:rPr>
          <w:i/>
          <w:iCs/>
          <w:color w:val="333333"/>
        </w:rPr>
        <w:t>“We’re aware of COMAR 21.05.08 and the OCI considerations inherent in assessment work. We also understand that an assessment creates the market for remediation — and the firm that identifies the gaps is best positioned to pursue that work. The contract doesn’t prohibit follow-on work, but our methodology is designed so that if Assurit or any other firm pursues remediation with an assessed agency, the original assessment stands on its own — evidence-based, independently validated, and fully transparent to the State. The structural separation, the ESG, the FRTA gate — these exist precisely to ensure the assessment is the same whether follow-on work exists or not.”</w:t>
      </w:r>
    </w:p>
    <w:p w14:paraId="70C413FC" w14:textId="77777777" w:rsidR="00000000" w:rsidRDefault="00000000">
      <w:pPr>
        <w:pStyle w:val="Heading3"/>
        <w:spacing w:before="240" w:after="100"/>
      </w:pPr>
      <w:r>
        <w:t>5. The Assessment Team Doesn't Benefit from Finding More Problems</w:t>
      </w:r>
    </w:p>
    <w:p w14:paraId="70C413FD" w14:textId="77777777" w:rsidR="00000000" w:rsidRDefault="00000000">
      <w:pPr>
        <w:spacing w:before="80" w:after="80"/>
      </w:pPr>
      <w:r>
        <w:rPr>
          <w:color w:val="333333"/>
        </w:rPr>
        <w:t>This is subtle but important. Your assessors aren't incentivized to inflate findings or create work. Their job is to produce accurate, defensible maturity ratings — not to generate a longer POA&amp;M.</w:t>
      </w:r>
    </w:p>
    <w:p w14:paraId="70C413FE" w14:textId="77777777" w:rsidR="00000000" w:rsidRDefault="00000000">
      <w:pPr>
        <w:spacing w:before="80" w:after="80"/>
      </w:pPr>
      <w:r>
        <w:rPr>
          <w:b/>
          <w:bCs/>
          <w:color w:val="333333"/>
        </w:rPr>
        <w:t xml:space="preserve">Key Detail: </w:t>
      </w:r>
      <w:r>
        <w:rPr>
          <w:color w:val="333333"/>
        </w:rPr>
        <w:t>Assessor performance is measured on accuracy, consistency, and adherence to the ESG — not on the volume or severity of findings. An assessor who inflates findings would fail FRTA review, not earn a bonus.</w:t>
      </w:r>
    </w:p>
    <w:p w14:paraId="70C413FF" w14:textId="77777777" w:rsidR="00000000" w:rsidRDefault="00000000">
      <w:pPr>
        <w:pStyle w:val="Heading3"/>
        <w:spacing w:before="240" w:after="100"/>
      </w:pPr>
      <w:r>
        <w:t>6. Transparency Mechanisms</w:t>
      </w:r>
    </w:p>
    <w:p w14:paraId="70C41400" w14:textId="77777777" w:rsidR="00000000" w:rsidRDefault="00000000">
      <w:pPr>
        <w:spacing w:before="80" w:after="80"/>
      </w:pPr>
      <w:r>
        <w:rPr>
          <w:color w:val="333333"/>
        </w:rPr>
        <w:lastRenderedPageBreak/>
        <w:t>The State can see your workpapers, scoring rationale, and QA records (Q171). If there were any bias creeping in, it would be visible. This transparency is your strongest defense against OCI concerns.</w:t>
      </w:r>
    </w:p>
    <w:p w14:paraId="70C41401" w14:textId="77777777" w:rsidR="00000000" w:rsidRDefault="00000000">
      <w:pPr>
        <w:spacing w:before="80" w:after="80"/>
      </w:pPr>
      <w:r>
        <w:rPr>
          <w:b/>
          <w:bCs/>
          <w:color w:val="B8860B"/>
        </w:rPr>
        <w:t xml:space="preserve">Proposal Reference: </w:t>
      </w:r>
      <w:r>
        <w:rPr>
          <w:i/>
          <w:iCs/>
          <w:color w:val="555555"/>
        </w:rPr>
        <w:t>F.5.5 — Assurit's internal quality controls complement, not replace, State oversight. Draft deliverables shared for ISO review. Scoring rationale and workpapers are available throughout the assessment process.</w:t>
      </w:r>
    </w:p>
    <w:p w14:paraId="70C41402" w14:textId="77777777" w:rsidR="00000000" w:rsidRDefault="00000000">
      <w:pPr>
        <w:spacing w:before="80" w:after="80"/>
      </w:pPr>
      <w:r>
        <w:rPr>
          <w:b/>
          <w:bCs/>
          <w:color w:val="2E7D32"/>
        </w:rPr>
        <w:t xml:space="preserve">What to say: </w:t>
      </w:r>
      <w:r>
        <w:rPr>
          <w:i/>
          <w:iCs/>
          <w:color w:val="333333"/>
        </w:rPr>
        <w:t>"The State has full visibility into our scoring decisions. Workpapers, evidence linkages, scoring rationale, peer-review records — all available. If bias were creeping in, the State would see it before we did."</w:t>
      </w:r>
    </w:p>
    <w:p w14:paraId="70C41403" w14:textId="77777777" w:rsidR="00000000" w:rsidRDefault="00000000">
      <w:pPr>
        <w:pBdr>
          <w:bottom w:val="single" w:sz="6" w:space="1" w:color="D4A017"/>
        </w:pBdr>
        <w:spacing w:before="200" w:after="200"/>
      </w:pPr>
    </w:p>
    <w:p w14:paraId="70C41404" w14:textId="77777777" w:rsidR="00000000" w:rsidRDefault="00000000">
      <w:pPr>
        <w:pStyle w:val="Heading1"/>
        <w:spacing w:before="200" w:after="120"/>
      </w:pPr>
      <w:r>
        <w:t>GOALS</w:t>
      </w:r>
    </w:p>
    <w:p w14:paraId="70C41405" w14:textId="77777777" w:rsidR="00000000" w:rsidRDefault="00000000">
      <w:pPr>
        <w:pStyle w:val="ListParagraph"/>
        <w:numPr>
          <w:ilvl w:val="0"/>
          <w:numId w:val="18"/>
        </w:numPr>
        <w:spacing w:before="40" w:after="40"/>
      </w:pPr>
      <w:r>
        <w:rPr>
          <w:color w:val="333333"/>
        </w:rPr>
        <w:t>Show separation is structural, not aspirational. The panel should hear concrete organizational boundaries — not "we promise to be objective." Roles, reporting lines, and process gates.</w:t>
      </w:r>
    </w:p>
    <w:p w14:paraId="70C41406" w14:textId="77777777" w:rsidR="00000000" w:rsidRDefault="00000000">
      <w:pPr>
        <w:pStyle w:val="ListParagraph"/>
        <w:numPr>
          <w:ilvl w:val="0"/>
          <w:numId w:val="18"/>
        </w:numPr>
        <w:spacing w:before="40" w:after="40"/>
      </w:pPr>
      <w:r>
        <w:rPr>
          <w:color w:val="333333"/>
        </w:rPr>
        <w:t>Acknowledge the tension without being defensive. Every assessment firm faces this question. The ones who pretend the conflict doesn't exist look naive. The ones who show they've designed around it look mature.</w:t>
      </w:r>
    </w:p>
    <w:p w14:paraId="70C41407" w14:textId="77777777" w:rsidR="00000000" w:rsidRDefault="00000000">
      <w:pPr>
        <w:pStyle w:val="ListParagraph"/>
        <w:numPr>
          <w:ilvl w:val="0"/>
          <w:numId w:val="18"/>
        </w:numPr>
        <w:spacing w:before="40" w:after="40"/>
      </w:pPr>
      <w:r>
        <w:rPr>
          <w:color w:val="333333"/>
        </w:rPr>
        <w:t>Draw the scope boundary clearly: assessment and advisory are in scope; remediation is not. The conflict only exists if the same firm that scores an agency also profits from fixing the problems. Your contract scope stops at advisory — and that bright line is what makes your independence credible. Agencies need actionable recommendations; that’s a deliverable requirement, not a conflict.</w:t>
      </w:r>
    </w:p>
    <w:p w14:paraId="70C41408" w14:textId="77777777" w:rsidR="00000000" w:rsidRDefault="00000000">
      <w:pPr>
        <w:pStyle w:val="ListParagraph"/>
        <w:numPr>
          <w:ilvl w:val="0"/>
          <w:numId w:val="18"/>
        </w:numPr>
        <w:spacing w:before="40" w:after="40"/>
      </w:pPr>
      <w:r>
        <w:rPr>
          <w:color w:val="333333"/>
        </w:rPr>
        <w:t>Keep it concise. This question has a clean answer if you have the right structure. Don't overcomplicate it.</w:t>
      </w:r>
    </w:p>
    <w:p w14:paraId="70C41409" w14:textId="77777777" w:rsidR="00000000" w:rsidRDefault="00000000">
      <w:pPr>
        <w:pBdr>
          <w:bottom w:val="single" w:sz="6" w:space="1" w:color="D4A017"/>
        </w:pBdr>
        <w:spacing w:before="200" w:after="200"/>
      </w:pPr>
    </w:p>
    <w:p w14:paraId="70C4140A" w14:textId="77777777" w:rsidR="00000000" w:rsidRDefault="00000000">
      <w:pPr>
        <w:pStyle w:val="Heading1"/>
        <w:spacing w:before="200" w:after="120"/>
      </w:pPr>
      <w:r>
        <w:t>POTENTIAL QUESTIONS</w:t>
      </w:r>
    </w:p>
    <w:p w14:paraId="70C4140B" w14:textId="77777777" w:rsidR="00000000" w:rsidRDefault="00000000">
      <w:pPr>
        <w:pStyle w:val="Heading2"/>
        <w:spacing w:before="300" w:after="120"/>
      </w:pPr>
      <w:r>
        <w:t>On Independence</w:t>
      </w:r>
    </w:p>
    <w:p w14:paraId="70C4140C" w14:textId="77777777" w:rsidR="00000000" w:rsidRDefault="00000000">
      <w:pPr>
        <w:pStyle w:val="ListParagraph"/>
        <w:numPr>
          <w:ilvl w:val="0"/>
          <w:numId w:val="19"/>
        </w:numPr>
        <w:spacing w:before="40" w:after="40"/>
      </w:pPr>
      <w:r>
        <w:rPr>
          <w:color w:val="333333"/>
        </w:rPr>
        <w:t>"If Assurit wins remediation work for an agency you previously assessed, how do you ensure the next assessment of that agency isn't influenced by the remediation relationship?"</w:t>
      </w:r>
    </w:p>
    <w:p w14:paraId="70C4140D" w14:textId="77777777" w:rsidR="00000000" w:rsidRDefault="00000000">
      <w:pPr>
        <w:pStyle w:val="ListParagraph"/>
        <w:numPr>
          <w:ilvl w:val="0"/>
          <w:numId w:val="19"/>
        </w:numPr>
        <w:spacing w:before="40" w:after="40"/>
      </w:pPr>
      <w:r>
        <w:rPr>
          <w:color w:val="333333"/>
        </w:rPr>
        <w:t>"Has your firm ever had to recuse itself from follow-on work due to OCI concerns? How did you handle it?"</w:t>
      </w:r>
    </w:p>
    <w:p w14:paraId="70C4140E" w14:textId="77777777" w:rsidR="00000000" w:rsidRDefault="00000000">
      <w:pPr>
        <w:pStyle w:val="ListParagraph"/>
        <w:numPr>
          <w:ilvl w:val="0"/>
          <w:numId w:val="19"/>
        </w:numPr>
        <w:spacing w:before="40" w:after="40"/>
      </w:pPr>
      <w:r>
        <w:rPr>
          <w:color w:val="333333"/>
        </w:rPr>
        <w:t>"What prevents an assessor from softening a finding because they know the agency is a good potential client for other services?"</w:t>
      </w:r>
    </w:p>
    <w:p w14:paraId="70C4140F" w14:textId="77777777" w:rsidR="00000000" w:rsidRDefault="00000000">
      <w:pPr>
        <w:pStyle w:val="Heading2"/>
        <w:spacing w:before="300" w:after="120"/>
      </w:pPr>
      <w:r>
        <w:t>On Remediation Guidance</w:t>
      </w:r>
    </w:p>
    <w:p w14:paraId="70C41410" w14:textId="77777777" w:rsidR="00000000" w:rsidRDefault="00000000">
      <w:pPr>
        <w:pStyle w:val="ListParagraph"/>
        <w:numPr>
          <w:ilvl w:val="0"/>
          <w:numId w:val="20"/>
        </w:numPr>
        <w:spacing w:before="40" w:after="40"/>
      </w:pPr>
      <w:r>
        <w:rPr>
          <w:color w:val="333333"/>
        </w:rPr>
        <w:t>"Your SAR includes remediation recommendations. How detailed do those get? At what point does a recommendation cross the line from advisory into remediation services?"</w:t>
      </w:r>
    </w:p>
    <w:p w14:paraId="70C41411" w14:textId="77777777" w:rsidR="00000000" w:rsidRDefault="00000000">
      <w:pPr>
        <w:pStyle w:val="ListParagraph"/>
        <w:numPr>
          <w:ilvl w:val="0"/>
          <w:numId w:val="20"/>
        </w:numPr>
        <w:spacing w:before="40" w:after="40"/>
      </w:pPr>
      <w:r>
        <w:rPr>
          <w:color w:val="333333"/>
        </w:rPr>
        <w:t>"An agency asks your assessment team for help implementing one of your recommendations during the assessment. What's your response?"</w:t>
      </w:r>
    </w:p>
    <w:p w14:paraId="70C41412" w14:textId="77777777" w:rsidR="00000000" w:rsidRDefault="00000000">
      <w:pPr>
        <w:pStyle w:val="Heading2"/>
        <w:spacing w:before="300" w:after="120"/>
      </w:pPr>
      <w:r>
        <w:lastRenderedPageBreak/>
        <w:t>On Oversight</w:t>
      </w:r>
    </w:p>
    <w:p w14:paraId="70C41413" w14:textId="77777777" w:rsidR="00000000" w:rsidRDefault="00000000">
      <w:pPr>
        <w:pStyle w:val="ListParagraph"/>
        <w:numPr>
          <w:ilvl w:val="0"/>
          <w:numId w:val="21"/>
        </w:numPr>
        <w:spacing w:before="40" w:after="40"/>
      </w:pPr>
      <w:r>
        <w:rPr>
          <w:color w:val="333333"/>
        </w:rPr>
        <w:t>"How would DoIT know if your assessment findings were biased? What visibility do we have into your scoring decisions?"</w:t>
      </w:r>
    </w:p>
    <w:p w14:paraId="70C41414" w14:textId="77777777" w:rsidR="00000000" w:rsidRDefault="00000000">
      <w:pPr>
        <w:pStyle w:val="ListParagraph"/>
        <w:numPr>
          <w:ilvl w:val="0"/>
          <w:numId w:val="21"/>
        </w:numPr>
        <w:spacing w:before="40" w:after="40"/>
      </w:pPr>
      <w:r>
        <w:rPr>
          <w:color w:val="333333"/>
        </w:rPr>
        <w:t>"Do you rotate assessment teams across agencies, or could the same POD assess the same agency year after year?"</w:t>
      </w:r>
    </w:p>
    <w:p w14:paraId="70C41415" w14:textId="77777777" w:rsidR="00000000" w:rsidRDefault="00000000">
      <w:pPr>
        <w:pStyle w:val="Heading2"/>
        <w:spacing w:before="300" w:after="120"/>
      </w:pPr>
      <w:r>
        <w:t>The Curveball</w:t>
      </w:r>
    </w:p>
    <w:p w14:paraId="70C41416" w14:textId="77777777" w:rsidR="00000000" w:rsidRDefault="00000000">
      <w:pPr>
        <w:pStyle w:val="ListParagraph"/>
        <w:numPr>
          <w:ilvl w:val="0"/>
          <w:numId w:val="22"/>
        </w:numPr>
        <w:spacing w:before="40" w:after="40"/>
      </w:pPr>
      <w:r>
        <w:rPr>
          <w:color w:val="333333"/>
        </w:rPr>
        <w:t>"A competitor who lost this bid files an OCI protest claiming your firm can't be objective because you also do remediation work in Maryland. What's your defense?"</w:t>
      </w:r>
    </w:p>
    <w:p w14:paraId="70C41417" w14:textId="77777777" w:rsidR="00000000" w:rsidRDefault="00000000">
      <w:pPr>
        <w:spacing w:before="80" w:after="80"/>
        <w:ind w:left="360"/>
      </w:pPr>
      <w:r>
        <w:rPr>
          <w:b/>
          <w:bCs/>
          <w:color w:val="2E7D32"/>
          <w:sz w:val="21"/>
          <w:szCs w:val="21"/>
        </w:rPr>
        <w:t xml:space="preserve">▶ PREP NOTE: </w:t>
      </w:r>
      <w:r>
        <w:rPr>
          <w:i/>
          <w:iCs/>
          <w:color w:val="2E7D32"/>
          <w:sz w:val="21"/>
          <w:szCs w:val="21"/>
        </w:rPr>
        <w:t>The defense is structural: (1) Assessment methodology is ESG-driven and FRTA-validated — individual assessor judgment doesn't determine scores. (2) Assessment teams are structurally separated from remediation functions. (3) The State has full transparency into scoring rationale and workpapers. (4) COMAR 21.05.08 doesn't prohibit follow-on work; it requires mitigation of conflicts, which our operating model provides. (5) The contract Q&amp;A (Q25) confirmed this structure is acceptable. The protest fails because objectivity is built into the process, not dependent on avoiding remediation work entirely.</w:t>
      </w:r>
    </w:p>
    <w:p w14:paraId="70C41418" w14:textId="77777777" w:rsidR="00000000" w:rsidRDefault="00000000">
      <w:pPr>
        <w:pBdr>
          <w:bottom w:val="single" w:sz="6" w:space="1" w:color="D4A017"/>
        </w:pBdr>
        <w:spacing w:before="200" w:after="200"/>
      </w:pPr>
    </w:p>
    <w:p w14:paraId="70C41419" w14:textId="77777777" w:rsidR="00000000" w:rsidRDefault="00000000">
      <w:pPr>
        <w:pStyle w:val="Heading1"/>
        <w:spacing w:before="200" w:after="120"/>
      </w:pPr>
      <w:r>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7360"/>
      </w:tblGrid>
      <w:tr w:rsidR="00F508E4" w14:paraId="70C4141D" w14:textId="77777777">
        <w:tc>
          <w:tcPr>
            <w:tcW w:w="6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70C4141A" w14:textId="77777777" w:rsidR="00000000" w:rsidRDefault="00000000">
            <w:pPr>
              <w:jc w:val="center"/>
            </w:pPr>
            <w:r>
              <w:rPr>
                <w:b/>
                <w:bCs/>
                <w:color w:val="FFFFFF"/>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70C4141B" w14:textId="77777777" w:rsidR="00000000" w:rsidRDefault="00000000">
            <w:r>
              <w:rPr>
                <w:b/>
                <w:bCs/>
                <w:color w:val="FFFFFF"/>
                <w:sz w:val="20"/>
                <w:szCs w:val="20"/>
              </w:rPr>
              <w:t>Type</w:t>
            </w:r>
          </w:p>
        </w:tc>
        <w:tc>
          <w:tcPr>
            <w:tcW w:w="736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70C4141C" w14:textId="77777777" w:rsidR="00000000" w:rsidRDefault="00000000">
            <w:r>
              <w:rPr>
                <w:b/>
                <w:bCs/>
                <w:color w:val="FFFFFF"/>
                <w:sz w:val="20"/>
                <w:szCs w:val="20"/>
              </w:rPr>
              <w:t>Description</w:t>
            </w:r>
          </w:p>
        </w:tc>
      </w:tr>
      <w:tr w:rsidR="00F508E4" w14:paraId="70C41421"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C4141E" w14:textId="77777777" w:rsidR="00000000" w:rsidRDefault="00000000">
            <w:pPr>
              <w:jc w:val="center"/>
            </w:pPr>
            <w:r>
              <w:rPr>
                <w:b/>
                <w:bCs/>
                <w:color w:val="2D2D2D"/>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0C4141F"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41420" w14:textId="77777777" w:rsidR="00000000" w:rsidRDefault="00000000">
            <w:r>
              <w:rPr>
                <w:color w:val="444444"/>
                <w:sz w:val="20"/>
                <w:szCs w:val="20"/>
              </w:rPr>
              <w:t>Initial Q6 outline created. Structured around OCI tension, structural separation, and COMAR 21.05.08 awareness. Verified against proposal F.5.5 transparency provisions and Q&amp;A Q25 on remediation work.</w:t>
            </w:r>
          </w:p>
        </w:tc>
      </w:tr>
      <w:tr w:rsidR="00F508E4" w14:paraId="70C41425"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0C41426" w14:textId="77777777" w:rsidR="00000000" w:rsidRDefault="00000000">
            <w:pPr>
              <w:jc w:val="center"/>
            </w:pPr>
            <w:r>
              <w:rPr>
                <w:b/>
                <w:bCs/>
                <w:color w:val="2D2D2D"/>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70C41427" w14:textId="77777777" w:rsidR="00000000" w:rsidRDefault="00000000">
            <w:r>
              <w:rPr>
                <w:b/>
                <w:bCs/>
                <w:color w:val="E65100"/>
                <w:sz w:val="20"/>
                <w:szCs w:val="20"/>
              </w:rPr>
              <w:t>Update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0C41428" w14:textId="77777777" w:rsidR="00000000" w:rsidRDefault="00000000">
            <w:r>
              <w:rPr>
                <w:color w:val="444444"/>
                <w:sz w:val="20"/>
                <w:szCs w:val="20"/>
              </w:rPr>
              <w:t>Sharpened advisory vs. remediation distinction throughout. THE ASK reframed to address the post-award incentive structure (assessment creates the remediation market). Three-part separation (assessment / advisory / remediation) added. Must-Hit Item #3 rewritten as “The Scope Boundary” with explicit line between advisory (in scope) and implementation (not in scope). OCI talking points updated to address follow-on work credibility.</w:t>
            </w:r>
          </w:p>
        </w:tc>
      </w:tr>
    </w:tbl>
    <w:p w14:paraId="70C41422" w14:textId="77777777" w:rsidR="00000000" w:rsidRDefault="00000000"/>
    <w:p w14:paraId="0F58AC25" w14:textId="77777777" w:rsidR="00000000" w:rsidRDefault="00000000">
      <w:pPr>
        <w:spacing w:before="400" w:after="60"/>
        <w:jc w:val="center"/>
      </w:pPr>
      <w:r>
        <w:rPr>
          <w:b/>
          <w:bCs/>
          <w:color w:val="2D2D2D"/>
          <w:sz w:val="40"/>
          <w:szCs w:val="40"/>
        </w:rPr>
        <w:t>ORAL PRESENTATION PREP</w:t>
      </w:r>
    </w:p>
    <w:p w14:paraId="0F58AC26" w14:textId="77777777" w:rsidR="00000000" w:rsidRDefault="00000000">
      <w:pPr>
        <w:spacing w:after="60"/>
        <w:jc w:val="center"/>
      </w:pPr>
      <w:r>
        <w:rPr>
          <w:color w:val="555555"/>
          <w:sz w:val="26"/>
          <w:szCs w:val="26"/>
        </w:rPr>
        <w:t>Section 2, Question 7: Program Management &amp; Agency Coordination</w:t>
      </w:r>
    </w:p>
    <w:p w14:paraId="0F58AC27" w14:textId="77777777" w:rsidR="00000000" w:rsidRDefault="00000000">
      <w:pPr>
        <w:pBdr>
          <w:bottom w:val="single" w:sz="12" w:space="1" w:color="D4A017"/>
        </w:pBdr>
        <w:spacing w:after="80"/>
        <w:jc w:val="center"/>
      </w:pPr>
    </w:p>
    <w:p w14:paraId="0F58AC28" w14:textId="77777777" w:rsidR="00000000" w:rsidRDefault="00000000">
      <w:pPr>
        <w:spacing w:after="300"/>
        <w:jc w:val="center"/>
      </w:pPr>
      <w:r>
        <w:rPr>
          <w:i/>
          <w:iCs/>
          <w:color w:val="607D8B"/>
          <w:sz w:val="20"/>
          <w:szCs w:val="20"/>
        </w:rPr>
        <w:t>Updated March 30, 2026 | Verified Against Proposal</w:t>
      </w:r>
    </w:p>
    <w:p w14:paraId="0F58AC29" w14:textId="77777777" w:rsidR="00000000" w:rsidRDefault="00000000">
      <w:pPr>
        <w:pBdr>
          <w:bottom w:val="single" w:sz="6" w:space="1" w:color="D4A017"/>
        </w:pBdr>
        <w:spacing w:before="200" w:after="200"/>
      </w:pPr>
    </w:p>
    <w:p w14:paraId="0F58AC2A" w14:textId="77777777" w:rsidR="00000000" w:rsidRDefault="00000000">
      <w:pPr>
        <w:pStyle w:val="Heading1"/>
        <w:spacing w:before="200" w:after="120"/>
      </w:pPr>
      <w:r>
        <w:t>THE ASK</w:t>
      </w:r>
    </w:p>
    <w:p w14:paraId="0F58AC2B" w14:textId="77777777" w:rsidR="00000000" w:rsidRDefault="00000000">
      <w:pPr>
        <w:spacing w:before="80" w:after="80"/>
      </w:pPr>
      <w:r>
        <w:rPr>
          <w:b/>
          <w:bCs/>
          <w:color w:val="333333"/>
        </w:rPr>
        <w:t xml:space="preserve">What they're really asking: </w:t>
      </w:r>
      <w:r>
        <w:rPr>
          <w:color w:val="333333"/>
        </w:rPr>
        <w:t xml:space="preserve">This is the "can you herd cats" question. The panel knows from experience that the biggest risk to this program isn't your methodology — it's agency cooperation. Some agencies will be enthusiastic, some will drag their feet, and some will </w:t>
      </w:r>
      <w:r>
        <w:rPr>
          <w:color w:val="333333"/>
        </w:rPr>
        <w:lastRenderedPageBreak/>
        <w:t>actively resist being assessed. They want to know you have a plan for all three, and that you can keep the whole program moving even when individual assessments hit friction.</w:t>
      </w:r>
    </w:p>
    <w:p w14:paraId="0F58AC2C" w14:textId="77777777" w:rsidR="00000000" w:rsidRDefault="00000000">
      <w:pPr>
        <w:spacing w:before="80" w:after="80"/>
      </w:pPr>
      <w:r>
        <w:rPr>
          <w:color w:val="333333"/>
        </w:rPr>
        <w:t>There are three threads here:</w:t>
      </w:r>
    </w:p>
    <w:p w14:paraId="0F58AC2D" w14:textId="77777777" w:rsidR="00000000" w:rsidRDefault="00000000">
      <w:pPr>
        <w:pStyle w:val="ListParagraph"/>
        <w:numPr>
          <w:ilvl w:val="0"/>
          <w:numId w:val="24"/>
        </w:numPr>
        <w:spacing w:before="40" w:after="40"/>
      </w:pPr>
      <w:r>
        <w:rPr>
          <w:color w:val="333333"/>
        </w:rPr>
        <w:t>How do you manage scheduling across ~90 concurrent and overlapping engagements?</w:t>
      </w:r>
    </w:p>
    <w:p w14:paraId="0F58AC2E" w14:textId="77777777" w:rsidR="00000000" w:rsidRDefault="00000000">
      <w:pPr>
        <w:pStyle w:val="ListParagraph"/>
        <w:numPr>
          <w:ilvl w:val="0"/>
          <w:numId w:val="24"/>
        </w:numPr>
        <w:spacing w:before="40" w:after="40"/>
      </w:pPr>
      <w:r>
        <w:rPr>
          <w:color w:val="333333"/>
        </w:rPr>
        <w:t>When something goes wrong, how does it escalate?</w:t>
      </w:r>
    </w:p>
    <w:p w14:paraId="0F58AC2F" w14:textId="77777777" w:rsidR="00000000" w:rsidRDefault="00000000">
      <w:pPr>
        <w:pStyle w:val="ListParagraph"/>
        <w:numPr>
          <w:ilvl w:val="0"/>
          <w:numId w:val="24"/>
        </w:numPr>
        <w:spacing w:before="40" w:after="40"/>
      </w:pPr>
      <w:r>
        <w:rPr>
          <w:color w:val="333333"/>
        </w:rPr>
        <w:t>What do you do when an agency won't engage?</w:t>
      </w:r>
    </w:p>
    <w:p w14:paraId="0F58AC30" w14:textId="77777777" w:rsidR="00000000" w:rsidRDefault="00000000">
      <w:pPr>
        <w:spacing w:before="80" w:after="80"/>
      </w:pPr>
      <w:r>
        <w:rPr>
          <w:b/>
          <w:bCs/>
          <w:color w:val="333333"/>
        </w:rPr>
        <w:t xml:space="preserve">The Q&amp;A gives you important cover here — </w:t>
      </w:r>
      <w:r>
        <w:rPr>
          <w:color w:val="333333"/>
        </w:rPr>
        <w:t>SLOs won't be assessed against you for State-caused delays (Q36/Q160), and ISOs have predefined escalation to agency leadership (Q36).</w:t>
      </w:r>
    </w:p>
    <w:p w14:paraId="0F58AC31" w14:textId="77777777" w:rsidR="00000000" w:rsidRDefault="00000000">
      <w:pPr>
        <w:pBdr>
          <w:bottom w:val="single" w:sz="6" w:space="1" w:color="D4A017"/>
        </w:pBdr>
        <w:spacing w:before="200" w:after="200"/>
      </w:pPr>
    </w:p>
    <w:p w14:paraId="0F58AC32" w14:textId="77777777" w:rsidR="00000000" w:rsidRDefault="00000000">
      <w:pPr>
        <w:pStyle w:val="Heading1"/>
        <w:spacing w:before="200" w:after="120"/>
      </w:pPr>
      <w:r>
        <w:t>MUST-HIT ITEMS</w:t>
      </w:r>
    </w:p>
    <w:p w14:paraId="0F58AC33" w14:textId="77777777" w:rsidR="00000000" w:rsidRDefault="00000000">
      <w:pPr>
        <w:pStyle w:val="Heading3"/>
        <w:spacing w:before="240" w:after="100"/>
      </w:pPr>
      <w:r>
        <w:t>1. Program Management Infrastructure</w:t>
      </w:r>
    </w:p>
    <w:p w14:paraId="0F58AC34" w14:textId="77777777" w:rsidR="00000000" w:rsidRDefault="00000000">
      <w:pPr>
        <w:spacing w:before="80" w:after="80"/>
      </w:pPr>
      <w:r>
        <w:rPr>
          <w:color w:val="333333"/>
        </w:rPr>
        <w:t>This isn't about one assessment — it's about managing a portfolio. Show your program-level tools: master tracking, Work Order intake process, resource allocation dashboard, status reporting to DoIT. The State expects you to use their communication and tracking platforms (Q180).</w:t>
      </w:r>
    </w:p>
    <w:p w14:paraId="0F58AC35" w14:textId="77777777" w:rsidR="00000000" w:rsidRDefault="00000000">
      <w:pPr>
        <w:spacing w:before="80" w:after="80"/>
      </w:pPr>
      <w:r>
        <w:rPr>
          <w:b/>
          <w:bCs/>
          <w:color w:val="2E7D32"/>
        </w:rPr>
        <w:t xml:space="preserve">What to say: </w:t>
      </w:r>
      <w:r>
        <w:rPr>
          <w:i/>
          <w:iCs/>
          <w:color w:val="333333"/>
        </w:rPr>
        <w:t>"We manage this as a program, not a series of individual engagements. Our PMO maintains real-time visibility into every active assessment — status, resource allocation, milestone tracking, and risk indicators — all reportable to DoIT on the cadence we agree upon."</w:t>
      </w:r>
    </w:p>
    <w:p w14:paraId="0F58AC36" w14:textId="77777777" w:rsidR="00000000" w:rsidRDefault="00000000">
      <w:pPr>
        <w:pStyle w:val="Heading3"/>
        <w:spacing w:before="240" w:after="100"/>
      </w:pPr>
      <w:r>
        <w:t>2. Work Order Intake and Mobilization</w:t>
      </w:r>
    </w:p>
    <w:p w14:paraId="0F58AC37" w14:textId="77777777" w:rsidR="00000000" w:rsidRDefault="00000000">
      <w:pPr>
        <w:spacing w:before="80" w:after="80"/>
      </w:pPr>
      <w:r>
        <w:rPr>
          <w:color w:val="333333"/>
        </w:rPr>
        <w:t>The Q&amp;A confirmed DoIT controls scheduling through Work Orders (Q4/Q38/Q220). No master schedule at award. Show that when a Work Order lands, you have a defined process to spin up a POD, assign personnel, initiate agency contact, and begin the assessment within a defined timeframe.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3D18" w14:paraId="0F58AC3A" w14:textId="77777777">
        <w:tc>
          <w:tcPr>
            <w:tcW w:w="9360" w:type="dxa"/>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0F58AC38" w14:textId="77777777" w:rsidR="00000000" w:rsidRDefault="00000000">
            <w:pPr>
              <w:spacing w:after="80"/>
            </w:pPr>
            <w:r>
              <w:rPr>
                <w:b/>
                <w:bCs/>
                <w:color w:val="B8860B"/>
              </w:rPr>
              <w:t>⚠️ PREP NOTE — Mobilization Timeline</w:t>
            </w:r>
          </w:p>
          <w:p w14:paraId="0F58AC39" w14:textId="77777777" w:rsidR="00000000" w:rsidRDefault="00000000">
            <w:pPr>
              <w:spacing w:before="40"/>
            </w:pPr>
            <w:r>
              <w:rPr>
                <w:color w:val="555555"/>
                <w:sz w:val="21"/>
                <w:szCs w:val="21"/>
              </w:rPr>
              <w:t>The proposal should define a specific mobilization window from Work Order receipt to kickoff. If the presenter doesn't know the exact number, say 'within the SLO-defined timeframe' and pivot to the process itself. Don't invent a day count that isn't in the proposal.</w:t>
            </w:r>
          </w:p>
        </w:tc>
      </w:tr>
    </w:tbl>
    <w:p w14:paraId="0F58AC3B" w14:textId="77777777" w:rsidR="00000000" w:rsidRDefault="00000000">
      <w:pPr>
        <w:spacing w:before="80" w:after="80"/>
      </w:pPr>
      <w:r>
        <w:rPr>
          <w:b/>
          <w:bCs/>
          <w:color w:val="333333"/>
        </w:rPr>
        <w:t xml:space="preserve">Key Detail: </w:t>
      </w:r>
      <w:r>
        <w:rPr>
          <w:color w:val="333333"/>
        </w:rPr>
        <w:t>Work Order → POD assignment → agency outreach → kickoff scheduling → document request. This is a repeatable intake process, not ad hoc mobilization.</w:t>
      </w:r>
    </w:p>
    <w:p w14:paraId="0F58AC3C" w14:textId="77777777" w:rsidR="00000000" w:rsidRDefault="00000000">
      <w:pPr>
        <w:pStyle w:val="Heading3"/>
        <w:spacing w:before="240" w:after="100"/>
      </w:pPr>
      <w:r>
        <w:t>3. Concurrent Assessment Management</w:t>
      </w:r>
    </w:p>
    <w:p w14:paraId="0F58AC3D" w14:textId="77777777" w:rsidR="00000000" w:rsidRDefault="00000000">
      <w:pPr>
        <w:spacing w:before="80" w:after="80"/>
      </w:pPr>
      <w:r>
        <w:rPr>
          <w:color w:val="333333"/>
        </w:rPr>
        <w:t>Expect 6–10 active assessments at any given time (Q4). Show how you track status across all active engagements, manage resource conflicts, and prevent one delayed assessment from cascading into others.</w:t>
      </w:r>
    </w:p>
    <w:p w14:paraId="0F58AC3E" w14:textId="77777777" w:rsidR="00000000" w:rsidRDefault="00000000">
      <w:pPr>
        <w:spacing w:before="80" w:after="80"/>
      </w:pPr>
      <w:r>
        <w:rPr>
          <w:b/>
          <w:bCs/>
          <w:color w:val="B8860B"/>
        </w:rPr>
        <w:t xml:space="preserve">Proposal Reference: </w:t>
      </w:r>
      <w:r>
        <w:rPr>
          <w:i/>
          <w:iCs/>
          <w:color w:val="555555"/>
        </w:rPr>
        <w:t>The POD model is designed for concurrency. Each POD operates semi-independently with its own lead, assessors, and evidence analyst. Resource conflicts are managed at the PMO level, not within individual PODs.</w:t>
      </w:r>
    </w:p>
    <w:p w14:paraId="0F58AC3F" w14:textId="77777777" w:rsidR="00000000" w:rsidRDefault="00000000">
      <w:pPr>
        <w:spacing w:before="80" w:after="80"/>
      </w:pPr>
      <w:r>
        <w:rPr>
          <w:b/>
          <w:bCs/>
          <w:color w:val="2E7D32"/>
        </w:rPr>
        <w:t xml:space="preserve">What to say: </w:t>
      </w:r>
      <w:r>
        <w:rPr>
          <w:i/>
          <w:iCs/>
          <w:color w:val="333333"/>
        </w:rPr>
        <w:t>"Our POD model is built for parallel execution. Each POD is a self-contained assessment team. If one engagement stalls, the others keep moving. The PMO manages cross-POD resource allocation so a delay in one assessment doesn't cascade into the program."</w:t>
      </w:r>
    </w:p>
    <w:p w14:paraId="0F58AC40" w14:textId="77777777" w:rsidR="00000000" w:rsidRDefault="00000000">
      <w:pPr>
        <w:pStyle w:val="Heading3"/>
        <w:spacing w:before="240" w:after="100"/>
      </w:pPr>
      <w:r>
        <w:lastRenderedPageBreak/>
        <w:t>4. Escalation Framework with Defined Triggers</w:t>
      </w:r>
    </w:p>
    <w:p w14:paraId="0F58AC41" w14:textId="77777777" w:rsidR="00000000" w:rsidRDefault="00000000">
      <w:pPr>
        <w:spacing w:before="80" w:after="80"/>
      </w:pPr>
      <w:r>
        <w:rPr>
          <w:color w:val="333333"/>
        </w:rPr>
        <w:t>Don't just say "we escalate." Show the tiers and define what triggers each level — days of non-response, missed milestones, etc.</w:t>
      </w:r>
    </w:p>
    <w:p w14:paraId="0F58AC42" w14:textId="77777777" w:rsidR="00000000" w:rsidRDefault="00000000">
      <w:pPr>
        <w:pStyle w:val="ListParagraph"/>
        <w:numPr>
          <w:ilvl w:val="0"/>
          <w:numId w:val="25"/>
        </w:numPr>
        <w:spacing w:before="40" w:after="40"/>
      </w:pPr>
      <w:r>
        <w:rPr>
          <w:b/>
          <w:bCs/>
          <w:color w:val="333333"/>
        </w:rPr>
        <w:t xml:space="preserve">Tier 1 — POD Lead engagement. </w:t>
      </w:r>
      <w:r>
        <w:rPr>
          <w:color w:val="333333"/>
        </w:rPr>
        <w:t>Direct outreach to agency contact. Follow-up cadence: initial contact, 48-hour follow-up, then escalation if no response within 5 business days.</w:t>
      </w:r>
    </w:p>
    <w:p w14:paraId="0F58AC43" w14:textId="77777777" w:rsidR="00000000" w:rsidRDefault="00000000">
      <w:pPr>
        <w:pStyle w:val="ListParagraph"/>
        <w:numPr>
          <w:ilvl w:val="0"/>
          <w:numId w:val="25"/>
        </w:numPr>
        <w:spacing w:before="40" w:after="40"/>
      </w:pPr>
      <w:r>
        <w:rPr>
          <w:b/>
          <w:bCs/>
          <w:color w:val="333333"/>
        </w:rPr>
        <w:t xml:space="preserve">Tier 2 — Program Manager engagement. </w:t>
      </w:r>
      <w:r>
        <w:rPr>
          <w:color w:val="333333"/>
        </w:rPr>
        <w:t>PM reaches out directly to agency leadership and the assigned ISO. Formal documentation of delay begins.</w:t>
      </w:r>
    </w:p>
    <w:p w14:paraId="0F58AC44" w14:textId="77777777" w:rsidR="00000000" w:rsidRDefault="00000000">
      <w:pPr>
        <w:pStyle w:val="ListParagraph"/>
        <w:numPr>
          <w:ilvl w:val="0"/>
          <w:numId w:val="25"/>
        </w:numPr>
        <w:spacing w:before="40" w:after="40"/>
      </w:pPr>
      <w:r>
        <w:rPr>
          <w:b/>
          <w:bCs/>
          <w:color w:val="333333"/>
        </w:rPr>
        <w:t xml:space="preserve">Tier 3 — ISO escalation to agency leadership (Q36). </w:t>
      </w:r>
      <w:r>
        <w:rPr>
          <w:color w:val="333333"/>
        </w:rPr>
        <w:t>The ISO has predefined authority to escalate within the agency. This is the State's mechanism, not yours — but you trigger it by notifying the ISO.</w:t>
      </w:r>
    </w:p>
    <w:p w14:paraId="0F58AC45" w14:textId="77777777" w:rsidR="00000000" w:rsidRDefault="00000000">
      <w:pPr>
        <w:pStyle w:val="ListParagraph"/>
        <w:numPr>
          <w:ilvl w:val="0"/>
          <w:numId w:val="25"/>
        </w:numPr>
        <w:spacing w:before="40" w:after="40"/>
      </w:pPr>
      <w:r>
        <w:rPr>
          <w:b/>
          <w:bCs/>
          <w:color w:val="333333"/>
        </w:rPr>
        <w:t xml:space="preserve">Tier 4 — Formal notification to the Contract Monitor. </w:t>
      </w:r>
      <w:r>
        <w:rPr>
          <w:color w:val="333333"/>
        </w:rPr>
        <w:t>Written documentation of the delay, steps taken, and impact on SLOs. Triggers the SLO exclusion process (Q160).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3D18" w14:paraId="0F58AC48" w14:textId="77777777">
        <w:tc>
          <w:tcPr>
            <w:tcW w:w="9360" w:type="dxa"/>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0F58AC46" w14:textId="77777777" w:rsidR="00000000" w:rsidRDefault="00000000">
            <w:pPr>
              <w:spacing w:after="80"/>
            </w:pPr>
            <w:r>
              <w:rPr>
                <w:b/>
                <w:bCs/>
                <w:color w:val="B8860B"/>
              </w:rPr>
              <w:t>⚠️ PREP NOTE — Escalation Specifics</w:t>
            </w:r>
          </w:p>
          <w:p w14:paraId="0F58AC47" w14:textId="77777777" w:rsidR="00000000" w:rsidRDefault="00000000">
            <w:pPr>
              <w:spacing w:before="40"/>
            </w:pPr>
            <w:r>
              <w:rPr>
                <w:color w:val="555555"/>
                <w:sz w:val="21"/>
                <w:szCs w:val="21"/>
              </w:rPr>
              <w:t>The proposal likely describes an escalation framework in general terms. The specific day counts and trigger points above are reasonable articulations of practice. The presenter should know whether these exact thresholds are in the proposal or are operational detail that would be finalized during the transition-in period.</w:t>
            </w:r>
          </w:p>
        </w:tc>
      </w:tr>
    </w:tbl>
    <w:p w14:paraId="0F58AC49" w14:textId="77777777" w:rsidR="00000000" w:rsidRDefault="00000000">
      <w:pPr>
        <w:pStyle w:val="Heading3"/>
        <w:spacing w:before="240" w:after="100"/>
      </w:pPr>
      <w:r>
        <w:t>5. Strategy for Unresponsive Agencies</w:t>
      </w:r>
    </w:p>
    <w:p w14:paraId="0F58AC4A" w14:textId="77777777" w:rsidR="00000000" w:rsidRDefault="00000000">
      <w:pPr>
        <w:spacing w:before="80" w:after="80"/>
      </w:pPr>
      <w:r>
        <w:rPr>
          <w:color w:val="333333"/>
        </w:rPr>
        <w:t>This is the heart of the question. Show that you have a playbook: initial outreach, follow-up cadence, ISO engagement, formal escalation, and ultimately documentation of the delay for SLO exclusion purposes (Q160). You don't just wait — you work the problem through channels.</w:t>
      </w:r>
    </w:p>
    <w:p w14:paraId="0F58AC4B" w14:textId="77777777" w:rsidR="00000000" w:rsidRDefault="00000000">
      <w:pPr>
        <w:spacing w:before="80" w:after="80"/>
      </w:pPr>
      <w:r>
        <w:rPr>
          <w:b/>
          <w:bCs/>
          <w:color w:val="2E7D32"/>
        </w:rPr>
        <w:t xml:space="preserve">What to say: </w:t>
      </w:r>
      <w:r>
        <w:rPr>
          <w:i/>
          <w:iCs/>
          <w:color w:val="333333"/>
        </w:rPr>
        <w:t>"We don't wait for agencies to come to us. Our outreach cadence is defined from day one. If we can't get traction, we involve the ISO. If the ISO can't move the agency, we document it and notify the Contract Monitor. At no point are we sitting idle hoping for a response."</w:t>
      </w:r>
    </w:p>
    <w:p w14:paraId="0F58AC4C" w14:textId="77777777" w:rsidR="00000000" w:rsidRDefault="00000000">
      <w:pPr>
        <w:pStyle w:val="Heading3"/>
        <w:spacing w:before="240" w:after="100"/>
      </w:pPr>
      <w:r>
        <w:t>6. Strategy for Resistant Agencies</w:t>
      </w:r>
    </w:p>
    <w:p w14:paraId="0F58AC4D" w14:textId="77777777" w:rsidR="00000000" w:rsidRDefault="00000000">
      <w:pPr>
        <w:spacing w:before="80" w:after="80"/>
      </w:pPr>
      <w:r>
        <w:rPr>
          <w:color w:val="333333"/>
        </w:rPr>
        <w:t>Different from unresponsive. Some agencies will actively push back on the assessment itself. Show that you understand the political dynamics, that you lead with the value proposition (helping them improve, not punishing them), and that you leverage DoIT's authority when necessary.</w:t>
      </w:r>
    </w:p>
    <w:p w14:paraId="0F58AC4E" w14:textId="77777777" w:rsidR="00000000" w:rsidRDefault="00000000">
      <w:pPr>
        <w:spacing w:before="80" w:after="80"/>
      </w:pPr>
      <w:r>
        <w:rPr>
          <w:b/>
          <w:bCs/>
          <w:color w:val="2E7D32"/>
        </w:rPr>
        <w:t xml:space="preserve">What to say: </w:t>
      </w:r>
      <w:r>
        <w:rPr>
          <w:i/>
          <w:iCs/>
          <w:color w:val="333333"/>
        </w:rPr>
        <w:t>"We've seen this before. The agencies that resist usually feel like the assessment is being done to them, not for them. Our approach starts with the value proposition — this helps you understand your posture, prioritize your budget, and demonstrate progress. If that doesn't work, the ISO and DoIT have the authority to require participation. But we'd rather get buy-in than compliance."</w:t>
      </w:r>
    </w:p>
    <w:p w14:paraId="0F58AC4F" w14:textId="77777777" w:rsidR="00000000" w:rsidRDefault="00000000">
      <w:pPr>
        <w:pStyle w:val="Heading3"/>
        <w:spacing w:before="240" w:after="100"/>
      </w:pPr>
      <w:r>
        <w:t>7. SLO Management and Documentation</w:t>
      </w:r>
    </w:p>
    <w:p w14:paraId="0F58AC50" w14:textId="77777777" w:rsidR="00000000" w:rsidRDefault="00000000">
      <w:pPr>
        <w:spacing w:before="80" w:after="80"/>
      </w:pPr>
      <w:r>
        <w:rPr>
          <w:color w:val="333333"/>
        </w:rPr>
        <w:t>The Q&amp;A confirmed SLOs won't be held against you for State-caused delays (Q36) and that documented scheduling delays automatically qualify as exclusions (Q160). Show that you track these carefully — both to protect yourself and to give DoIT visibility into where the program is being held up.</w:t>
      </w:r>
    </w:p>
    <w:p w14:paraId="0F58AC51" w14:textId="77777777" w:rsidR="00000000" w:rsidRDefault="00000000">
      <w:pPr>
        <w:spacing w:before="80" w:after="80"/>
      </w:pPr>
      <w:r>
        <w:rPr>
          <w:b/>
          <w:bCs/>
          <w:color w:val="333333"/>
        </w:rPr>
        <w:lastRenderedPageBreak/>
        <w:t xml:space="preserve">Key Detail: </w:t>
      </w:r>
      <w:r>
        <w:rPr>
          <w:color w:val="333333"/>
        </w:rPr>
        <w:t>Every delay is documented with date stamps, outreach records, and escalation history. This creates the audit trail for SLO exclusions and gives DoIT a clear picture of which agencies are creating program risk.</w:t>
      </w:r>
    </w:p>
    <w:p w14:paraId="0F58AC52" w14:textId="77777777" w:rsidR="00000000" w:rsidRDefault="00000000">
      <w:pPr>
        <w:pStyle w:val="Heading3"/>
        <w:spacing w:before="240" w:after="100"/>
      </w:pPr>
      <w:r>
        <w:t>8. Status Reporting Cadence</w:t>
      </w:r>
    </w:p>
    <w:p w14:paraId="0F58AC53" w14:textId="77777777" w:rsidR="00000000" w:rsidRDefault="00000000">
      <w:pPr>
        <w:spacing w:before="80" w:after="80"/>
      </w:pPr>
      <w:r>
        <w:rPr>
          <w:color w:val="333333"/>
        </w:rPr>
        <w:t>The State wants to see where things stand across all agencies at any given time. Show your reporting rhythm. Reference that frequency will be agreed upon with the State (Q157).</w:t>
      </w:r>
    </w:p>
    <w:p w14:paraId="0F58AC54" w14:textId="77777777" w:rsidR="00000000" w:rsidRDefault="00000000">
      <w:pPr>
        <w:spacing w:before="80" w:after="80"/>
      </w:pPr>
      <w:r>
        <w:rPr>
          <w:b/>
          <w:bCs/>
          <w:color w:val="2E7D32"/>
        </w:rPr>
        <w:t xml:space="preserve">What to say: </w:t>
      </w:r>
      <w:r>
        <w:rPr>
          <w:i/>
          <w:iCs/>
          <w:color w:val="333333"/>
        </w:rPr>
        <w:t>"We'll agree on the reporting cadence with the State during transition-in, but our default is weekly status updates on active assessments and monthly program-level reviews covering portfolio progress, resource utilization, risk indicators, and agency engagement health."</w:t>
      </w:r>
    </w:p>
    <w:p w14:paraId="0F58AC55" w14:textId="77777777" w:rsidR="00000000" w:rsidRDefault="00000000">
      <w:pPr>
        <w:pBdr>
          <w:bottom w:val="single" w:sz="6" w:space="1" w:color="D4A017"/>
        </w:pBdr>
        <w:spacing w:before="200" w:after="200"/>
      </w:pPr>
    </w:p>
    <w:p w14:paraId="0F58AC56" w14:textId="77777777" w:rsidR="00000000" w:rsidRDefault="00000000">
      <w:pPr>
        <w:pStyle w:val="Heading1"/>
        <w:spacing w:before="200" w:after="120"/>
      </w:pPr>
      <w:r>
        <w:t>GOALS</w:t>
      </w:r>
    </w:p>
    <w:p w14:paraId="0F58AC57" w14:textId="77777777" w:rsidR="00000000" w:rsidRDefault="00000000">
      <w:pPr>
        <w:pStyle w:val="ListParagraph"/>
        <w:numPr>
          <w:ilvl w:val="0"/>
          <w:numId w:val="26"/>
        </w:numPr>
        <w:spacing w:before="40" w:after="40"/>
      </w:pPr>
      <w:r>
        <w:rPr>
          <w:color w:val="333333"/>
        </w:rPr>
        <w:t>Show program management maturity, not just assessment expertise. This question is about managing a portfolio of 90 engagements, not about how well you can assess one agency. Think program manager, not assessor.</w:t>
      </w:r>
    </w:p>
    <w:p w14:paraId="0F58AC58" w14:textId="77777777" w:rsidR="00000000" w:rsidRDefault="00000000">
      <w:pPr>
        <w:pStyle w:val="ListParagraph"/>
        <w:numPr>
          <w:ilvl w:val="0"/>
          <w:numId w:val="26"/>
        </w:numPr>
        <w:spacing w:before="40" w:after="40"/>
      </w:pPr>
      <w:r>
        <w:rPr>
          <w:color w:val="333333"/>
        </w:rPr>
        <w:t>Demonstrate you've thought about the hard cases. The easy agencies don't keep the panel up at night. The ones who won't return calls do. Have a real answer for those.</w:t>
      </w:r>
    </w:p>
    <w:p w14:paraId="0F58AC59" w14:textId="77777777" w:rsidR="00000000" w:rsidRDefault="00000000">
      <w:pPr>
        <w:pStyle w:val="ListParagraph"/>
        <w:numPr>
          <w:ilvl w:val="0"/>
          <w:numId w:val="26"/>
        </w:numPr>
        <w:spacing w:before="40" w:after="40"/>
      </w:pPr>
      <w:r>
        <w:rPr>
          <w:color w:val="333333"/>
        </w:rPr>
        <w:t>Use the Q&amp;A to your advantage. Reference the SLO exclusions, ISO escalation paths, and State-controlled scheduling naturally. It shows you've read the material and understand the operating environment.</w:t>
      </w:r>
    </w:p>
    <w:p w14:paraId="0F58AC5A" w14:textId="77777777" w:rsidR="00000000" w:rsidRDefault="00000000">
      <w:pPr>
        <w:pStyle w:val="ListParagraph"/>
        <w:numPr>
          <w:ilvl w:val="0"/>
          <w:numId w:val="26"/>
        </w:numPr>
        <w:spacing w:before="40" w:after="40"/>
      </w:pPr>
      <w:r>
        <w:rPr>
          <w:color w:val="333333"/>
        </w:rPr>
        <w:t>Position yourself as a partner to DoIT, not just a vendor. You're helping them get their agencies assessed. When things go sideways, you work with DoIT to solve the problem — you don't just report it and wait.</w:t>
      </w:r>
    </w:p>
    <w:p w14:paraId="0F58AC5B" w14:textId="77777777" w:rsidR="00000000" w:rsidRDefault="00000000">
      <w:pPr>
        <w:pBdr>
          <w:bottom w:val="single" w:sz="6" w:space="1" w:color="D4A017"/>
        </w:pBdr>
        <w:spacing w:before="200" w:after="200"/>
      </w:pPr>
    </w:p>
    <w:p w14:paraId="0F58AC5C" w14:textId="77777777" w:rsidR="00000000" w:rsidRDefault="00000000">
      <w:pPr>
        <w:pStyle w:val="Heading1"/>
        <w:spacing w:before="200" w:after="120"/>
      </w:pPr>
      <w:r>
        <w:t>POTENTIAL QUESTIONS</w:t>
      </w:r>
    </w:p>
    <w:p w14:paraId="0F58AC5D" w14:textId="77777777" w:rsidR="00000000" w:rsidRDefault="00000000">
      <w:pPr>
        <w:pStyle w:val="Heading2"/>
        <w:spacing w:before="300" w:after="120"/>
      </w:pPr>
      <w:r>
        <w:t>On Scheduling</w:t>
      </w:r>
    </w:p>
    <w:p w14:paraId="0F58AC5E" w14:textId="77777777" w:rsidR="00000000" w:rsidRDefault="00000000">
      <w:pPr>
        <w:pStyle w:val="ListParagraph"/>
        <w:numPr>
          <w:ilvl w:val="0"/>
          <w:numId w:val="27"/>
        </w:numPr>
        <w:spacing w:before="40" w:after="40"/>
      </w:pPr>
      <w:r>
        <w:rPr>
          <w:color w:val="333333"/>
        </w:rPr>
        <w:t>"Three Work Orders come in the same week and you already have eight assessments active. Walk me through your resource allocation decision."</w:t>
      </w:r>
    </w:p>
    <w:p w14:paraId="0F58AC5F" w14:textId="77777777" w:rsidR="00000000" w:rsidRDefault="00000000">
      <w:pPr>
        <w:pStyle w:val="ListParagraph"/>
        <w:numPr>
          <w:ilvl w:val="0"/>
          <w:numId w:val="27"/>
        </w:numPr>
        <w:spacing w:before="40" w:after="40"/>
      </w:pPr>
      <w:r>
        <w:rPr>
          <w:color w:val="333333"/>
        </w:rPr>
        <w:t>"An agency assessment is halfway done when the agency's key contact goes on extended leave. What do you do?"</w:t>
      </w:r>
    </w:p>
    <w:p w14:paraId="0F58AC60" w14:textId="77777777" w:rsidR="00000000" w:rsidRDefault="00000000">
      <w:pPr>
        <w:pStyle w:val="ListParagraph"/>
        <w:numPr>
          <w:ilvl w:val="0"/>
          <w:numId w:val="27"/>
        </w:numPr>
        <w:spacing w:before="40" w:after="40"/>
      </w:pPr>
      <w:r>
        <w:rPr>
          <w:color w:val="333333"/>
        </w:rPr>
        <w:t>"How do you handle seasonal blackouts — fiscal year-end, legislative sessions — when agency staff are less available?"</w:t>
      </w:r>
    </w:p>
    <w:p w14:paraId="0F58AC61" w14:textId="77777777" w:rsidR="00000000" w:rsidRDefault="00000000">
      <w:pPr>
        <w:pStyle w:val="Heading2"/>
        <w:spacing w:before="300" w:after="120"/>
      </w:pPr>
      <w:r>
        <w:t>On Unresponsive Agencies</w:t>
      </w:r>
    </w:p>
    <w:p w14:paraId="0F58AC62" w14:textId="77777777" w:rsidR="00000000" w:rsidRDefault="00000000">
      <w:pPr>
        <w:pStyle w:val="ListParagraph"/>
        <w:numPr>
          <w:ilvl w:val="0"/>
          <w:numId w:val="28"/>
        </w:numPr>
        <w:spacing w:before="40" w:after="40"/>
      </w:pPr>
      <w:r>
        <w:rPr>
          <w:color w:val="333333"/>
        </w:rPr>
        <w:t>"You've been trying to schedule the kickoff meeting with an agency for three weeks. Radio silence. Walk me through your escalation timeline step by step."</w:t>
      </w:r>
    </w:p>
    <w:p w14:paraId="0F58AC63" w14:textId="77777777" w:rsidR="00000000" w:rsidRDefault="00000000">
      <w:pPr>
        <w:pStyle w:val="ListParagraph"/>
        <w:numPr>
          <w:ilvl w:val="0"/>
          <w:numId w:val="28"/>
        </w:numPr>
        <w:spacing w:before="40" w:after="40"/>
      </w:pPr>
      <w:r>
        <w:rPr>
          <w:color w:val="333333"/>
        </w:rPr>
        <w:t>"An agency's CISO tells your team point blank that they don't think this assessment is necessary and they have higher priorities. How do you handle that conversation?"</w:t>
      </w:r>
    </w:p>
    <w:p w14:paraId="0F58AC64" w14:textId="77777777" w:rsidR="00000000" w:rsidRDefault="00000000">
      <w:pPr>
        <w:pStyle w:val="ListParagraph"/>
        <w:numPr>
          <w:ilvl w:val="0"/>
          <w:numId w:val="28"/>
        </w:numPr>
        <w:spacing w:before="40" w:after="40"/>
      </w:pPr>
      <w:r>
        <w:rPr>
          <w:color w:val="333333"/>
        </w:rPr>
        <w:t>"At what point do you formally notify DoIT that an agency is blocking progress, and what do you expect DoIT to do about it?"</w:t>
      </w:r>
    </w:p>
    <w:p w14:paraId="0F58AC65" w14:textId="77777777" w:rsidR="00000000" w:rsidRDefault="00000000">
      <w:pPr>
        <w:pStyle w:val="Heading2"/>
        <w:spacing w:before="300" w:after="120"/>
      </w:pPr>
      <w:r>
        <w:lastRenderedPageBreak/>
        <w:t>On Program Visibility</w:t>
      </w:r>
    </w:p>
    <w:p w14:paraId="0F58AC66" w14:textId="77777777" w:rsidR="00000000" w:rsidRDefault="00000000">
      <w:pPr>
        <w:pStyle w:val="ListParagraph"/>
        <w:numPr>
          <w:ilvl w:val="0"/>
          <w:numId w:val="29"/>
        </w:numPr>
        <w:spacing w:before="40" w:after="40"/>
      </w:pPr>
      <w:r>
        <w:rPr>
          <w:color w:val="333333"/>
        </w:rPr>
        <w:t>"It's month 14 of the contract. Show me what the program status dashboard looks like — what metrics are you tracking?"</w:t>
      </w:r>
    </w:p>
    <w:p w14:paraId="0F58AC67" w14:textId="77777777" w:rsidR="00000000" w:rsidRDefault="00000000">
      <w:pPr>
        <w:pStyle w:val="ListParagraph"/>
        <w:numPr>
          <w:ilvl w:val="0"/>
          <w:numId w:val="29"/>
        </w:numPr>
        <w:spacing w:before="40" w:after="40"/>
      </w:pPr>
      <w:r>
        <w:rPr>
          <w:color w:val="333333"/>
        </w:rPr>
        <w:t>"How do you identify early warning signs that the overall program is falling behind the 90-assessment target?"</w:t>
      </w:r>
    </w:p>
    <w:p w14:paraId="0F58AC68" w14:textId="77777777" w:rsidR="00000000" w:rsidRDefault="00000000">
      <w:pPr>
        <w:pStyle w:val="Heading2"/>
        <w:spacing w:before="300" w:after="120"/>
      </w:pPr>
      <w:r>
        <w:t>The Curveball</w:t>
      </w:r>
    </w:p>
    <w:p w14:paraId="0F58AC69" w14:textId="77777777" w:rsidR="00000000" w:rsidRDefault="00000000">
      <w:pPr>
        <w:pStyle w:val="ListParagraph"/>
        <w:numPr>
          <w:ilvl w:val="0"/>
          <w:numId w:val="30"/>
        </w:numPr>
        <w:spacing w:before="40" w:after="40"/>
      </w:pPr>
      <w:r>
        <w:rPr>
          <w:color w:val="333333"/>
        </w:rPr>
        <w:t>"Twenty agencies are scheduled for Q4 of year two because earlier assessments took longer than planned. How do you compress the back half without sacrificing quality?"</w:t>
      </w:r>
    </w:p>
    <w:p w14:paraId="0F58AC6A" w14:textId="77777777" w:rsidR="00000000" w:rsidRDefault="00000000">
      <w:pPr>
        <w:spacing w:before="80" w:after="80"/>
        <w:ind w:left="360"/>
      </w:pPr>
      <w:r>
        <w:rPr>
          <w:b/>
          <w:bCs/>
          <w:color w:val="2E7D32"/>
          <w:sz w:val="21"/>
          <w:szCs w:val="21"/>
        </w:rPr>
        <w:t xml:space="preserve">▶ PREP NOTE: </w:t>
      </w:r>
      <w:r>
        <w:rPr>
          <w:i/>
          <w:iCs/>
          <w:color w:val="2E7D32"/>
          <w:sz w:val="21"/>
          <w:szCs w:val="21"/>
        </w:rPr>
        <w:t>The answer has three parts: (1) Surge capacity — activate additional PODs or cross-train existing staff to run more concurrent assessments. (2) Process efficiency — by assessment #70 your team is significantly faster than assessment #1; leverage the learning curve. (3) Honest conversation with DoIT — if the math doesn't work, present options: extend the timeline, prioritize the highest-risk agencies, or accept that some assessments will carry into the next period. Don't promise compression that sacrifices quality. The panel will respect the honesty more than the bravado.</w:t>
      </w:r>
    </w:p>
    <w:p w14:paraId="0F58AC6B" w14:textId="77777777" w:rsidR="00000000" w:rsidRDefault="00000000">
      <w:pPr>
        <w:pBdr>
          <w:bottom w:val="single" w:sz="6" w:space="1" w:color="D4A017"/>
        </w:pBdr>
        <w:spacing w:before="200" w:after="200"/>
      </w:pPr>
    </w:p>
    <w:p w14:paraId="0F58AC6C" w14:textId="77777777" w:rsidR="00000000" w:rsidRDefault="00000000">
      <w:pPr>
        <w:pStyle w:val="Heading1"/>
        <w:spacing w:before="200" w:after="120"/>
      </w:pPr>
      <w:r>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7360"/>
      </w:tblGrid>
      <w:tr w:rsidR="00EC3D18" w14:paraId="0F58AC70" w14:textId="77777777">
        <w:tc>
          <w:tcPr>
            <w:tcW w:w="6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0F58AC6D" w14:textId="77777777" w:rsidR="00000000" w:rsidRDefault="00000000">
            <w:pPr>
              <w:jc w:val="center"/>
            </w:pPr>
            <w:r>
              <w:rPr>
                <w:b/>
                <w:bCs/>
                <w:color w:val="FFFFFF"/>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0F58AC6E" w14:textId="77777777" w:rsidR="00000000" w:rsidRDefault="00000000">
            <w:r>
              <w:rPr>
                <w:b/>
                <w:bCs/>
                <w:color w:val="FFFFFF"/>
                <w:sz w:val="20"/>
                <w:szCs w:val="20"/>
              </w:rPr>
              <w:t>Type</w:t>
            </w:r>
          </w:p>
        </w:tc>
        <w:tc>
          <w:tcPr>
            <w:tcW w:w="736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0F58AC6F" w14:textId="77777777" w:rsidR="00000000" w:rsidRDefault="00000000">
            <w:r>
              <w:rPr>
                <w:b/>
                <w:bCs/>
                <w:color w:val="FFFFFF"/>
                <w:sz w:val="20"/>
                <w:szCs w:val="20"/>
              </w:rPr>
              <w:t>Description</w:t>
            </w:r>
          </w:p>
        </w:tc>
      </w:tr>
      <w:tr w:rsidR="00EC3D18" w14:paraId="0F58AC74"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58AC71" w14:textId="77777777" w:rsidR="00000000" w:rsidRDefault="00000000">
            <w:pPr>
              <w:jc w:val="center"/>
            </w:pPr>
            <w:r>
              <w:rPr>
                <w:b/>
                <w:bCs/>
                <w:color w:val="2D2D2D"/>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F58AC72"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8AC73" w14:textId="77777777" w:rsidR="00000000" w:rsidRDefault="00000000">
            <w:r>
              <w:rPr>
                <w:color w:val="444444"/>
                <w:sz w:val="20"/>
                <w:szCs w:val="20"/>
              </w:rPr>
              <w:t>Initial Q7 outline created. Structured around program management infrastructure, escalation framework, unresponsive/resistant agency strategies, and SLO documentation. Verified against Q&amp;A references Q4, Q36, Q38, Q157, Q160, Q180, Q220.</w:t>
            </w:r>
          </w:p>
        </w:tc>
      </w:tr>
      <w:tr w:rsidR="00EC3D18" w14:paraId="0F58AC78"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58AC75" w14:textId="77777777" w:rsidR="00000000" w:rsidRDefault="00000000">
            <w:pPr>
              <w:jc w:val="center"/>
            </w:pPr>
            <w:r>
              <w:rPr>
                <w:b/>
                <w:bCs/>
                <w:color w:val="2D2D2D"/>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F58AC76"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8AC77" w14:textId="77777777" w:rsidR="00000000" w:rsidRDefault="00000000">
            <w:r>
              <w:rPr>
                <w:color w:val="444444"/>
                <w:sz w:val="20"/>
                <w:szCs w:val="20"/>
              </w:rPr>
              <w:t>Added prep notes on mobilization timeline and escalation trigger specifics. Presenter should know which details are in the proposal vs. operational articulation.</w:t>
            </w:r>
          </w:p>
        </w:tc>
      </w:tr>
    </w:tbl>
    <w:p w14:paraId="0F58AC79" w14:textId="77777777" w:rsidR="00000000" w:rsidRDefault="00000000"/>
    <w:p w14:paraId="7740BB4E" w14:textId="77777777" w:rsidR="00000000" w:rsidRDefault="00000000">
      <w:pPr>
        <w:pStyle w:val="Heading1"/>
      </w:pPr>
      <w:r>
        <w:t>ORAL PRESENTATION PREP</w:t>
      </w:r>
    </w:p>
    <w:p w14:paraId="7740BB4F" w14:textId="77777777" w:rsidR="00000000" w:rsidRDefault="00000000">
      <w:pPr>
        <w:pStyle w:val="Heading2"/>
      </w:pPr>
      <w:r>
        <w:t>Section 2, Question 8: Past Performance &amp; Lessons Learned</w:t>
      </w:r>
    </w:p>
    <w:p w14:paraId="7740BB50" w14:textId="77777777" w:rsidR="00000000" w:rsidRDefault="00000000">
      <w:pPr>
        <w:spacing w:after="200"/>
      </w:pPr>
      <w:r>
        <w:t xml:space="preserve">Updated March 31, </w:t>
      </w:r>
      <w:proofErr w:type="gramStart"/>
      <w:r>
        <w:t>2026</w:t>
      </w:r>
      <w:proofErr w:type="gramEnd"/>
      <w:r>
        <w:t xml:space="preserve"> | Verified Against Proposal and Past Performance Writeups</w:t>
      </w:r>
    </w:p>
    <w:p w14:paraId="7740BB51" w14:textId="77777777" w:rsidR="00000000" w:rsidRDefault="00000000">
      <w:pPr>
        <w:pStyle w:val="Heading1"/>
      </w:pPr>
      <w:r>
        <w:t>THE ASK</w:t>
      </w:r>
    </w:p>
    <w:p w14:paraId="7740BB52" w14:textId="77777777" w:rsidR="00000000" w:rsidRDefault="00000000">
      <w:pPr>
        <w:spacing w:after="200"/>
      </w:pPr>
      <w:r>
        <w:rPr>
          <w:b/>
          <w:bCs/>
        </w:rPr>
        <w:t xml:space="preserve">What they’re really asking: </w:t>
      </w:r>
      <w:r>
        <w:t>This is the “prove you’ve done this before” question. The panel wants war stories — real engagements where things got messy and you handled it. They specifically asked for “comparable size and complexity” (statewide or enterprise-scale, multi-agency). They want to hear specific challenges, specific lessons, and how those lessons shaped your current methodology.</w:t>
      </w:r>
    </w:p>
    <w:p w14:paraId="7740BB53" w14:textId="77777777" w:rsidR="00000000" w:rsidRDefault="00000000">
      <w:pPr>
        <w:spacing w:after="200"/>
      </w:pPr>
      <w:r>
        <w:rPr>
          <w:b/>
          <w:bCs/>
        </w:rPr>
        <w:lastRenderedPageBreak/>
        <w:t xml:space="preserve">Critical framing note: </w:t>
      </w:r>
      <w:r>
        <w:t>No single engagement in your past performance is an exact match for the Maryland statewide assessment program. That’s okay — this program is unique in its breadth. The strength of your answer is the combination: nine years inside Maryland state government (MD THINK), federal-grade assessment rigor (CFTC), and proven ability to stand up assessment programs from scratch (FEC). Don’t overstate what any one engagement was. The panel may know exactly what MD THINK involved, and overstating the similarity will cost more credibility than the past performance gains.</w:t>
      </w:r>
    </w:p>
    <w:p w14:paraId="7740BB54" w14:textId="77777777" w:rsidR="00000000" w:rsidRDefault="00000000">
      <w:pPr>
        <w:pStyle w:val="Heading1"/>
      </w:pPr>
      <w:r>
        <w:t>Must-Hit Items for Your Response</w:t>
      </w:r>
    </w:p>
    <w:p w14:paraId="7740BB55" w14:textId="77777777" w:rsidR="00000000" w:rsidRDefault="00000000">
      <w:pPr>
        <w:pStyle w:val="Heading2"/>
      </w:pPr>
      <w:r>
        <w:t>1. MD DHS — MD THINK (MD Benefits)</w:t>
      </w:r>
    </w:p>
    <w:p w14:paraId="7740BB56" w14:textId="77777777" w:rsidR="00000000" w:rsidRDefault="00000000">
      <w:pPr>
        <w:spacing w:after="100"/>
      </w:pPr>
      <w:r>
        <w:rPr>
          <w:b/>
          <w:bCs/>
          <w:color w:val="555555"/>
        </w:rPr>
        <w:t>August 2016 – September 2025 | $11,020,479 | Client: Maryland Department of Human Services</w:t>
      </w:r>
    </w:p>
    <w:p w14:paraId="7740BB57" w14:textId="77777777" w:rsidR="00000000" w:rsidRDefault="00000000">
      <w:pPr>
        <w:spacing w:after="200"/>
      </w:pPr>
      <w:r>
        <w:t>This is your strongest card, but it needs to be played honestly. MD THINK was NOT a statewide assessment program. It was embedded cybersecurity operations for a single statewide cloud platform — supporting DHS programs including SNAP, Medicaid, Child Welfare, and Temporary Cash Assistance. You were the security team: RMF implementation, 800-53A control assessments, pen testing, continuous monitoring, vulnerability management, automated hardening, and federal audit support across 40+ major applications and 7,500 cloud instances.</w:t>
      </w:r>
    </w:p>
    <w:p w14:paraId="7740BB58" w14:textId="77777777" w:rsidR="00000000" w:rsidRDefault="00000000">
      <w:pPr>
        <w:spacing w:after="200"/>
      </w:pPr>
      <w:r>
        <w:rPr>
          <w:b/>
          <w:bCs/>
          <w:color w:val="C00000"/>
        </w:rPr>
        <w:t xml:space="preserve">⚠️ CRITICAL — Do Not Overstate: </w:t>
      </w:r>
      <w:r>
        <w:t xml:space="preserve">The previous version of this outline called MD THINK the “direct predecessor to the work being solicited — same client, same state, comparable complexity.” That framing is inaccurate. The client was DHS, not </w:t>
      </w:r>
      <w:proofErr w:type="spellStart"/>
      <w:r>
        <w:t>DoIT</w:t>
      </w:r>
      <w:proofErr w:type="spellEnd"/>
      <w:r>
        <w:t>. The work was deep security operations for one program, not independent assessments across many agencies. The panel likely knows this. Lead with what’s genuinely transferable.</w:t>
      </w:r>
    </w:p>
    <w:p w14:paraId="7740BB59" w14:textId="77777777" w:rsidR="00000000" w:rsidRDefault="00000000">
      <w:pPr>
        <w:spacing w:after="200"/>
      </w:pPr>
      <w:r>
        <w:rPr>
          <w:b/>
          <w:bCs/>
        </w:rPr>
        <w:t>What to emphasize:</w:t>
      </w:r>
    </w:p>
    <w:p w14:paraId="7740BB5A" w14:textId="77777777" w:rsidR="00000000" w:rsidRDefault="00000000">
      <w:pPr>
        <w:pStyle w:val="ListParagraph"/>
        <w:numPr>
          <w:ilvl w:val="0"/>
          <w:numId w:val="31"/>
        </w:numPr>
        <w:spacing w:after="80"/>
      </w:pPr>
      <w:r>
        <w:rPr>
          <w:b/>
          <w:bCs/>
        </w:rPr>
        <w:t xml:space="preserve">Institutional knowledge: </w:t>
      </w:r>
      <w:r>
        <w:t>Nine years of institutional knowledge of Maryland state government — agency dynamics, political realities, IT governance, federal compliance cascading into state environments</w:t>
      </w:r>
    </w:p>
    <w:p w14:paraId="7740BB5B" w14:textId="77777777" w:rsidR="00000000" w:rsidRDefault="00000000">
      <w:pPr>
        <w:pStyle w:val="ListParagraph"/>
        <w:numPr>
          <w:ilvl w:val="0"/>
          <w:numId w:val="31"/>
        </w:numPr>
        <w:spacing w:after="80"/>
      </w:pPr>
      <w:r>
        <w:rPr>
          <w:b/>
          <w:bCs/>
        </w:rPr>
        <w:t xml:space="preserve">Assessment rigor: </w:t>
      </w:r>
      <w:r>
        <w:t>Real NIST assessment capability built in a high-stakes environment — 800-53A control assessments, SARs, evidence collection, artifact review, federal audit support</w:t>
      </w:r>
    </w:p>
    <w:p w14:paraId="7740BB5C" w14:textId="77777777" w:rsidR="00000000" w:rsidRDefault="00000000">
      <w:pPr>
        <w:pStyle w:val="ListParagraph"/>
        <w:numPr>
          <w:ilvl w:val="0"/>
          <w:numId w:val="31"/>
        </w:numPr>
        <w:spacing w:after="80"/>
      </w:pPr>
      <w:r>
        <w:rPr>
          <w:b/>
          <w:bCs/>
        </w:rPr>
        <w:t xml:space="preserve">Multi-framework alignment: </w:t>
      </w:r>
      <w:r>
        <w:t xml:space="preserve">Seven-framework crosswalk (NIST 800-53, HIPAA, IRS Pub 1075, CMS MARS-E, SOC 2, ISO 27001, CIS Top 20) with a high-water-mark approach — directly relevant to CSF/800-53/800-171 </w:t>
      </w:r>
      <w:proofErr w:type="spellStart"/>
      <w:r>
        <w:t>crosswalking</w:t>
      </w:r>
      <w:proofErr w:type="spellEnd"/>
      <w:r>
        <w:t xml:space="preserve"> in this solicitation</w:t>
      </w:r>
    </w:p>
    <w:p w14:paraId="7740BB5D" w14:textId="77777777" w:rsidR="00000000" w:rsidRDefault="00000000">
      <w:pPr>
        <w:pStyle w:val="ListParagraph"/>
        <w:numPr>
          <w:ilvl w:val="0"/>
          <w:numId w:val="31"/>
        </w:numPr>
        <w:spacing w:after="80"/>
      </w:pPr>
      <w:r>
        <w:rPr>
          <w:b/>
          <w:bCs/>
        </w:rPr>
        <w:t xml:space="preserve">Program management discipline: </w:t>
      </w:r>
      <w:r>
        <w:t>Escalation protocols and template-driven deliverables developed from real experience with unresponsive and under-resourced agency contacts</w:t>
      </w:r>
    </w:p>
    <w:p w14:paraId="7740BB5E" w14:textId="77777777" w:rsidR="00000000" w:rsidRDefault="00000000">
      <w:pPr>
        <w:spacing w:after="200"/>
      </w:pPr>
    </w:p>
    <w:p w14:paraId="7740BB5F" w14:textId="77777777" w:rsidR="00000000" w:rsidRDefault="00000000">
      <w:pPr>
        <w:spacing w:after="200"/>
      </w:pPr>
      <w:r>
        <w:rPr>
          <w:i/>
          <w:iCs/>
          <w:color w:val="4472C4"/>
        </w:rPr>
        <w:t>Recommended framing: “We spent nine years inside Maryland state government as the cybersecurity team for MD THINK — one of the most complex cloud environments in state government. That wasn’t the same work as statewide assessments, but it’s where we built our NIST assessment capability, our multi-framework crosswalk methodology, and our institutional knowledge of how Maryland agencies operate. The ANCHOR framework didn’t come from a textbook — it came from this experience.”</w:t>
      </w:r>
    </w:p>
    <w:p w14:paraId="7740BB60" w14:textId="77777777" w:rsidR="00000000" w:rsidRDefault="00000000">
      <w:pPr>
        <w:pStyle w:val="Heading2"/>
      </w:pPr>
      <w:r>
        <w:lastRenderedPageBreak/>
        <w:t>2. CFTC Office of Inspector General</w:t>
      </w:r>
    </w:p>
    <w:p w14:paraId="7740BB61" w14:textId="77777777" w:rsidR="00000000" w:rsidRDefault="00000000">
      <w:pPr>
        <w:spacing w:after="100"/>
      </w:pPr>
      <w:r>
        <w:rPr>
          <w:b/>
          <w:bCs/>
          <w:color w:val="555555"/>
        </w:rPr>
        <w:t>July 2019 – July 2023 | $591,256 | Client: CFTC OIG</w:t>
      </w:r>
    </w:p>
    <w:p w14:paraId="7740BB62" w14:textId="77777777" w:rsidR="00000000" w:rsidRDefault="00000000">
      <w:pPr>
        <w:spacing w:after="200"/>
      </w:pPr>
      <w:r>
        <w:t>This is your independent assessment proof point. CFTC OIG engaged Assurit for FISMA control assessments, penetration testing, and Zero-Trust compliance evaluations. Work involved reviewing security artifacts, validating technical controls, and mapping results to NIST SP 800-53A and OMB M-22-09 standards. Performed onsite at CFTC headquarters in secure federal facilities.</w:t>
      </w:r>
    </w:p>
    <w:p w14:paraId="7740BB63" w14:textId="77777777" w:rsidR="00000000" w:rsidRDefault="00000000">
      <w:pPr>
        <w:spacing w:after="200"/>
      </w:pPr>
      <w:r>
        <w:rPr>
          <w:b/>
          <w:bCs/>
        </w:rPr>
        <w:t>What to emphasize:</w:t>
      </w:r>
    </w:p>
    <w:p w14:paraId="7740BB64" w14:textId="77777777" w:rsidR="00000000" w:rsidRDefault="00000000">
      <w:pPr>
        <w:pStyle w:val="ListParagraph"/>
        <w:numPr>
          <w:ilvl w:val="0"/>
          <w:numId w:val="31"/>
        </w:numPr>
        <w:spacing w:after="80"/>
      </w:pPr>
      <w:r>
        <w:t>98% first-submission acceptance rate — federal-grade rigor where every finding had to be evidence-based and defensible under FISMA review</w:t>
      </w:r>
    </w:p>
    <w:p w14:paraId="7740BB65" w14:textId="77777777" w:rsidR="00000000" w:rsidRDefault="00000000">
      <w:pPr>
        <w:pStyle w:val="ListParagraph"/>
        <w:numPr>
          <w:ilvl w:val="0"/>
          <w:numId w:val="31"/>
        </w:numPr>
        <w:spacing w:after="80"/>
      </w:pPr>
      <w:r>
        <w:t>The FRTA quality gate in your current methodology evolved directly from this engagement — built an independent review process that caught errors before findings reached the client</w:t>
      </w:r>
    </w:p>
    <w:p w14:paraId="7740BB66" w14:textId="77777777" w:rsidR="00000000" w:rsidRDefault="00000000">
      <w:pPr>
        <w:pStyle w:val="ListParagraph"/>
        <w:numPr>
          <w:ilvl w:val="0"/>
          <w:numId w:val="31"/>
        </w:numPr>
        <w:spacing w:after="80"/>
      </w:pPr>
      <w:r>
        <w:t>Structured workpapers, control-based questionnaires, stakeholder interviews, and live control demonstrations — the same evidence collection methodology now used in ANCHOR</w:t>
      </w:r>
    </w:p>
    <w:p w14:paraId="7740BB67" w14:textId="77777777" w:rsidR="00000000" w:rsidRDefault="00000000">
      <w:pPr>
        <w:pStyle w:val="ListParagraph"/>
        <w:numPr>
          <w:ilvl w:val="0"/>
          <w:numId w:val="31"/>
        </w:numPr>
        <w:spacing w:after="80"/>
      </w:pPr>
      <w:r>
        <w:t>Zero-Trust compliance evaluation against EO 14028 and OMB M-22-09 — demonstrates ability to assess against evolving federal mandates</w:t>
      </w:r>
    </w:p>
    <w:p w14:paraId="7740BB68" w14:textId="77777777" w:rsidR="00000000" w:rsidRDefault="00000000">
      <w:pPr>
        <w:spacing w:after="200"/>
      </w:pPr>
    </w:p>
    <w:p w14:paraId="7740BB69" w14:textId="77777777" w:rsidR="00000000" w:rsidRDefault="00000000">
      <w:pPr>
        <w:spacing w:after="200"/>
      </w:pPr>
      <w:r>
        <w:rPr>
          <w:b/>
          <w:bCs/>
          <w:color w:val="C00000"/>
        </w:rPr>
        <w:t xml:space="preserve">⚠️ PREP NOTE — Contract Value: </w:t>
      </w:r>
      <w:r>
        <w:t>The CFTC contract was $591,256 — significantly smaller than the other engagements. Don’t lead with dollar value. Lead with the 98% acceptance rate and the assessment methodology rigor. The value of this reference is quality, not scale.</w:t>
      </w:r>
    </w:p>
    <w:p w14:paraId="7740BB6A" w14:textId="77777777" w:rsidR="00000000" w:rsidRDefault="00000000">
      <w:pPr>
        <w:pStyle w:val="Heading2"/>
      </w:pPr>
      <w:r>
        <w:t>3. Federal Election Commission</w:t>
      </w:r>
    </w:p>
    <w:p w14:paraId="7740BB6B" w14:textId="77777777" w:rsidR="00000000" w:rsidRDefault="00000000">
      <w:pPr>
        <w:spacing w:after="100"/>
      </w:pPr>
      <w:r>
        <w:rPr>
          <w:b/>
          <w:bCs/>
          <w:color w:val="555555"/>
        </w:rPr>
        <w:t>March 2021 – Present | $3,665,841 | Client: FEC</w:t>
      </w:r>
    </w:p>
    <w:p w14:paraId="7740BB6C" w14:textId="77777777" w:rsidR="00000000" w:rsidRDefault="00000000">
      <w:pPr>
        <w:spacing w:after="200"/>
      </w:pPr>
      <w:r>
        <w:t>Assurit partnered with the FEC to establish the agency’s first High Value Asset (HVA) program and modernize its Vulnerability Management operations. Services include developing HVA governance frameworks, conducting DHS CISA–validated HVA assessments, training internal assessors under the DHS AES program, and implementing structured POA&amp;M tracking.</w:t>
      </w:r>
    </w:p>
    <w:p w14:paraId="7740BB6D" w14:textId="77777777" w:rsidR="00000000" w:rsidRDefault="00000000">
      <w:pPr>
        <w:spacing w:after="200"/>
      </w:pPr>
      <w:r>
        <w:rPr>
          <w:b/>
          <w:bCs/>
        </w:rPr>
        <w:t>What to emphasize:</w:t>
      </w:r>
    </w:p>
    <w:p w14:paraId="7740BB6E" w14:textId="77777777" w:rsidR="00000000" w:rsidRDefault="00000000">
      <w:pPr>
        <w:pStyle w:val="ListParagraph"/>
        <w:numPr>
          <w:ilvl w:val="0"/>
          <w:numId w:val="31"/>
        </w:numPr>
        <w:spacing w:after="80"/>
      </w:pPr>
      <w:r>
        <w:t>Built an assessment framework, scoring methodology, governance structure, and reporting process from the ground up — program standup capability</w:t>
      </w:r>
    </w:p>
    <w:p w14:paraId="7740BB6F" w14:textId="77777777" w:rsidR="00000000" w:rsidRDefault="00000000">
      <w:pPr>
        <w:pStyle w:val="ListParagraph"/>
        <w:numPr>
          <w:ilvl w:val="0"/>
          <w:numId w:val="31"/>
        </w:numPr>
        <w:spacing w:after="80"/>
      </w:pPr>
      <w:r>
        <w:t>Achieved DHS CISA acceptance — the federal gold standard for HVA assessment programs</w:t>
      </w:r>
    </w:p>
    <w:p w14:paraId="7740BB70" w14:textId="77777777" w:rsidR="00000000" w:rsidRDefault="00000000">
      <w:pPr>
        <w:pStyle w:val="ListParagraph"/>
        <w:numPr>
          <w:ilvl w:val="0"/>
          <w:numId w:val="31"/>
        </w:numPr>
        <w:spacing w:after="80"/>
      </w:pPr>
      <w:r>
        <w:t>Trained and certified FEC staff as CISA-qualified HVA assessors — demonstrates ability to build lasting institutional capability, not just deliver reports</w:t>
      </w:r>
    </w:p>
    <w:p w14:paraId="7740BB71" w14:textId="77777777" w:rsidR="00000000" w:rsidRDefault="00000000">
      <w:pPr>
        <w:pStyle w:val="ListParagraph"/>
        <w:numPr>
          <w:ilvl w:val="0"/>
          <w:numId w:val="31"/>
        </w:numPr>
        <w:spacing w:after="80"/>
      </w:pPr>
      <w:r>
        <w:t>Ongoing engagement (March 2021 – Present) — this is a live, current reference</w:t>
      </w:r>
    </w:p>
    <w:p w14:paraId="7740BB72" w14:textId="77777777" w:rsidR="00000000" w:rsidRDefault="00000000">
      <w:pPr>
        <w:spacing w:after="200"/>
      </w:pPr>
    </w:p>
    <w:p w14:paraId="7740BB73" w14:textId="77777777" w:rsidR="00000000" w:rsidRDefault="00000000">
      <w:pPr>
        <w:pStyle w:val="Heading2"/>
      </w:pPr>
      <w:r>
        <w:t>4. Specific Challenges, Not Generics</w:t>
      </w:r>
    </w:p>
    <w:p w14:paraId="7740BB74" w14:textId="77777777" w:rsidR="00000000" w:rsidRDefault="00000000">
      <w:pPr>
        <w:spacing w:after="200"/>
      </w:pPr>
      <w:r>
        <w:lastRenderedPageBreak/>
        <w:t>The panel wants to hear about real problems. Have specific examples prepared for each engagement using this structure: (1) What was the challenge? (2) What was the impact? (3) What did you do? (4) What was the outcome? (5) What did you change in your process?</w:t>
      </w:r>
    </w:p>
    <w:p w14:paraId="7740BB75" w14:textId="77777777" w:rsidR="00000000" w:rsidRDefault="00000000">
      <w:pPr>
        <w:spacing w:after="200"/>
      </w:pPr>
      <w:r>
        <w:rPr>
          <w:b/>
          <w:bCs/>
          <w:color w:val="C00000"/>
        </w:rPr>
        <w:t xml:space="preserve">⚠️ PREP NOTE — Challenge Examples Needed: </w:t>
      </w:r>
      <w:r>
        <w:t>The presenter must come prepared with at least two concrete challenge stories. Examples: an agency that refused to provide artifacts, a scope change mid-assessment, a staffing gap during peak assessment season, a finding that a client strongly disagreed with. Generic answers like “we faced communication challenges” will not satisfy this panel.</w:t>
      </w:r>
    </w:p>
    <w:p w14:paraId="7740BB76" w14:textId="77777777" w:rsidR="00000000" w:rsidRDefault="00000000">
      <w:pPr>
        <w:pStyle w:val="Heading2"/>
      </w:pPr>
      <w:r>
        <w:t>5. Scale Metrics</w:t>
      </w:r>
    </w:p>
    <w:p w14:paraId="7740BB77" w14:textId="77777777" w:rsidR="00000000" w:rsidRDefault="00000000">
      <w:pPr>
        <w:spacing w:after="200"/>
      </w:pPr>
      <w:r>
        <w:t>Have concrete numbers ready. The panel will probe on specifics:</w:t>
      </w:r>
    </w:p>
    <w:p w14:paraId="7740BB78" w14:textId="77777777" w:rsidR="00000000" w:rsidRDefault="00000000">
      <w:pPr>
        <w:pStyle w:val="ListParagraph"/>
        <w:numPr>
          <w:ilvl w:val="0"/>
          <w:numId w:val="31"/>
        </w:numPr>
        <w:spacing w:after="80"/>
      </w:pPr>
      <w:r>
        <w:t>MD THINK: 40+ major applications, 7,500 virtual cloud instances, 7 framework crosswalk, 100% federal compliance maintained</w:t>
      </w:r>
    </w:p>
    <w:p w14:paraId="7740BB79" w14:textId="77777777" w:rsidR="00000000" w:rsidRDefault="00000000">
      <w:pPr>
        <w:pStyle w:val="ListParagraph"/>
        <w:numPr>
          <w:ilvl w:val="0"/>
          <w:numId w:val="31"/>
        </w:numPr>
        <w:spacing w:after="80"/>
      </w:pPr>
      <w:r>
        <w:t>CFTC: 98% first-submission acceptance rate, network/web/cloud pen testing scope</w:t>
      </w:r>
    </w:p>
    <w:p w14:paraId="7740BB7A" w14:textId="77777777" w:rsidR="00000000" w:rsidRDefault="00000000">
      <w:pPr>
        <w:pStyle w:val="ListParagraph"/>
        <w:numPr>
          <w:ilvl w:val="0"/>
          <w:numId w:val="31"/>
        </w:numPr>
        <w:spacing w:after="80"/>
      </w:pPr>
      <w:r>
        <w:t>FEC: First-ever HVA program, DHS CISA validated, internal assessors trained and certified</w:t>
      </w:r>
    </w:p>
    <w:p w14:paraId="7740BB7B" w14:textId="77777777" w:rsidR="00000000" w:rsidRDefault="00000000">
      <w:pPr>
        <w:spacing w:after="200"/>
      </w:pPr>
    </w:p>
    <w:p w14:paraId="7740BB7C" w14:textId="77777777" w:rsidR="00000000" w:rsidRDefault="00000000">
      <w:pPr>
        <w:pStyle w:val="Heading2"/>
      </w:pPr>
      <w:r>
        <w:t>6. Lessons Learned That Shaped Methodology</w:t>
      </w:r>
    </w:p>
    <w:p w14:paraId="7740BB7D" w14:textId="77777777" w:rsidR="00000000" w:rsidRDefault="00000000">
      <w:pPr>
        <w:pStyle w:val="ListParagraph"/>
        <w:numPr>
          <w:ilvl w:val="0"/>
          <w:numId w:val="31"/>
        </w:numPr>
        <w:spacing w:after="80"/>
      </w:pPr>
      <w:r>
        <w:t>MD THINK → ANCHOR Framework, multi-framework crosswalk methodology, escalation protocols, template-driven deliverables</w:t>
      </w:r>
    </w:p>
    <w:p w14:paraId="7740BB7E" w14:textId="77777777" w:rsidR="00000000" w:rsidRDefault="00000000">
      <w:pPr>
        <w:pStyle w:val="ListParagraph"/>
        <w:numPr>
          <w:ilvl w:val="0"/>
          <w:numId w:val="31"/>
        </w:numPr>
        <w:spacing w:after="80"/>
      </w:pPr>
      <w:r>
        <w:t>CFTC → FRTA quality gate (98% acceptance rate came from building rigorous independent review), structured workpapers</w:t>
      </w:r>
    </w:p>
    <w:p w14:paraId="7740BB7F" w14:textId="77777777" w:rsidR="00000000" w:rsidRDefault="00000000">
      <w:pPr>
        <w:pStyle w:val="ListParagraph"/>
        <w:numPr>
          <w:ilvl w:val="0"/>
          <w:numId w:val="31"/>
        </w:numPr>
        <w:spacing w:after="80"/>
      </w:pPr>
      <w:r>
        <w:t>FEC → Program standup capability, scoring methodology design, knowledge transfer approach</w:t>
      </w:r>
    </w:p>
    <w:p w14:paraId="7740BB80" w14:textId="77777777" w:rsidR="00000000" w:rsidRDefault="00000000">
      <w:pPr>
        <w:spacing w:after="200"/>
      </w:pPr>
    </w:p>
    <w:p w14:paraId="7740BB81" w14:textId="77777777" w:rsidR="00000000" w:rsidRDefault="00000000">
      <w:r>
        <w:br w:type="page"/>
      </w:r>
    </w:p>
    <w:p w14:paraId="7740BB82" w14:textId="77777777" w:rsidR="00000000" w:rsidRDefault="00000000">
      <w:pPr>
        <w:pStyle w:val="Heading1"/>
      </w:pPr>
      <w:r>
        <w:lastRenderedPageBreak/>
        <w:t>GOALS</w:t>
      </w:r>
    </w:p>
    <w:p w14:paraId="7740BB83" w14:textId="77777777" w:rsidR="00000000" w:rsidRDefault="00000000">
      <w:pPr>
        <w:pStyle w:val="ListParagraph"/>
        <w:numPr>
          <w:ilvl w:val="0"/>
          <w:numId w:val="31"/>
        </w:numPr>
        <w:spacing w:after="80"/>
      </w:pPr>
      <w:r>
        <w:t>Be honest about what each engagement was. MD THINK was cybersecurity operations, not independent assessments. CFTC was a smaller contract with outsized quality impact. FEC was program standup. The combination is the story.</w:t>
      </w:r>
    </w:p>
    <w:p w14:paraId="7740BB84" w14:textId="77777777" w:rsidR="00000000" w:rsidRDefault="00000000">
      <w:pPr>
        <w:pStyle w:val="ListParagraph"/>
        <w:numPr>
          <w:ilvl w:val="0"/>
          <w:numId w:val="31"/>
        </w:numPr>
        <w:spacing w:after="80"/>
      </w:pPr>
      <w:r>
        <w:t>Lead with transferable capabilities, not equivalence claims. Don’t say “same work.” Say “this is where we built the capability you need.”</w:t>
      </w:r>
    </w:p>
    <w:p w14:paraId="7740BB85" w14:textId="77777777" w:rsidR="00000000" w:rsidRDefault="00000000">
      <w:pPr>
        <w:pStyle w:val="ListParagraph"/>
        <w:numPr>
          <w:ilvl w:val="0"/>
          <w:numId w:val="31"/>
        </w:numPr>
        <w:spacing w:after="80"/>
      </w:pPr>
      <w:r>
        <w:t>Have war stories ready. At least two specific challenge examples with the full arc: problem, impact, action, outcome, process change.</w:t>
      </w:r>
    </w:p>
    <w:p w14:paraId="7740BB86" w14:textId="77777777" w:rsidR="00000000" w:rsidRDefault="00000000">
      <w:pPr>
        <w:pStyle w:val="ListParagraph"/>
        <w:numPr>
          <w:ilvl w:val="0"/>
          <w:numId w:val="31"/>
        </w:numPr>
        <w:spacing w:after="80"/>
      </w:pPr>
      <w:r>
        <w:t>Close the loop to this contract. Every past performance point should connect to a specific capability being proposed for the Maryland statewide assessment.</w:t>
      </w:r>
    </w:p>
    <w:p w14:paraId="7740BB87" w14:textId="77777777" w:rsidR="00000000" w:rsidRDefault="00000000">
      <w:pPr>
        <w:spacing w:after="200"/>
      </w:pPr>
    </w:p>
    <w:p w14:paraId="7740BB88" w14:textId="77777777" w:rsidR="00000000" w:rsidRDefault="00000000">
      <w:pPr>
        <w:pStyle w:val="Heading1"/>
      </w:pPr>
      <w:r>
        <w:t>POTENTIAL FOLLOW-UP QUESTIONS</w:t>
      </w:r>
    </w:p>
    <w:p w14:paraId="7740BB89" w14:textId="77777777" w:rsidR="00000000" w:rsidRDefault="00000000">
      <w:pPr>
        <w:pStyle w:val="Heading3"/>
      </w:pPr>
      <w:r>
        <w:t>On MD THINK</w:t>
      </w:r>
    </w:p>
    <w:p w14:paraId="7740BB8A" w14:textId="77777777" w:rsidR="00000000" w:rsidRDefault="00000000">
      <w:pPr>
        <w:pStyle w:val="ListParagraph"/>
        <w:numPr>
          <w:ilvl w:val="0"/>
          <w:numId w:val="31"/>
        </w:numPr>
        <w:spacing w:after="80"/>
      </w:pPr>
      <w:r>
        <w:t>“On the MD THINK contract, you were embedded as the security team. How is that experience transferable to conducting independent assessments where you show up, assess, and leave?”</w:t>
      </w:r>
    </w:p>
    <w:p w14:paraId="7740BB8B" w14:textId="77777777" w:rsidR="00000000" w:rsidRDefault="00000000">
      <w:pPr>
        <w:pStyle w:val="ListParagraph"/>
        <w:numPr>
          <w:ilvl w:val="0"/>
          <w:numId w:val="31"/>
        </w:numPr>
        <w:spacing w:after="80"/>
      </w:pPr>
      <w:r>
        <w:t>“How many concurrent assessments were you managing at peak on MD THINK?”</w:t>
      </w:r>
    </w:p>
    <w:p w14:paraId="7740BB8C" w14:textId="77777777" w:rsidR="00000000" w:rsidRDefault="00000000">
      <w:pPr>
        <w:pStyle w:val="ListParagraph"/>
        <w:numPr>
          <w:ilvl w:val="0"/>
          <w:numId w:val="31"/>
        </w:numPr>
        <w:spacing w:after="80"/>
      </w:pPr>
      <w:r>
        <w:t>“The MD THINK contract ended in September 2025. Why didn’t you retain that work, and what did you learn from that transition?”</w:t>
      </w:r>
    </w:p>
    <w:p w14:paraId="7740BB8D" w14:textId="77777777" w:rsidR="00000000" w:rsidRDefault="00000000">
      <w:pPr>
        <w:pStyle w:val="ListParagraph"/>
        <w:numPr>
          <w:ilvl w:val="0"/>
          <w:numId w:val="31"/>
        </w:numPr>
        <w:spacing w:after="80"/>
      </w:pPr>
      <w:r>
        <w:t xml:space="preserve">“You say you developed institutional knowledge of Maryland agencies. How many Executive Branch agencies did you </w:t>
      </w:r>
      <w:proofErr w:type="gramStart"/>
      <w:r>
        <w:t>actually interact</w:t>
      </w:r>
      <w:proofErr w:type="gramEnd"/>
      <w:r>
        <w:t xml:space="preserve"> with on MD THINK?”</w:t>
      </w:r>
    </w:p>
    <w:p w14:paraId="7740BB8E" w14:textId="77777777" w:rsidR="00000000" w:rsidRDefault="00000000">
      <w:pPr>
        <w:spacing w:after="200"/>
      </w:pPr>
    </w:p>
    <w:p w14:paraId="7740BB8F" w14:textId="77777777" w:rsidR="00000000" w:rsidRDefault="00000000">
      <w:pPr>
        <w:spacing w:after="200"/>
      </w:pPr>
      <w:r>
        <w:rPr>
          <w:b/>
          <w:bCs/>
          <w:color w:val="C00000"/>
        </w:rPr>
        <w:t xml:space="preserve">⚠️ PREP NOTE — MD THINK End of Contract: </w:t>
      </w:r>
      <w:r>
        <w:t>The contract ended September 2025. The presenter needs a confident, non-defensive answer for why. Focus on what was accomplished and how the experience shaped your current capabilities. Do not disparage the successor or the procurement process.</w:t>
      </w:r>
    </w:p>
    <w:p w14:paraId="7740BB90" w14:textId="77777777" w:rsidR="00000000" w:rsidRDefault="00000000">
      <w:pPr>
        <w:pStyle w:val="Heading3"/>
      </w:pPr>
      <w:r>
        <w:t>On CFTC</w:t>
      </w:r>
    </w:p>
    <w:p w14:paraId="7740BB91" w14:textId="77777777" w:rsidR="00000000" w:rsidRDefault="00000000">
      <w:pPr>
        <w:pStyle w:val="ListParagraph"/>
        <w:numPr>
          <w:ilvl w:val="0"/>
          <w:numId w:val="31"/>
        </w:numPr>
        <w:spacing w:after="80"/>
      </w:pPr>
      <w:r>
        <w:t>“You mentioned a 98% first-submission acceptance rate at CFTC. What caused the other 2% to fail?”</w:t>
      </w:r>
    </w:p>
    <w:p w14:paraId="7740BB92" w14:textId="77777777" w:rsidR="00000000" w:rsidRDefault="00000000">
      <w:pPr>
        <w:pStyle w:val="ListParagraph"/>
        <w:numPr>
          <w:ilvl w:val="0"/>
          <w:numId w:val="31"/>
        </w:numPr>
        <w:spacing w:after="80"/>
      </w:pPr>
      <w:r>
        <w:t>“The CFTC contract was under $600K. How does that scale compare to what you’re proposing here?”</w:t>
      </w:r>
    </w:p>
    <w:p w14:paraId="7740BB93" w14:textId="77777777" w:rsidR="00000000" w:rsidRDefault="00000000">
      <w:pPr>
        <w:pStyle w:val="ListParagraph"/>
        <w:numPr>
          <w:ilvl w:val="0"/>
          <w:numId w:val="31"/>
        </w:numPr>
        <w:spacing w:after="80"/>
      </w:pPr>
      <w:r>
        <w:t>“Have any of your CFTC assessment team members been proposed for this Maryland contract?”</w:t>
      </w:r>
    </w:p>
    <w:p w14:paraId="7740BB94" w14:textId="77777777" w:rsidR="00000000" w:rsidRDefault="00000000">
      <w:pPr>
        <w:spacing w:after="200"/>
      </w:pPr>
    </w:p>
    <w:p w14:paraId="7740BB95" w14:textId="77777777" w:rsidR="00000000" w:rsidRDefault="00000000">
      <w:pPr>
        <w:pStyle w:val="Heading3"/>
      </w:pPr>
      <w:r>
        <w:t>On FEC</w:t>
      </w:r>
    </w:p>
    <w:p w14:paraId="7740BB96" w14:textId="77777777" w:rsidR="00000000" w:rsidRDefault="00000000">
      <w:pPr>
        <w:pStyle w:val="ListParagraph"/>
        <w:numPr>
          <w:ilvl w:val="0"/>
          <w:numId w:val="31"/>
        </w:numPr>
        <w:spacing w:after="80"/>
      </w:pPr>
      <w:r>
        <w:t>“You built the FEC’s HVA program from scratch. What’s the biggest thing you’d do differently if you stood up that program again today?”</w:t>
      </w:r>
    </w:p>
    <w:p w14:paraId="7740BB97" w14:textId="77777777" w:rsidR="00000000" w:rsidRDefault="00000000">
      <w:pPr>
        <w:pStyle w:val="ListParagraph"/>
        <w:numPr>
          <w:ilvl w:val="0"/>
          <w:numId w:val="31"/>
        </w:numPr>
        <w:spacing w:after="80"/>
      </w:pPr>
      <w:r>
        <w:t>“How long did it take from contract start to the first completed HVA assessment at FEC?”</w:t>
      </w:r>
    </w:p>
    <w:p w14:paraId="7740BB98" w14:textId="77777777" w:rsidR="00000000" w:rsidRDefault="00000000">
      <w:pPr>
        <w:spacing w:after="200"/>
      </w:pPr>
    </w:p>
    <w:p w14:paraId="7740BB99" w14:textId="77777777" w:rsidR="00000000" w:rsidRDefault="00000000">
      <w:pPr>
        <w:pStyle w:val="Heading3"/>
      </w:pPr>
      <w:r>
        <w:t>General</w:t>
      </w:r>
    </w:p>
    <w:p w14:paraId="7740BB9A" w14:textId="77777777" w:rsidR="00000000" w:rsidRDefault="00000000">
      <w:pPr>
        <w:pStyle w:val="ListParagraph"/>
        <w:numPr>
          <w:ilvl w:val="0"/>
          <w:numId w:val="31"/>
        </w:numPr>
        <w:spacing w:after="80"/>
      </w:pPr>
      <w:r>
        <w:t>“Give me an example of an assessment that went significantly off track. What happened and how did you recover?”</w:t>
      </w:r>
    </w:p>
    <w:p w14:paraId="7740BB9B" w14:textId="77777777" w:rsidR="00000000" w:rsidRDefault="00000000">
      <w:pPr>
        <w:pStyle w:val="ListParagraph"/>
        <w:numPr>
          <w:ilvl w:val="0"/>
          <w:numId w:val="31"/>
        </w:numPr>
        <w:spacing w:after="80"/>
      </w:pPr>
      <w:r>
        <w:t>“Have you ever had to deliver findings a client strongly disagreed with? How did you handle pushback on your scores?”</w:t>
      </w:r>
    </w:p>
    <w:p w14:paraId="7740BB9C" w14:textId="77777777" w:rsidR="00000000" w:rsidRDefault="00000000">
      <w:pPr>
        <w:pStyle w:val="ListParagraph"/>
        <w:numPr>
          <w:ilvl w:val="0"/>
          <w:numId w:val="31"/>
        </w:numPr>
        <w:spacing w:after="80"/>
      </w:pPr>
      <w:r>
        <w:t>“None of your past performance references involve assessing 90 separate agencies. What gives you confidence you can manage that scale?”</w:t>
      </w:r>
    </w:p>
    <w:p w14:paraId="7740BB9D" w14:textId="77777777" w:rsidR="00000000" w:rsidRDefault="00000000">
      <w:pPr>
        <w:spacing w:after="200"/>
      </w:pPr>
    </w:p>
    <w:p w14:paraId="7740BB9E" w14:textId="77777777" w:rsidR="00000000" w:rsidRDefault="00000000">
      <w:pPr>
        <w:spacing w:after="200"/>
      </w:pPr>
      <w:r>
        <w:rPr>
          <w:i/>
          <w:iCs/>
          <w:color w:val="4472C4"/>
        </w:rPr>
        <w:t>Note on the scale question: The honest answer is that no firm has done exactly this. The differentiator is the combination of capabilities: Maryland institutional knowledge + assessment methodology rigor + program standup experience + the POD model designed specifically for parallel execution. The POD model is the scale mechanism — connect back to Q1.</w:t>
      </w:r>
    </w:p>
    <w:p w14:paraId="7740BB9F" w14:textId="77777777" w:rsidR="00000000" w:rsidRDefault="00000000">
      <w:r>
        <w:br w:type="page"/>
      </w:r>
    </w:p>
    <w:p w14:paraId="7740BBA0" w14:textId="77777777" w:rsidR="00000000" w:rsidRDefault="00000000">
      <w:pPr>
        <w:pStyle w:val="Heading1"/>
      </w:pPr>
      <w:r>
        <w:lastRenderedPageBreak/>
        <w:t>CHANGE LOG</w:t>
      </w:r>
    </w:p>
    <w:p w14:paraId="7740BBA1" w14:textId="77777777" w:rsidR="00000000" w:rsidRDefault="00000000">
      <w:pPr>
        <w:spacing w:after="200"/>
      </w:pPr>
      <w:r>
        <w:t>Changes from previous version, verified against past performance writeups: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7260"/>
      </w:tblGrid>
      <w:tr w:rsidR="00181310" w14:paraId="7740BBA5"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40BBA2" w14:textId="77777777" w:rsidR="00000000" w:rsidRDefault="00000000">
            <w:r>
              <w:rPr>
                <w:b/>
                <w:bCs/>
                <w:color w:val="FFFFFF"/>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40BBA3" w14:textId="77777777" w:rsidR="00000000" w:rsidRDefault="00000000">
            <w:r>
              <w:rPr>
                <w:b/>
                <w:bCs/>
                <w:color w:val="FFFFFF"/>
                <w:sz w:val="20"/>
                <w:szCs w:val="20"/>
              </w:rPr>
              <w:t>Item</w:t>
            </w:r>
          </w:p>
        </w:tc>
        <w:tc>
          <w:tcPr>
            <w:tcW w:w="7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40BBA4" w14:textId="77777777" w:rsidR="00000000" w:rsidRDefault="00000000">
            <w:r>
              <w:rPr>
                <w:b/>
                <w:bCs/>
                <w:color w:val="FFFFFF"/>
                <w:sz w:val="20"/>
                <w:szCs w:val="20"/>
              </w:rPr>
              <w:t>Change Description</w:t>
            </w:r>
          </w:p>
        </w:tc>
      </w:tr>
      <w:tr w:rsidR="00181310" w14:paraId="7740BBA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A6" w14:textId="77777777" w:rsidR="00000000"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A7" w14:textId="77777777" w:rsidR="00000000" w:rsidRDefault="00000000">
            <w:r>
              <w:rPr>
                <w:sz w:val="20"/>
                <w:szCs w:val="20"/>
              </w:rPr>
              <w:t>Correction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A8" w14:textId="77777777" w:rsidR="00000000" w:rsidRDefault="00000000">
            <w:r>
              <w:rPr>
                <w:sz w:val="20"/>
                <w:szCs w:val="20"/>
              </w:rPr>
              <w:t xml:space="preserve">MD THINK client corrected from </w:t>
            </w:r>
            <w:proofErr w:type="spellStart"/>
            <w:r>
              <w:rPr>
                <w:sz w:val="20"/>
                <w:szCs w:val="20"/>
              </w:rPr>
              <w:t>DoIT</w:t>
            </w:r>
            <w:proofErr w:type="spellEnd"/>
            <w:r>
              <w:rPr>
                <w:sz w:val="20"/>
                <w:szCs w:val="20"/>
              </w:rPr>
              <w:t xml:space="preserve"> to Maryland Department of Human Services (DHS). Contract value corrected to $11,020,479. End date corrected to September 2025.</w:t>
            </w:r>
          </w:p>
        </w:tc>
      </w:tr>
      <w:tr w:rsidR="00181310" w14:paraId="7740BBA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AA" w14:textId="77777777" w:rsidR="00000000"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AB" w14:textId="77777777" w:rsidR="00000000" w:rsidRDefault="00000000">
            <w:r>
              <w:rPr>
                <w:sz w:val="20"/>
                <w:szCs w:val="20"/>
              </w:rPr>
              <w:t>Rewrite</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AC" w14:textId="77777777" w:rsidR="00000000" w:rsidRDefault="00000000">
            <w:r>
              <w:rPr>
                <w:sz w:val="20"/>
                <w:szCs w:val="20"/>
              </w:rPr>
              <w:t>MD THINK reframed from “direct predecessor / same work” to honest description of embedded cybersecurity operations. Now leads with transferable capabilities (institutional knowledge, NIST assessment rigor, framework crosswalk, program management) without claiming equivalence.</w:t>
            </w:r>
          </w:p>
        </w:tc>
      </w:tr>
      <w:tr w:rsidR="00181310" w14:paraId="7740BBB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AE" w14:textId="77777777" w:rsidR="00000000"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AF" w14:textId="77777777" w:rsidR="00000000" w:rsidRDefault="00000000">
            <w:r>
              <w:rPr>
                <w:sz w:val="20"/>
                <w:szCs w:val="20"/>
              </w:rPr>
              <w:t>Correction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B0" w14:textId="77777777" w:rsidR="00000000" w:rsidRDefault="00000000">
            <w:r>
              <w:rPr>
                <w:sz w:val="20"/>
                <w:szCs w:val="20"/>
              </w:rPr>
              <w:t>CFTC contract value corrected from $19.2M to $591,256. Previous value was off by a factor of 30.</w:t>
            </w:r>
          </w:p>
        </w:tc>
      </w:tr>
      <w:tr w:rsidR="00181310" w14:paraId="7740BBB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B2" w14:textId="77777777" w:rsidR="00000000"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B3"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B4" w14:textId="77777777" w:rsidR="00000000" w:rsidRDefault="00000000">
            <w:r>
              <w:rPr>
                <w:sz w:val="20"/>
                <w:szCs w:val="20"/>
              </w:rPr>
              <w:t>Added prep note warning not to lead with CFTC dollar value; lead with 98% acceptance rate instead.</w:t>
            </w:r>
          </w:p>
        </w:tc>
      </w:tr>
      <w:tr w:rsidR="00181310" w14:paraId="7740BBB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B6" w14:textId="77777777" w:rsidR="00000000"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B7" w14:textId="77777777" w:rsidR="00000000" w:rsidRDefault="00000000">
            <w:r>
              <w:rPr>
                <w:sz w:val="20"/>
                <w:szCs w:val="20"/>
              </w:rPr>
              <w:t>Update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B8" w14:textId="77777777" w:rsidR="00000000" w:rsidRDefault="00000000">
            <w:r>
              <w:rPr>
                <w:sz w:val="20"/>
                <w:szCs w:val="20"/>
              </w:rPr>
              <w:t>FEC value updated to $3,665,841 per past performance writeup. Period confirmed as March 2021 – Present (through March 2029).</w:t>
            </w:r>
          </w:p>
        </w:tc>
      </w:tr>
      <w:tr w:rsidR="00181310" w14:paraId="7740BBB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BA" w14:textId="77777777" w:rsidR="00000000" w:rsidRDefault="00000000">
            <w:r>
              <w:rPr>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BB" w14:textId="77777777" w:rsidR="00000000" w:rsidRDefault="00000000">
            <w:r>
              <w:rPr>
                <w:sz w:val="20"/>
                <w:szCs w:val="20"/>
              </w:rPr>
              <w:t>Rewrite</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0BBBC" w14:textId="77777777" w:rsidR="00000000" w:rsidRDefault="00000000">
            <w:r>
              <w:rPr>
                <w:sz w:val="20"/>
                <w:szCs w:val="20"/>
              </w:rPr>
              <w:t>Follow-up questions updated to reflect honest framing. Added questions about MD THINK transferability, CFTC scale, and the “no one has assessed 90 agencies” challenge.</w:t>
            </w:r>
          </w:p>
        </w:tc>
      </w:tr>
      <w:tr w:rsidR="00181310" w14:paraId="7740BBC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BE" w14:textId="77777777" w:rsidR="00000000" w:rsidRDefault="00000000">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BF"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BBC0" w14:textId="77777777" w:rsidR="00000000" w:rsidRDefault="00000000">
            <w:r>
              <w:rPr>
                <w:sz w:val="20"/>
                <w:szCs w:val="20"/>
              </w:rPr>
              <w:t>Added “The Through-Line” closing section connecting all three engagements to the capabilities required for this solicitation.</w:t>
            </w:r>
          </w:p>
        </w:tc>
      </w:tr>
    </w:tbl>
    <w:p w14:paraId="7740BBC2" w14:textId="77777777" w:rsidR="00000000" w:rsidRDefault="00000000"/>
    <w:p w14:paraId="0FE70B49" w14:textId="77777777" w:rsidR="00000000" w:rsidRDefault="00000000">
      <w:pPr>
        <w:pStyle w:val="Heading1"/>
      </w:pPr>
      <w:r>
        <w:t>ORAL PRESENTATION PREP</w:t>
      </w:r>
    </w:p>
    <w:p w14:paraId="0FE70B4A" w14:textId="77777777" w:rsidR="00000000" w:rsidRDefault="00000000">
      <w:pPr>
        <w:pStyle w:val="Heading2"/>
      </w:pPr>
      <w:r>
        <w:t>Section 2, Question 9: Team Qualifications &amp; Personnel Continuity</w:t>
      </w:r>
    </w:p>
    <w:p w14:paraId="0FE70B4B" w14:textId="77777777" w:rsidR="00000000" w:rsidRDefault="00000000">
      <w:pPr>
        <w:spacing w:after="200"/>
      </w:pPr>
      <w:r>
        <w:t xml:space="preserve">Updated March 31, </w:t>
      </w:r>
      <w:proofErr w:type="gramStart"/>
      <w:r>
        <w:t>2026</w:t>
      </w:r>
      <w:proofErr w:type="gramEnd"/>
      <w:r>
        <w:t xml:space="preserve"> | Revised to reflect actual presentation team</w:t>
      </w:r>
    </w:p>
    <w:p w14:paraId="0FE70B4C" w14:textId="77777777" w:rsidR="00000000" w:rsidRDefault="00000000">
      <w:pPr>
        <w:pStyle w:val="Heading1"/>
      </w:pPr>
      <w:r>
        <w:t>THE ASK</w:t>
      </w:r>
    </w:p>
    <w:p w14:paraId="0FE70B4D" w14:textId="77777777" w:rsidR="00000000" w:rsidRDefault="00000000">
      <w:pPr>
        <w:spacing w:after="200"/>
      </w:pPr>
      <w:r>
        <w:rPr>
          <w:b/>
          <w:bCs/>
        </w:rPr>
        <w:t xml:space="preserve">What they’re really asking: </w:t>
      </w:r>
      <w:r>
        <w:t xml:space="preserve">This is the “are you going to bait-and-switch us” question. The panel wants to know: who’s </w:t>
      </w:r>
      <w:proofErr w:type="gramStart"/>
      <w:r>
        <w:t>actually going</w:t>
      </w:r>
      <w:proofErr w:type="gramEnd"/>
      <w:r>
        <w:t xml:space="preserve"> to do this work, are they qualified, and what happens when people leave? They’ve seen proposals with impressive rosters where half the named staff disappear after award.</w:t>
      </w:r>
    </w:p>
    <w:p w14:paraId="0FE70B4E" w14:textId="77777777" w:rsidR="00000000" w:rsidRDefault="00000000">
      <w:pPr>
        <w:spacing w:after="200"/>
      </w:pPr>
      <w:r>
        <w:rPr>
          <w:b/>
          <w:bCs/>
        </w:rPr>
        <w:t xml:space="preserve">Our situation: </w:t>
      </w:r>
      <w:r>
        <w:t xml:space="preserve">Four people are presenting, but only two are dedicated to this contract. Thang Pham (PM + Technical Lead) and David Wellington (Deputy PM) are the Key Personnel — committed, dedicated, and available upon NTP. They are the PMO for this contract: scheduling assessments, managing PODs, coordinating with the State, and serving as the final quality authority. Sunny Tuteja and Denise Pho are Assurit corporate resources — Sunny provides technical support (deliverable review, methodology guidance) and Denise provides administrative support (HR, staffing, personnel management). They are not dedicated to the </w:t>
      </w:r>
      <w:r>
        <w:lastRenderedPageBreak/>
        <w:t>contract and should not be presented as contract staff. The assessment POD staff — Lead Assessors, Information Security Engineers, Risk Assessment Consultants, Security Data Specialists — have not been hired. We cannot name them and should not imply they exist.</w:t>
      </w:r>
    </w:p>
    <w:p w14:paraId="0FE70B4F" w14:textId="77777777" w:rsidR="00000000" w:rsidRDefault="00000000">
      <w:pPr>
        <w:spacing w:after="200"/>
      </w:pPr>
      <w:r>
        <w:rPr>
          <w:b/>
          <w:bCs/>
          <w:color w:val="C00000"/>
        </w:rPr>
        <w:t xml:space="preserve">⚠️ CRITICAL FRAMING — </w:t>
      </w:r>
      <w:r>
        <w:t>The previous version of this answer opened with “The people in this room are the people who will do the work” and listed a nine-person roster by name. That is no longer accurate. Do NOT name assessment team members who are not confirmed. Do NOT imply the POD staff has been hired. The strength of this answer is the structure, not the roster.</w:t>
      </w:r>
    </w:p>
    <w:p w14:paraId="0FE70B50" w14:textId="77777777" w:rsidR="00000000" w:rsidRDefault="00000000">
      <w:pPr>
        <w:spacing w:after="200"/>
      </w:pPr>
      <w:r>
        <w:rPr>
          <w:b/>
          <w:bCs/>
        </w:rPr>
        <w:t xml:space="preserve">The strategic approach: </w:t>
      </w:r>
      <w:r>
        <w:t xml:space="preserve">Lead with Thang and David as the dedicated contract leadership — the two people who designed the methodology and will manage every engagement. Then introduce Sunny and Denise as Assurit corporate support behind them. Then pivot to the POD model with defined qualification standards for every role. The message is: “The PM and Deputy PM are dedicated to this contract. They built the methodology and will govern every assessment. Behind them is </w:t>
      </w:r>
      <w:proofErr w:type="spellStart"/>
      <w:r>
        <w:t>Assurit’s</w:t>
      </w:r>
      <w:proofErr w:type="spellEnd"/>
      <w:r>
        <w:t xml:space="preserve"> corporate support. For the assessment teams, we’ve defined exactly who we need and what they need to be able to do. The system ensures quality regardless of which specific individuals fill the POD roles.”</w:t>
      </w:r>
    </w:p>
    <w:p w14:paraId="0FE70B51" w14:textId="77777777" w:rsidR="00000000" w:rsidRDefault="00000000">
      <w:pPr>
        <w:pStyle w:val="Heading1"/>
      </w:pPr>
      <w:r>
        <w:t>Must-Hit Items for Your Response</w:t>
      </w:r>
    </w:p>
    <w:p w14:paraId="0FE70B52" w14:textId="77777777" w:rsidR="00000000" w:rsidRDefault="00000000">
      <w:pPr>
        <w:pStyle w:val="Heading2"/>
      </w:pPr>
      <w:r>
        <w:t>1. Introduce Contract Leadership and Corporate Support</w:t>
      </w:r>
    </w:p>
    <w:p w14:paraId="0FE70B53" w14:textId="77777777" w:rsidR="00000000" w:rsidRDefault="00000000">
      <w:pPr>
        <w:spacing w:after="200"/>
      </w:pPr>
      <w:r>
        <w:t>Open by introducing the two dedicated Key Personnel, then the corporate support behind them:</w:t>
      </w:r>
    </w:p>
    <w:p w14:paraId="0FE70B54" w14:textId="77777777" w:rsidR="00000000" w:rsidRDefault="00000000">
      <w:pPr>
        <w:pStyle w:val="ListParagraph"/>
        <w:numPr>
          <w:ilvl w:val="0"/>
          <w:numId w:val="32"/>
        </w:numPr>
        <w:spacing w:after="80"/>
      </w:pPr>
      <w:r>
        <w:rPr>
          <w:b/>
          <w:bCs/>
        </w:rPr>
        <w:t xml:space="preserve">Thang Pham: </w:t>
      </w:r>
      <w:r>
        <w:t>Thang Pham — Project Manager and Technical Lead (Key Personnel, dedicated). PMP, CISSP, CISM. Led the MD THINK cybersecurity program for MD DHS. Led assessment delivery at CFTC and FEC. Designed the ANCHOR methodology. On this contract: manages assessment scheduling, runs PMO operations, provides technical leadership across all POD engagements, and serves as the final QA authority on every deliverable. He is both the program manager and the technical backstop.</w:t>
      </w:r>
    </w:p>
    <w:p w14:paraId="0FE70B55" w14:textId="77777777" w:rsidR="00000000" w:rsidRDefault="00000000">
      <w:pPr>
        <w:pStyle w:val="ListParagraph"/>
        <w:numPr>
          <w:ilvl w:val="0"/>
          <w:numId w:val="32"/>
        </w:numPr>
        <w:spacing w:after="80"/>
      </w:pPr>
      <w:r>
        <w:rPr>
          <w:b/>
          <w:bCs/>
        </w:rPr>
        <w:t xml:space="preserve">David Wellington: </w:t>
      </w:r>
      <w:r>
        <w:t xml:space="preserve">David Wellington — Deputy Project Manager (Key Personnel, dedicated). CISSP, CISM, CRISC. Deputy PM on MD THINK. Federal cybersecurity assessment lead at CFTC and FEC. On this contract: works alongside the PM on program management, stakeholder coordination with </w:t>
      </w:r>
      <w:proofErr w:type="spellStart"/>
      <w:r>
        <w:t>DoIT</w:t>
      </w:r>
      <w:proofErr w:type="spellEnd"/>
      <w:r>
        <w:t xml:space="preserve"> and agency ISOs, assessment oversight, and quality assurance. Shares the PMO workload to ensure concurrent assessments stay on schedule.</w:t>
      </w:r>
    </w:p>
    <w:p w14:paraId="0FE70B56" w14:textId="77777777" w:rsidR="00000000" w:rsidRDefault="00000000">
      <w:pPr>
        <w:pStyle w:val="ListParagraph"/>
        <w:numPr>
          <w:ilvl w:val="0"/>
          <w:numId w:val="32"/>
        </w:numPr>
        <w:spacing w:after="80"/>
      </w:pPr>
      <w:r>
        <w:rPr>
          <w:b/>
          <w:bCs/>
        </w:rPr>
        <w:t xml:space="preserve">Sunny Tuteja: </w:t>
      </w:r>
      <w:r>
        <w:t>Sunny Tuteja — Assurit Corporate Technical Support (not dedicated to contract). Cybersecurity professional with direct assessment experience across MD THINK, CFTC, and FEC. Co-developed the assessment methodology and scoring framework. Available to provide technical review of deliverables and quality assurance support when needed. Present her as organizational depth, not contract staff.</w:t>
      </w:r>
    </w:p>
    <w:p w14:paraId="0FE70B57" w14:textId="77777777" w:rsidR="00000000" w:rsidRDefault="00000000">
      <w:pPr>
        <w:pStyle w:val="ListParagraph"/>
        <w:numPr>
          <w:ilvl w:val="0"/>
          <w:numId w:val="32"/>
        </w:numPr>
        <w:spacing w:after="80"/>
      </w:pPr>
      <w:r>
        <w:rPr>
          <w:b/>
          <w:bCs/>
        </w:rPr>
        <w:t xml:space="preserve">Denise Pho: </w:t>
      </w:r>
      <w:r>
        <w:t>Denise Pho — Assurit Corporate Administrative Support (not dedicated to contract). Provides back-office support including personnel management, staffing coordination, and HR operations. Available to assist the program as needed. Present her as organizational depth, not contract staff.</w:t>
      </w:r>
    </w:p>
    <w:p w14:paraId="0FE70B58" w14:textId="77777777" w:rsidR="00000000" w:rsidRDefault="00000000">
      <w:pPr>
        <w:spacing w:after="200"/>
      </w:pPr>
    </w:p>
    <w:p w14:paraId="0FE70B59" w14:textId="77777777" w:rsidR="00000000" w:rsidRDefault="00000000">
      <w:pPr>
        <w:spacing w:after="200"/>
      </w:pPr>
      <w:r>
        <w:rPr>
          <w:i/>
          <w:iCs/>
          <w:color w:val="4472C4"/>
        </w:rPr>
        <w:t xml:space="preserve">Recommended framing: “Thang and I are the dedicated contract team — both Key Personnel, committed and available upon NTP. Thang is the PM and technical lead. He designed the </w:t>
      </w:r>
      <w:r>
        <w:rPr>
          <w:i/>
          <w:iCs/>
          <w:color w:val="4472C4"/>
        </w:rPr>
        <w:lastRenderedPageBreak/>
        <w:t xml:space="preserve">ANCHOR methodology, he runs assessment scheduling, and he is the final QA authority on every deliverable. I’m the Deputy PM — stakeholder coordination, assessment oversight, and quality assurance alongside Thang. Behind us, </w:t>
      </w:r>
      <w:proofErr w:type="spellStart"/>
      <w:r>
        <w:rPr>
          <w:i/>
          <w:iCs/>
          <w:color w:val="4472C4"/>
        </w:rPr>
        <w:t>Assurit’s</w:t>
      </w:r>
      <w:proofErr w:type="spellEnd"/>
      <w:r>
        <w:rPr>
          <w:i/>
          <w:iCs/>
          <w:color w:val="4472C4"/>
        </w:rPr>
        <w:t xml:space="preserve"> corporate team provides additional support: Sunny Tuteja is a cybersecurity professional who co-developed our methodology and is available for technical review of deliverables, and Denise Pho handles the administrative and personnel operations that keep a large program running.”</w:t>
      </w:r>
    </w:p>
    <w:p w14:paraId="0FE70B5A" w14:textId="77777777" w:rsidR="00000000" w:rsidRDefault="00000000">
      <w:pPr>
        <w:pStyle w:val="Heading2"/>
      </w:pPr>
      <w:r>
        <w:t>2. Present the POD Team Structure with Qualification Standards</w:t>
      </w:r>
    </w:p>
    <w:p w14:paraId="0FE70B5B" w14:textId="77777777" w:rsidR="00000000" w:rsidRDefault="00000000">
      <w:pPr>
        <w:spacing w:after="200"/>
      </w:pPr>
      <w:r>
        <w:t>After introducing the leadership, pivot to the assessment team structure. Present each POD role with the specific qualifications required — certifications, experience levels, and competencies. This shows you know exactly who you need without claiming you’ve already hired them.</w:t>
      </w:r>
    </w:p>
    <w:p w14:paraId="0FE70B5C" w14:textId="77777777" w:rsidR="00000000" w:rsidRDefault="00000000">
      <w:pPr>
        <w:pStyle w:val="ListParagraph"/>
        <w:numPr>
          <w:ilvl w:val="0"/>
          <w:numId w:val="32"/>
        </w:numPr>
        <w:spacing w:after="80"/>
      </w:pPr>
      <w:r>
        <w:t>Lead Assessor: CISSP or CISM required, 7+ years assessment experience, NIST CSF and 800-53 proficiency, prior multi-stakeholder engagement lead experience</w:t>
      </w:r>
    </w:p>
    <w:p w14:paraId="0FE70B5D" w14:textId="77777777" w:rsidR="00000000" w:rsidRDefault="00000000">
      <w:pPr>
        <w:pStyle w:val="ListParagraph"/>
        <w:numPr>
          <w:ilvl w:val="0"/>
          <w:numId w:val="32"/>
        </w:numPr>
        <w:spacing w:after="80"/>
      </w:pPr>
      <w:r>
        <w:t>Information Security Engineer: CISSP, CEH, or equivalent, 5+ years technical security, cloud/network/endpoint domain expertise</w:t>
      </w:r>
    </w:p>
    <w:p w14:paraId="0FE70B5E" w14:textId="77777777" w:rsidR="00000000" w:rsidRDefault="00000000">
      <w:pPr>
        <w:pStyle w:val="ListParagraph"/>
        <w:numPr>
          <w:ilvl w:val="0"/>
          <w:numId w:val="32"/>
        </w:numPr>
        <w:spacing w:after="80"/>
      </w:pPr>
      <w:r>
        <w:t>Risk Assessment Consultant: CISA, CRISC, or CISM, 5+ years risk assessment or audit, strong documentation and stakeholder communication</w:t>
      </w:r>
    </w:p>
    <w:p w14:paraId="0FE70B5F" w14:textId="77777777" w:rsidR="00000000" w:rsidRDefault="00000000">
      <w:pPr>
        <w:pStyle w:val="ListParagraph"/>
        <w:numPr>
          <w:ilvl w:val="0"/>
          <w:numId w:val="32"/>
        </w:numPr>
        <w:spacing w:after="80"/>
      </w:pPr>
      <w:r>
        <w:t>Security Data Specialist: GRC platform experience, data integration proficiency (JSON/XML/CSV), ServiceNow familiarity preferred</w:t>
      </w:r>
    </w:p>
    <w:p w14:paraId="0FE70B60" w14:textId="77777777" w:rsidR="00000000" w:rsidRDefault="00000000">
      <w:pPr>
        <w:spacing w:after="200"/>
      </w:pPr>
    </w:p>
    <w:p w14:paraId="0FE70B61" w14:textId="77777777" w:rsidR="00000000" w:rsidRDefault="00000000">
      <w:pPr>
        <w:spacing w:after="200"/>
      </w:pPr>
      <w:r>
        <w:rPr>
          <w:i/>
          <w:iCs/>
          <w:color w:val="4472C4"/>
        </w:rPr>
        <w:t>Recommended framing: “For each assessment POD, we’ve defined specific qualification standards for every role. Let me walk you through the structure and what each position requires.” Then present the table. Do NOT say “our team includes” or “we have” — say “each POD will include” and “this role requires.”</w:t>
      </w:r>
    </w:p>
    <w:p w14:paraId="0FE70B62" w14:textId="77777777" w:rsidR="00000000" w:rsidRDefault="00000000">
      <w:pPr>
        <w:pStyle w:val="Heading2"/>
      </w:pPr>
      <w:r>
        <w:t>3. Make the Case That Structure Beats a Name List</w:t>
      </w:r>
    </w:p>
    <w:p w14:paraId="0FE70B63" w14:textId="77777777" w:rsidR="00000000" w:rsidRDefault="00000000">
      <w:pPr>
        <w:spacing w:after="200"/>
      </w:pPr>
      <w:r>
        <w:t>This is where you turn a potential weakness into a strength. The panel has seen rosters that disappear after award. Your argument: over a multi-year, ~90-agency program, people will transition regardless. The question is whether quality depends on specific individuals or on the system.</w:t>
      </w:r>
    </w:p>
    <w:p w14:paraId="0FE70B64" w14:textId="77777777" w:rsidR="00000000" w:rsidRDefault="00000000">
      <w:pPr>
        <w:pStyle w:val="ListParagraph"/>
        <w:numPr>
          <w:ilvl w:val="0"/>
          <w:numId w:val="32"/>
        </w:numPr>
        <w:spacing w:after="80"/>
      </w:pPr>
      <w:r>
        <w:t xml:space="preserve">ANCHOR defines every phase, input, and output — new </w:t>
      </w:r>
      <w:proofErr w:type="gramStart"/>
      <w:r>
        <w:t>assessors</w:t>
      </w:r>
      <w:proofErr w:type="gramEnd"/>
      <w:r>
        <w:t xml:space="preserve"> step into a defined workflow</w:t>
      </w:r>
    </w:p>
    <w:p w14:paraId="0FE70B65" w14:textId="77777777" w:rsidR="00000000" w:rsidRDefault="00000000">
      <w:pPr>
        <w:pStyle w:val="ListParagraph"/>
        <w:numPr>
          <w:ilvl w:val="0"/>
          <w:numId w:val="32"/>
        </w:numPr>
        <w:spacing w:after="80"/>
      </w:pPr>
      <w:r>
        <w:t>The ESG defines scoring criteria — maturity ratings are methodology-driven, not judgment-dependent</w:t>
      </w:r>
    </w:p>
    <w:p w14:paraId="0FE70B66" w14:textId="77777777" w:rsidR="00000000" w:rsidRDefault="00000000">
      <w:pPr>
        <w:pStyle w:val="ListParagraph"/>
        <w:numPr>
          <w:ilvl w:val="0"/>
          <w:numId w:val="32"/>
        </w:numPr>
        <w:spacing w:after="80"/>
      </w:pPr>
      <w:r>
        <w:t>Thang’s final QA review validates every assessment before it reaches the State — as both PM and technical lead, he catches drift before deliverables ship</w:t>
      </w:r>
    </w:p>
    <w:p w14:paraId="0FE70B67" w14:textId="77777777" w:rsidR="00000000" w:rsidRDefault="00000000">
      <w:pPr>
        <w:pStyle w:val="ListParagraph"/>
        <w:numPr>
          <w:ilvl w:val="0"/>
          <w:numId w:val="32"/>
        </w:numPr>
        <w:spacing w:after="80"/>
      </w:pPr>
      <w:r>
        <w:t>The POD model distributes knowledge across the team — no single point of failure</w:t>
      </w:r>
    </w:p>
    <w:p w14:paraId="0FE70B68" w14:textId="77777777" w:rsidR="00000000" w:rsidRDefault="00000000">
      <w:pPr>
        <w:pStyle w:val="ListParagraph"/>
        <w:numPr>
          <w:ilvl w:val="0"/>
          <w:numId w:val="32"/>
        </w:numPr>
        <w:spacing w:after="80"/>
      </w:pPr>
      <w:r>
        <w:t>Shared repositories centralize evidence, workpapers, and templates — nothing locked in one person’s files</w:t>
      </w:r>
    </w:p>
    <w:p w14:paraId="0FE70B69" w14:textId="77777777" w:rsidR="00000000" w:rsidRDefault="00000000">
      <w:pPr>
        <w:spacing w:after="200"/>
      </w:pPr>
    </w:p>
    <w:p w14:paraId="0FE70B6A" w14:textId="77777777" w:rsidR="00000000" w:rsidRDefault="00000000">
      <w:pPr>
        <w:spacing w:after="200"/>
      </w:pPr>
      <w:r>
        <w:rPr>
          <w:i/>
          <w:iCs/>
          <w:color w:val="4472C4"/>
        </w:rPr>
        <w:t xml:space="preserve">Recommended framing: “Over a five-year, 90-agency program, people will transition. That’s a reality of any contract this size. Our methodology is designed so that the program’s quality never depends on any single assessment team member. ANCHOR defines the workflow, the </w:t>
      </w:r>
      <w:r>
        <w:rPr>
          <w:i/>
          <w:iCs/>
          <w:color w:val="4472C4"/>
        </w:rPr>
        <w:lastRenderedPageBreak/>
        <w:t>ESG defines the scoring, and Thang’s final QA review validates every deliverable before it reaches the State. No assessment ships until it passes his review, regardless of who produced it.”</w:t>
      </w:r>
    </w:p>
    <w:p w14:paraId="0FE70B6B" w14:textId="77777777" w:rsidR="00000000" w:rsidRDefault="00000000">
      <w:pPr>
        <w:pStyle w:val="Heading2"/>
      </w:pPr>
      <w:r>
        <w:t>4. Personnel Continuity Strategy</w:t>
      </w:r>
    </w:p>
    <w:p w14:paraId="0FE70B6C" w14:textId="77777777" w:rsidR="00000000" w:rsidRDefault="00000000">
      <w:pPr>
        <w:spacing w:after="200"/>
      </w:pPr>
      <w:r>
        <w:t>Cover retention and replacement:</w:t>
      </w:r>
    </w:p>
    <w:p w14:paraId="0FE70B6D" w14:textId="77777777" w:rsidR="00000000" w:rsidRDefault="00000000">
      <w:pPr>
        <w:pStyle w:val="ListParagraph"/>
        <w:numPr>
          <w:ilvl w:val="0"/>
          <w:numId w:val="32"/>
        </w:numPr>
        <w:spacing w:after="80"/>
      </w:pPr>
      <w:r>
        <w:t>Retention: meaningful work, rigorous methodology, professional development, certification funding, competitive compensation</w:t>
      </w:r>
    </w:p>
    <w:p w14:paraId="0FE70B6E" w14:textId="77777777" w:rsidR="00000000" w:rsidRDefault="00000000">
      <w:pPr>
        <w:pStyle w:val="ListParagraph"/>
        <w:numPr>
          <w:ilvl w:val="0"/>
          <w:numId w:val="32"/>
        </w:numPr>
        <w:spacing w:after="80"/>
      </w:pPr>
      <w:r>
        <w:t>Replacement protocol: PMO identifies gap, departing member’s workpapers transition through shared repository, replacement onboarded into ANCHOR workflow with ESG training, FRTA validates output before anything ships</w:t>
      </w:r>
    </w:p>
    <w:p w14:paraId="0FE70B6F" w14:textId="77777777" w:rsidR="00000000" w:rsidRDefault="00000000">
      <w:pPr>
        <w:pStyle w:val="ListParagraph"/>
        <w:numPr>
          <w:ilvl w:val="0"/>
          <w:numId w:val="32"/>
        </w:numPr>
        <w:spacing w:after="80"/>
      </w:pPr>
      <w:r>
        <w:t>Key Personnel: replacement candidates meeting same qualification standards submitted to State for approval per contract provisions</w:t>
      </w:r>
    </w:p>
    <w:p w14:paraId="0FE70B70" w14:textId="77777777" w:rsidR="00000000" w:rsidRDefault="00000000">
      <w:pPr>
        <w:spacing w:after="200"/>
      </w:pPr>
    </w:p>
    <w:p w14:paraId="0FE70B71" w14:textId="77777777" w:rsidR="00000000" w:rsidRDefault="00000000">
      <w:pPr>
        <w:pStyle w:val="Heading2"/>
      </w:pPr>
      <w:r>
        <w:t xml:space="preserve">5. Active Hiring Pipeline (If </w:t>
      </w:r>
      <w:proofErr w:type="gramStart"/>
      <w:r>
        <w:t>Asked</w:t>
      </w:r>
      <w:proofErr w:type="gramEnd"/>
      <w:r>
        <w:t>)</w:t>
      </w:r>
    </w:p>
    <w:p w14:paraId="0FE70B72" w14:textId="77777777" w:rsidR="00000000" w:rsidRDefault="00000000">
      <w:pPr>
        <w:spacing w:after="200"/>
      </w:pPr>
      <w:r>
        <w:rPr>
          <w:b/>
          <w:bCs/>
          <w:color w:val="C00000"/>
        </w:rPr>
        <w:t xml:space="preserve">⚠️ PREP NOTE — The Panel Will Likely Ask About Staffing: </w:t>
      </w:r>
      <w:r>
        <w:t>If asked whether assessment staff has been hired, the honest answer is: “We have an active hiring pipeline aligned to the qualification standards I just described. Our POD model is specifically designed so that qualified professionals can execute within the ANCHOR framework from day one — the methodology, ESG, and FRTA quality gate ensure consistency from the first assessment.” Do not claim staff is hired when they are not. Do not hedge or give a non-answer. Be direct and pivot to the onboarding capability.</w:t>
      </w:r>
    </w:p>
    <w:p w14:paraId="0FE70B73" w14:textId="77777777" w:rsidR="00000000" w:rsidRDefault="00000000">
      <w:pPr>
        <w:spacing w:after="200"/>
      </w:pPr>
      <w:r>
        <w:rPr>
          <w:b/>
          <w:bCs/>
          <w:color w:val="C00000"/>
        </w:rPr>
        <w:t xml:space="preserve">⚠️ PREP NOTE — If Asked About Specific Names: </w:t>
      </w:r>
      <w:r>
        <w:t>If the panel asks “who is your Lead Assessor” or similar, the response is: “We have not finalized individual assessment team hires ahead of award. What we have finalized is the qualification standard for every role, the methodology they’ll execute within, and the quality controls that validate their work. The PM and Deputy PM are dedicated to this contract and committed upon NTP. They’re the ones who ensure the program delivers.”</w:t>
      </w:r>
    </w:p>
    <w:p w14:paraId="0FE70B74" w14:textId="77777777" w:rsidR="00000000" w:rsidRDefault="00000000">
      <w:r>
        <w:br w:type="page"/>
      </w:r>
    </w:p>
    <w:p w14:paraId="0FE70B75" w14:textId="77777777" w:rsidR="00000000" w:rsidRDefault="00000000">
      <w:pPr>
        <w:pStyle w:val="Heading1"/>
      </w:pPr>
      <w:r>
        <w:lastRenderedPageBreak/>
        <w:t>GOALS</w:t>
      </w:r>
    </w:p>
    <w:p w14:paraId="0FE70B76" w14:textId="77777777" w:rsidR="00000000" w:rsidRDefault="00000000">
      <w:pPr>
        <w:pStyle w:val="ListParagraph"/>
        <w:numPr>
          <w:ilvl w:val="0"/>
          <w:numId w:val="32"/>
        </w:numPr>
        <w:spacing w:after="80"/>
      </w:pPr>
      <w:r>
        <w:t>Lead with Thang and David as the dedicated contract leadership. They designed the methodology and will manage every engagement. Then introduce Sunny and Denise as Assurit corporate support — organizational depth, not contract staff.</w:t>
      </w:r>
    </w:p>
    <w:p w14:paraId="0FE70B77" w14:textId="77777777" w:rsidR="00000000" w:rsidRDefault="00000000">
      <w:pPr>
        <w:pStyle w:val="ListParagraph"/>
        <w:numPr>
          <w:ilvl w:val="0"/>
          <w:numId w:val="32"/>
        </w:numPr>
        <w:spacing w:after="80"/>
      </w:pPr>
      <w:r>
        <w:t>Present team structure, not a roster. Show defined roles with specific qualification standards. This is more credible than a list of names the panel can’t verify.</w:t>
      </w:r>
    </w:p>
    <w:p w14:paraId="0FE70B78" w14:textId="77777777" w:rsidR="00000000" w:rsidRDefault="00000000">
      <w:pPr>
        <w:pStyle w:val="ListParagraph"/>
        <w:numPr>
          <w:ilvl w:val="0"/>
          <w:numId w:val="32"/>
        </w:numPr>
        <w:spacing w:after="80"/>
      </w:pPr>
      <w:r>
        <w:t>Make the structure-over-names argument proactively. Don’t wait to be asked about staffing — make the case that ANCHOR, ESG, and FRTA are the continuity mechanisms.</w:t>
      </w:r>
    </w:p>
    <w:p w14:paraId="0FE70B79" w14:textId="77777777" w:rsidR="00000000" w:rsidRDefault="00000000">
      <w:pPr>
        <w:pStyle w:val="ListParagraph"/>
        <w:numPr>
          <w:ilvl w:val="0"/>
          <w:numId w:val="32"/>
        </w:numPr>
        <w:spacing w:after="80"/>
      </w:pPr>
      <w:r>
        <w:t>Be ready for the staffing question. Have a confident, direct answer. Don’t hedge. Pivot to onboarding capability and the quality gate.</w:t>
      </w:r>
    </w:p>
    <w:p w14:paraId="0FE70B7A" w14:textId="77777777" w:rsidR="00000000" w:rsidRDefault="00000000">
      <w:pPr>
        <w:pStyle w:val="ListParagraph"/>
        <w:numPr>
          <w:ilvl w:val="0"/>
          <w:numId w:val="32"/>
        </w:numPr>
        <w:spacing w:after="80"/>
      </w:pPr>
      <w:r>
        <w:t>Connect to Q1 and Q2. The POD model, ESG, and FRTA are already established in earlier answers. This answer should reinforce those mechanisms as personnel continuity tools, not just quality tools.</w:t>
      </w:r>
    </w:p>
    <w:p w14:paraId="0FE70B7B" w14:textId="77777777" w:rsidR="00000000" w:rsidRDefault="00000000">
      <w:pPr>
        <w:spacing w:after="200"/>
      </w:pPr>
    </w:p>
    <w:p w14:paraId="0FE70B7C" w14:textId="77777777" w:rsidR="00000000" w:rsidRDefault="00000000">
      <w:pPr>
        <w:pStyle w:val="Heading1"/>
      </w:pPr>
      <w:r>
        <w:t>POTENTIAL FOLLOW-UP QUESTIONS</w:t>
      </w:r>
    </w:p>
    <w:p w14:paraId="0FE70B7D" w14:textId="77777777" w:rsidR="00000000" w:rsidRDefault="00000000">
      <w:pPr>
        <w:pStyle w:val="Heading3"/>
      </w:pPr>
      <w:r>
        <w:t>On the Presenters</w:t>
      </w:r>
    </w:p>
    <w:p w14:paraId="0FE70B7E" w14:textId="77777777" w:rsidR="00000000" w:rsidRDefault="00000000">
      <w:pPr>
        <w:pStyle w:val="ListParagraph"/>
        <w:numPr>
          <w:ilvl w:val="0"/>
          <w:numId w:val="32"/>
        </w:numPr>
        <w:spacing w:after="80"/>
      </w:pPr>
      <w:r>
        <w:t>“You said Sunny isn’t dedicated to the contract. How available is she really? Will she be doing actual deliverable review?”</w:t>
      </w:r>
    </w:p>
    <w:p w14:paraId="0FE70B7F" w14:textId="77777777" w:rsidR="00000000" w:rsidRDefault="00000000">
      <w:pPr>
        <w:pStyle w:val="ListParagraph"/>
        <w:numPr>
          <w:ilvl w:val="0"/>
          <w:numId w:val="32"/>
        </w:numPr>
        <w:spacing w:after="80"/>
      </w:pPr>
      <w:r>
        <w:t xml:space="preserve">“How will you divide responsibilities between the PM and </w:t>
      </w:r>
      <w:proofErr w:type="gramStart"/>
      <w:r>
        <w:t>Deputy PM day</w:t>
      </w:r>
      <w:proofErr w:type="gramEnd"/>
      <w:r>
        <w:t xml:space="preserve"> to day?”</w:t>
      </w:r>
    </w:p>
    <w:p w14:paraId="0FE70B80" w14:textId="77777777" w:rsidR="00000000" w:rsidRDefault="00000000">
      <w:pPr>
        <w:pStyle w:val="ListParagraph"/>
        <w:numPr>
          <w:ilvl w:val="0"/>
          <w:numId w:val="32"/>
        </w:numPr>
        <w:spacing w:after="80"/>
      </w:pPr>
      <w:r>
        <w:t>“If Thang leaves the program, who steps into the PM role? Is there a succession plan?”</w:t>
      </w:r>
    </w:p>
    <w:p w14:paraId="0FE70B81" w14:textId="77777777" w:rsidR="00000000" w:rsidRDefault="00000000">
      <w:pPr>
        <w:spacing w:after="200"/>
      </w:pPr>
    </w:p>
    <w:p w14:paraId="0FE70B82" w14:textId="77777777" w:rsidR="00000000" w:rsidRDefault="00000000">
      <w:pPr>
        <w:pStyle w:val="Heading3"/>
      </w:pPr>
      <w:r>
        <w:t>On Staffing</w:t>
      </w:r>
    </w:p>
    <w:p w14:paraId="0FE70B83" w14:textId="77777777" w:rsidR="00000000" w:rsidRDefault="00000000">
      <w:pPr>
        <w:pStyle w:val="ListParagraph"/>
        <w:numPr>
          <w:ilvl w:val="0"/>
          <w:numId w:val="32"/>
        </w:numPr>
        <w:spacing w:after="80"/>
      </w:pPr>
      <w:r>
        <w:t>“Have you hired the assessment team, or are these positions you’re planning to fill after award?”</w:t>
      </w:r>
    </w:p>
    <w:p w14:paraId="0FE70B84" w14:textId="77777777" w:rsidR="00000000" w:rsidRDefault="00000000">
      <w:pPr>
        <w:pStyle w:val="ListParagraph"/>
        <w:numPr>
          <w:ilvl w:val="0"/>
          <w:numId w:val="32"/>
        </w:numPr>
        <w:spacing w:after="80"/>
      </w:pPr>
      <w:r>
        <w:t>“How quickly can you ramp up to full operational capacity after NTP? What’s your hiring timeline?”</w:t>
      </w:r>
    </w:p>
    <w:p w14:paraId="0FE70B85" w14:textId="77777777" w:rsidR="00000000" w:rsidRDefault="00000000">
      <w:pPr>
        <w:pStyle w:val="ListParagraph"/>
        <w:numPr>
          <w:ilvl w:val="0"/>
          <w:numId w:val="32"/>
        </w:numPr>
        <w:spacing w:after="80"/>
      </w:pPr>
      <w:r>
        <w:t>“You need multiple PODs running simultaneously. How many qualified Lead Assessors do you have access to right now?”</w:t>
      </w:r>
    </w:p>
    <w:p w14:paraId="0FE70B86" w14:textId="77777777" w:rsidR="00000000" w:rsidRDefault="00000000">
      <w:pPr>
        <w:pStyle w:val="ListParagraph"/>
        <w:numPr>
          <w:ilvl w:val="0"/>
          <w:numId w:val="32"/>
        </w:numPr>
        <w:spacing w:after="80"/>
      </w:pPr>
      <w:r>
        <w:t>“What happens if you can’t fill these positions in time? What’s your contingency?”</w:t>
      </w:r>
    </w:p>
    <w:p w14:paraId="0FE70B87" w14:textId="77777777" w:rsidR="00000000" w:rsidRDefault="00000000">
      <w:pPr>
        <w:spacing w:after="200"/>
      </w:pPr>
    </w:p>
    <w:p w14:paraId="0FE70B88" w14:textId="77777777" w:rsidR="00000000" w:rsidRDefault="00000000">
      <w:pPr>
        <w:spacing w:after="200"/>
      </w:pPr>
      <w:r>
        <w:rPr>
          <w:b/>
          <w:bCs/>
          <w:color w:val="C00000"/>
        </w:rPr>
        <w:t xml:space="preserve">⚠️ PREP NOTE — Ramp-Up Timeline: </w:t>
      </w:r>
      <w:r>
        <w:t>The presenter must have a confident answer for ramp-up. Prepare specific timelines: how many days from NTP to first POD operational, how many concurrent PODs at 30/60/90 days, what the hiring pipeline looks like. The panel needs to believe you can staff this, not just that you’ve defined the roles.</w:t>
      </w:r>
    </w:p>
    <w:p w14:paraId="0FE70B89" w14:textId="77777777" w:rsidR="00000000" w:rsidRDefault="00000000">
      <w:pPr>
        <w:pStyle w:val="Heading3"/>
      </w:pPr>
      <w:r>
        <w:t>On Continuity</w:t>
      </w:r>
    </w:p>
    <w:p w14:paraId="0FE70B8A" w14:textId="77777777" w:rsidR="00000000" w:rsidRDefault="00000000">
      <w:pPr>
        <w:pStyle w:val="ListParagraph"/>
        <w:numPr>
          <w:ilvl w:val="0"/>
          <w:numId w:val="32"/>
        </w:numPr>
        <w:spacing w:after="80"/>
      </w:pPr>
      <w:r>
        <w:lastRenderedPageBreak/>
        <w:t xml:space="preserve">“You say the methodology ensures consistency regardless of who fills the roles. But a brand-new assessor won’t have the institutional knowledge of someone who’s been on the program for two years. How do </w:t>
      </w:r>
      <w:proofErr w:type="spellStart"/>
      <w:r>
        <w:t>you</w:t>
      </w:r>
      <w:proofErr w:type="spellEnd"/>
      <w:r>
        <w:t xml:space="preserve"> account for that?”</w:t>
      </w:r>
    </w:p>
    <w:p w14:paraId="0FE70B8B" w14:textId="77777777" w:rsidR="00000000" w:rsidRDefault="00000000">
      <w:pPr>
        <w:pStyle w:val="ListParagraph"/>
        <w:numPr>
          <w:ilvl w:val="0"/>
          <w:numId w:val="32"/>
        </w:numPr>
        <w:spacing w:after="80"/>
      </w:pPr>
      <w:r>
        <w:t>“What’s your turnover expectation over the life of this contract? What rate would concern you?”</w:t>
      </w:r>
    </w:p>
    <w:p w14:paraId="0FE70B8C" w14:textId="77777777" w:rsidR="00000000" w:rsidRDefault="00000000">
      <w:pPr>
        <w:pStyle w:val="ListParagraph"/>
        <w:numPr>
          <w:ilvl w:val="0"/>
          <w:numId w:val="32"/>
        </w:numPr>
        <w:spacing w:after="80"/>
      </w:pPr>
      <w:r>
        <w:t>“Do you rotate assessment teams across agencies, or does the same POD return to the same agency each cycle?”</w:t>
      </w:r>
    </w:p>
    <w:p w14:paraId="0FE70B8D" w14:textId="77777777" w:rsidR="00000000" w:rsidRDefault="00000000">
      <w:pPr>
        <w:spacing w:after="200"/>
      </w:pPr>
    </w:p>
    <w:p w14:paraId="0FE70B8E" w14:textId="77777777" w:rsidR="00000000" w:rsidRDefault="00000000">
      <w:pPr>
        <w:pStyle w:val="Heading3"/>
      </w:pPr>
      <w:r>
        <w:t>On Qualifications</w:t>
      </w:r>
    </w:p>
    <w:p w14:paraId="0FE70B8F" w14:textId="77777777" w:rsidR="00000000" w:rsidRDefault="00000000">
      <w:pPr>
        <w:pStyle w:val="ListParagraph"/>
        <w:numPr>
          <w:ilvl w:val="0"/>
          <w:numId w:val="32"/>
        </w:numPr>
        <w:spacing w:after="80"/>
      </w:pPr>
      <w:r>
        <w:t>“You require CISSP or CISM for Lead Assessors. What if a candidate has equivalent experience but not the certification? Are you flexible on that?”</w:t>
      </w:r>
    </w:p>
    <w:p w14:paraId="0FE70B90" w14:textId="77777777" w:rsidR="00000000" w:rsidRDefault="00000000">
      <w:pPr>
        <w:pStyle w:val="ListParagraph"/>
        <w:numPr>
          <w:ilvl w:val="0"/>
          <w:numId w:val="32"/>
        </w:numPr>
        <w:spacing w:after="80"/>
      </w:pPr>
      <w:r>
        <w:t xml:space="preserve">“How do you validate that your assessment staff can </w:t>
      </w:r>
      <w:proofErr w:type="gramStart"/>
      <w:r>
        <w:t>actually apply</w:t>
      </w:r>
      <w:proofErr w:type="gramEnd"/>
      <w:r>
        <w:t xml:space="preserve"> the ESG consistently? Is there an internal certification or calibration process?”</w:t>
      </w:r>
    </w:p>
    <w:p w14:paraId="0FE70B91" w14:textId="77777777" w:rsidR="00000000" w:rsidRDefault="00000000">
      <w:pPr>
        <w:pStyle w:val="ListParagraph"/>
        <w:numPr>
          <w:ilvl w:val="0"/>
          <w:numId w:val="32"/>
        </w:numPr>
        <w:spacing w:after="80"/>
      </w:pPr>
      <w:r>
        <w:t>“Will your team members have CJIS background clearances? What’s your plan if someone fails the background check?”</w:t>
      </w:r>
    </w:p>
    <w:p w14:paraId="0FE70B92" w14:textId="77777777" w:rsidR="00000000" w:rsidRDefault="00000000">
      <w:pPr>
        <w:spacing w:after="200"/>
      </w:pPr>
    </w:p>
    <w:p w14:paraId="0FE70B93" w14:textId="77777777" w:rsidR="00000000" w:rsidRDefault="00000000">
      <w:pPr>
        <w:pStyle w:val="Heading3"/>
      </w:pPr>
      <w:r>
        <w:t>The Curveball</w:t>
      </w:r>
    </w:p>
    <w:p w14:paraId="0FE70B94" w14:textId="77777777" w:rsidR="00000000" w:rsidRDefault="00000000">
      <w:pPr>
        <w:pStyle w:val="ListParagraph"/>
        <w:numPr>
          <w:ilvl w:val="0"/>
          <w:numId w:val="32"/>
        </w:numPr>
        <w:spacing w:after="80"/>
      </w:pPr>
      <w:r>
        <w:t>“Your proposal named specific team members for these assessment roles. Are those people still available? Will they be on this contract?”</w:t>
      </w:r>
    </w:p>
    <w:p w14:paraId="0FE70B95" w14:textId="77777777" w:rsidR="00000000" w:rsidRDefault="00000000">
      <w:pPr>
        <w:spacing w:after="200"/>
      </w:pPr>
    </w:p>
    <w:p w14:paraId="0FE70B96" w14:textId="77777777" w:rsidR="00000000" w:rsidRDefault="00000000">
      <w:pPr>
        <w:spacing w:after="200"/>
      </w:pPr>
      <w:r>
        <w:rPr>
          <w:b/>
          <w:bCs/>
          <w:color w:val="C00000"/>
        </w:rPr>
        <w:t xml:space="preserve">⚠️ PREP NOTE — This Is the Hardest Question: </w:t>
      </w:r>
      <w:r>
        <w:t>If the proposal named assessment staff who are not confirmed, the presenter must have a direct, honest answer. Do not claim they are committed if they are not. A possible framing: “The proposal reflected our hiring targets at the time of submission. Since then, our focus has been on finalizing the leadership team you see here and refining the qualification standards for every assessment role. We have an active pipeline and will staff to the standards we’ve defined. The PM and Deputy PM are committed and dedicated to this contract — the methodology is proven — and the quality controls ensure consistent delivery regardless of which specific professionals fill the POD roles.” This answer acknowledges reality without apologizing. The panel respects honesty more than a roster they suspect is fabricated.</w:t>
      </w:r>
    </w:p>
    <w:p w14:paraId="0FE70B97" w14:textId="77777777" w:rsidR="00000000" w:rsidRDefault="00000000">
      <w:r>
        <w:br w:type="page"/>
      </w:r>
    </w:p>
    <w:p w14:paraId="0FE70B98" w14:textId="77777777" w:rsidR="00000000" w:rsidRDefault="00000000">
      <w:pPr>
        <w:pStyle w:val="Heading1"/>
      </w:pPr>
      <w:r>
        <w:lastRenderedPageBreak/>
        <w:t>CHANGE LOG</w:t>
      </w:r>
    </w:p>
    <w:p w14:paraId="0FE70B99" w14:textId="77777777" w:rsidR="00000000" w:rsidRDefault="00000000">
      <w:pPr>
        <w:spacing w:after="200"/>
      </w:pPr>
      <w:r>
        <w:t>Changes from previous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7260"/>
      </w:tblGrid>
      <w:tr w:rsidR="00443499" w14:paraId="0FE70B9D"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E70B9A" w14:textId="77777777" w:rsidR="00000000" w:rsidRDefault="00000000">
            <w:r>
              <w:rPr>
                <w:b/>
                <w:bCs/>
                <w:color w:val="FFFFFF"/>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E70B9B" w14:textId="77777777" w:rsidR="00000000" w:rsidRDefault="00000000">
            <w:r>
              <w:rPr>
                <w:b/>
                <w:bCs/>
                <w:color w:val="FFFFFF"/>
                <w:sz w:val="20"/>
                <w:szCs w:val="20"/>
              </w:rPr>
              <w:t>Item</w:t>
            </w:r>
          </w:p>
        </w:tc>
        <w:tc>
          <w:tcPr>
            <w:tcW w:w="7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E70B9C" w14:textId="77777777" w:rsidR="00000000" w:rsidRDefault="00000000">
            <w:r>
              <w:rPr>
                <w:b/>
                <w:bCs/>
                <w:color w:val="FFFFFF"/>
                <w:sz w:val="20"/>
                <w:szCs w:val="20"/>
              </w:rPr>
              <w:t>Change Description</w:t>
            </w:r>
          </w:p>
        </w:tc>
      </w:tr>
      <w:tr w:rsidR="00443499" w14:paraId="0FE70BA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9E" w14:textId="77777777" w:rsidR="00000000" w:rsidRDefault="00000000">
            <w:r>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9F" w14:textId="77777777" w:rsidR="00000000" w:rsidRDefault="00000000">
            <w:r>
              <w:rPr>
                <w:sz w:val="20"/>
                <w:szCs w:val="20"/>
              </w:rPr>
              <w:t>Rewrite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A0" w14:textId="77777777" w:rsidR="00000000" w:rsidRDefault="00000000">
            <w:r>
              <w:rPr>
                <w:sz w:val="20"/>
                <w:szCs w:val="20"/>
              </w:rPr>
              <w:t>Removed nine-person named roster. Assessment team members who are not confirmed are no longer listed by name. Answer now leads with the four presenters and their real roles.</w:t>
            </w:r>
          </w:p>
        </w:tc>
      </w:tr>
      <w:tr w:rsidR="00443499" w14:paraId="0FE70BA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A2" w14:textId="77777777" w:rsidR="00000000" w:rsidRDefault="00000000">
            <w:r>
              <w:rPr>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A3"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A4" w14:textId="77777777" w:rsidR="00000000" w:rsidRDefault="00000000">
            <w:r>
              <w:rPr>
                <w:sz w:val="20"/>
                <w:szCs w:val="20"/>
              </w:rPr>
              <w:t>Added Sunny Tuteja and Denise Pho. Neither appeared in the previous version. (Note: roles corrected in change #7.)</w:t>
            </w:r>
          </w:p>
        </w:tc>
      </w:tr>
      <w:tr w:rsidR="00443499" w14:paraId="0FE70BA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A6" w14:textId="77777777" w:rsidR="00000000" w:rsidRDefault="00000000">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A7" w14:textId="77777777" w:rsidR="00000000" w:rsidRDefault="00000000">
            <w:r>
              <w:rPr>
                <w:sz w:val="20"/>
                <w:szCs w:val="20"/>
              </w:rPr>
              <w:t>Rewrite</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A8" w14:textId="77777777" w:rsidR="00000000" w:rsidRDefault="00000000">
            <w:r>
              <w:rPr>
                <w:sz w:val="20"/>
                <w:szCs w:val="20"/>
              </w:rPr>
              <w:t>Replaced “The people in this room are the people who will do the work” with structure-first framing: leadership team + POD qualification standards.</w:t>
            </w:r>
          </w:p>
        </w:tc>
      </w:tr>
      <w:tr w:rsidR="00443499" w14:paraId="0FE70BA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AA" w14:textId="77777777" w:rsidR="00000000" w:rsidRDefault="00000000">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AB"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AC" w14:textId="77777777" w:rsidR="00000000" w:rsidRDefault="00000000">
            <w:r>
              <w:rPr>
                <w:sz w:val="20"/>
                <w:szCs w:val="20"/>
              </w:rPr>
              <w:t>Added POD role qualification standards table (Lead Assessor, ISE, Risk Assessment Consultant, Security Data Specialist) with required certifications and experience levels.</w:t>
            </w:r>
          </w:p>
        </w:tc>
      </w:tr>
      <w:tr w:rsidR="00443499" w14:paraId="0FE70BB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AE" w14:textId="77777777" w:rsidR="00000000" w:rsidRDefault="00000000">
            <w:r>
              <w:rPr>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AF"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B0" w14:textId="77777777" w:rsidR="00000000" w:rsidRDefault="00000000">
            <w:r>
              <w:rPr>
                <w:sz w:val="20"/>
                <w:szCs w:val="20"/>
              </w:rPr>
              <w:t>Added “Why Structure Matters More Than Names” section making the proactive case for methodology-driven continuity.</w:t>
            </w:r>
          </w:p>
        </w:tc>
      </w:tr>
      <w:tr w:rsidR="00443499" w14:paraId="0FE70BB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B2" w14:textId="77777777" w:rsidR="00000000" w:rsidRDefault="00000000">
            <w:r>
              <w:rPr>
                <w:sz w:val="20"/>
                <w:szCs w:val="20"/>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B3" w14:textId="77777777" w:rsidR="00000000" w:rsidRDefault="00000000">
            <w:r>
              <w:rPr>
                <w:sz w:val="20"/>
                <w:szCs w:val="20"/>
              </w:rPr>
              <w:t>Addition</w:t>
            </w:r>
          </w:p>
        </w:tc>
        <w:tc>
          <w:tcPr>
            <w:tcW w:w="7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70BB4" w14:textId="77777777" w:rsidR="00000000" w:rsidRDefault="00000000">
            <w:r>
              <w:rPr>
                <w:sz w:val="20"/>
                <w:szCs w:val="20"/>
              </w:rPr>
              <w:t>Added prep notes for handling staffing questions, specific name requests, ramp-up timeline, and the curveball about proposal-named staff who may not be available.</w:t>
            </w:r>
          </w:p>
        </w:tc>
      </w:tr>
      <w:tr w:rsidR="00443499" w14:paraId="0FE70BB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B8" w14:textId="77777777" w:rsidR="00000000" w:rsidRDefault="00000000">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B9" w14:textId="77777777" w:rsidR="00000000" w:rsidRDefault="00000000">
            <w:r>
              <w:rPr>
                <w:sz w:val="20"/>
                <w:szCs w:val="20"/>
              </w:rPr>
              <w:t>Correction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0BBA" w14:textId="77777777" w:rsidR="00000000" w:rsidRDefault="00000000">
            <w:r>
              <w:rPr>
                <w:sz w:val="20"/>
                <w:szCs w:val="20"/>
              </w:rPr>
              <w:t>Corrected role structure: Thang and David are dedicated contract leadership (Key Personnel). Sunny and Denise repositioned as Assurit corporate support, not contract staff. Thang expanded to PM + Technical Lead + final QA authority. Updated all talking points, recommended framings, and follow-up questions to reflect corrected roles.</w:t>
            </w:r>
          </w:p>
        </w:tc>
      </w:tr>
    </w:tbl>
    <w:p w14:paraId="0FE70BB6" w14:textId="77777777" w:rsidR="00000000" w:rsidRDefault="00000000"/>
    <w:p w14:paraId="2210C146" w14:textId="77777777" w:rsidR="00000000" w:rsidRDefault="00000000">
      <w:pPr>
        <w:spacing w:before="400" w:after="60"/>
        <w:jc w:val="center"/>
      </w:pPr>
      <w:r>
        <w:rPr>
          <w:b/>
          <w:bCs/>
          <w:color w:val="2D2D2D"/>
          <w:sz w:val="40"/>
          <w:szCs w:val="40"/>
        </w:rPr>
        <w:t>ORAL PRESENTATION PREP</w:t>
      </w:r>
    </w:p>
    <w:p w14:paraId="2210C147" w14:textId="77777777" w:rsidR="00000000" w:rsidRDefault="00000000">
      <w:pPr>
        <w:spacing w:after="60"/>
        <w:jc w:val="center"/>
      </w:pPr>
      <w:r>
        <w:rPr>
          <w:color w:val="555555"/>
          <w:sz w:val="26"/>
          <w:szCs w:val="26"/>
        </w:rPr>
        <w:t>Section 2, Question 10: Subcontractor Management &amp; MBE/VSBE Compliance</w:t>
      </w:r>
    </w:p>
    <w:p w14:paraId="2210C148" w14:textId="77777777" w:rsidR="00000000" w:rsidRDefault="00000000">
      <w:pPr>
        <w:pBdr>
          <w:bottom w:val="single" w:sz="12" w:space="1" w:color="D4A017"/>
        </w:pBdr>
        <w:spacing w:after="80"/>
        <w:jc w:val="center"/>
      </w:pPr>
    </w:p>
    <w:p w14:paraId="2210C149" w14:textId="77777777" w:rsidR="00000000" w:rsidRDefault="00000000">
      <w:pPr>
        <w:spacing w:after="300"/>
        <w:jc w:val="center"/>
      </w:pPr>
      <w:r>
        <w:rPr>
          <w:i/>
          <w:iCs/>
          <w:color w:val="607D8B"/>
          <w:sz w:val="20"/>
          <w:szCs w:val="20"/>
        </w:rPr>
        <w:t xml:space="preserve">Updated March 30, </w:t>
      </w:r>
      <w:proofErr w:type="gramStart"/>
      <w:r>
        <w:rPr>
          <w:i/>
          <w:iCs/>
          <w:color w:val="607D8B"/>
          <w:sz w:val="20"/>
          <w:szCs w:val="20"/>
        </w:rPr>
        <w:t>2026</w:t>
      </w:r>
      <w:proofErr w:type="gramEnd"/>
      <w:r>
        <w:rPr>
          <w:i/>
          <w:iCs/>
          <w:color w:val="607D8B"/>
          <w:sz w:val="20"/>
          <w:szCs w:val="20"/>
        </w:rPr>
        <w:t xml:space="preserve"> | Verified Against Proposal</w:t>
      </w:r>
    </w:p>
    <w:p w14:paraId="2210C14A" w14:textId="77777777" w:rsidR="00000000" w:rsidRDefault="00000000">
      <w:pPr>
        <w:pBdr>
          <w:bottom w:val="single" w:sz="6" w:space="1" w:color="D4A017"/>
        </w:pBdr>
        <w:spacing w:before="200" w:after="200"/>
      </w:pPr>
    </w:p>
    <w:p w14:paraId="2210C14B" w14:textId="77777777" w:rsidR="00000000" w:rsidRDefault="00000000">
      <w:pPr>
        <w:pStyle w:val="Heading1"/>
        <w:spacing w:before="200" w:after="120"/>
      </w:pPr>
      <w:r>
        <w:t>THE ASK</w:t>
      </w:r>
    </w:p>
    <w:p w14:paraId="2210C14C" w14:textId="77777777" w:rsidR="00000000" w:rsidRDefault="00000000">
      <w:pPr>
        <w:spacing w:before="80" w:after="80"/>
      </w:pPr>
      <w:r>
        <w:rPr>
          <w:b/>
          <w:bCs/>
          <w:color w:val="333333"/>
        </w:rPr>
        <w:t xml:space="preserve">What they're really asking: </w:t>
      </w:r>
      <w:r>
        <w:rPr>
          <w:color w:val="333333"/>
        </w:rPr>
        <w:t>This is the "are your subs as good as you" question. The panel knows that prime contractors often talk a great game in orals and then delegate significant work to subcontractors who weren't in the room. They want to know that RACTSOL will operate at the same quality level as your own staff, and that you have real oversight mechanisms — not just a subcontract agreement sitting in a drawer.</w:t>
      </w:r>
    </w:p>
    <w:p w14:paraId="2210C14D" w14:textId="77777777" w:rsidR="00000000" w:rsidRDefault="00000000">
      <w:pPr>
        <w:spacing w:before="80" w:after="80"/>
      </w:pPr>
      <w:r>
        <w:rPr>
          <w:b/>
          <w:bCs/>
          <w:color w:val="333333"/>
        </w:rPr>
        <w:t xml:space="preserve">The Q&amp;A confirmed (Q59) that a single firm with both MBE and VSBE certifications can satisfy both goals, </w:t>
      </w:r>
      <w:r>
        <w:rPr>
          <w:color w:val="333333"/>
        </w:rPr>
        <w:t xml:space="preserve">but must perform two separate, distinct scopes of work. The panel will want </w:t>
      </w:r>
      <w:r>
        <w:rPr>
          <w:color w:val="333333"/>
        </w:rPr>
        <w:lastRenderedPageBreak/>
        <w:t>to understand what RACTSOL's specific scope is and how you ensure quality across that boundary.</w:t>
      </w:r>
    </w:p>
    <w:p w14:paraId="2210C14E" w14:textId="77777777" w:rsidR="00000000" w:rsidRDefault="00000000">
      <w:pPr>
        <w:pBdr>
          <w:bottom w:val="single" w:sz="6" w:space="1" w:color="D4A017"/>
        </w:pBdr>
        <w:spacing w:before="200" w:after="200"/>
      </w:pPr>
    </w:p>
    <w:p w14:paraId="2210C14F" w14:textId="77777777" w:rsidR="00000000" w:rsidRDefault="00000000">
      <w:pPr>
        <w:pStyle w:val="Heading1"/>
        <w:spacing w:before="200" w:after="120"/>
      </w:pPr>
      <w:r>
        <w:t>MUST-HIT ITEMS</w:t>
      </w:r>
    </w:p>
    <w:p w14:paraId="2210C150" w14:textId="77777777" w:rsidR="00000000" w:rsidRDefault="00000000">
      <w:pPr>
        <w:pStyle w:val="Heading3"/>
        <w:spacing w:before="240" w:after="100"/>
      </w:pPr>
      <w:r>
        <w:t>1. Name Your Subcontractor and Their Specific Role</w:t>
      </w:r>
    </w:p>
    <w:p w14:paraId="2210C151" w14:textId="77777777" w:rsidR="00000000" w:rsidRDefault="00000000">
      <w:pPr>
        <w:spacing w:before="80" w:after="80"/>
      </w:pPr>
      <w:r>
        <w:rPr>
          <w:b/>
          <w:bCs/>
          <w:color w:val="333333"/>
        </w:rPr>
        <w:t xml:space="preserve">RACTSOL Inc. </w:t>
      </w:r>
      <w:r>
        <w:rPr>
          <w:color w:val="333333"/>
        </w:rPr>
        <w:t>— Maryland certified Minority Business Enterprise (MBE No. 18-582) and Veteran-Owned Small Business Enterprise. State their specific scope of work clearly. Don't be vague about what they do versus what Assurit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2EA" w14:paraId="2210C154" w14:textId="77777777">
        <w:tc>
          <w:tcPr>
            <w:tcW w:w="9360" w:type="dxa"/>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2210C152" w14:textId="77777777" w:rsidR="00000000" w:rsidRDefault="00000000">
            <w:pPr>
              <w:spacing w:after="80"/>
            </w:pPr>
            <w:r>
              <w:rPr>
                <w:b/>
                <w:bCs/>
                <w:color w:val="B8860B"/>
              </w:rPr>
              <w:t>⚠️ PREP NOTE — Scope Specificity</w:t>
            </w:r>
          </w:p>
          <w:p w14:paraId="2210C153" w14:textId="77777777" w:rsidR="00000000" w:rsidRDefault="00000000">
            <w:pPr>
              <w:spacing w:before="40"/>
            </w:pPr>
            <w:r>
              <w:rPr>
                <w:color w:val="555555"/>
                <w:sz w:val="21"/>
                <w:szCs w:val="21"/>
              </w:rPr>
              <w:t>The presenter must be able to articulate RACTSOL's specific scope in concrete terms. Vague answers like 'they support assessments' will not land. The panel wants to hear: 'RACTSOL personnel perform [specific function] within [specific phase] of the assessment lifecycle.' If the proposal defines this precisely, reference it. If not, prepare a clear articulation before the oral.</w:t>
            </w:r>
          </w:p>
        </w:tc>
      </w:tr>
    </w:tbl>
    <w:p w14:paraId="2210C155" w14:textId="77777777" w:rsidR="00000000" w:rsidRDefault="00000000">
      <w:pPr>
        <w:spacing w:before="80" w:after="80"/>
      </w:pPr>
      <w:r>
        <w:rPr>
          <w:b/>
          <w:bCs/>
          <w:color w:val="2E7D32"/>
        </w:rPr>
        <w:t xml:space="preserve">What to say: </w:t>
      </w:r>
      <w:r>
        <w:rPr>
          <w:i/>
          <w:iCs/>
          <w:color w:val="333333"/>
        </w:rPr>
        <w:t>"RACTSOL Inc. is our subcontractor for this engagement — a Maryland-certified MBE and Veteran-Owned Small Business. They're not a check-the-box partner. Their personnel are embedded in our assessment teams and perform defined roles within the ANCHOR lifecycle."</w:t>
      </w:r>
    </w:p>
    <w:p w14:paraId="2210C156" w14:textId="77777777" w:rsidR="00000000" w:rsidRDefault="00000000">
      <w:pPr>
        <w:pStyle w:val="Heading3"/>
        <w:spacing w:before="240" w:after="100"/>
      </w:pPr>
      <w:r>
        <w:t>2. Same Standards, Same Tools, Same Process</w:t>
      </w:r>
    </w:p>
    <w:p w14:paraId="2210C157" w14:textId="77777777" w:rsidR="00000000" w:rsidRDefault="00000000">
      <w:pPr>
        <w:spacing w:before="80" w:after="80"/>
      </w:pPr>
      <w:r>
        <w:rPr>
          <w:color w:val="333333"/>
        </w:rPr>
        <w:t>RACTSOL personnel operate within the same POD structure, follow the same ANCHOR lifecycle, use the same ESG for scoring, and go through the same FRTA quality gate. There is no separate track or reduced standard for subcontractor deliverables. This is your strongest message.</w:t>
      </w:r>
    </w:p>
    <w:p w14:paraId="2210C158" w14:textId="77777777" w:rsidR="00000000" w:rsidRDefault="00000000">
      <w:pPr>
        <w:pStyle w:val="ListParagraph"/>
        <w:numPr>
          <w:ilvl w:val="0"/>
          <w:numId w:val="33"/>
        </w:numPr>
        <w:spacing w:before="40" w:after="40"/>
      </w:pPr>
      <w:r>
        <w:rPr>
          <w:color w:val="333333"/>
        </w:rPr>
        <w:t>Same ANCHOR methodology — no parallel process</w:t>
      </w:r>
    </w:p>
    <w:p w14:paraId="2210C159" w14:textId="77777777" w:rsidR="00000000" w:rsidRDefault="00000000">
      <w:pPr>
        <w:pStyle w:val="ListParagraph"/>
        <w:numPr>
          <w:ilvl w:val="0"/>
          <w:numId w:val="33"/>
        </w:numPr>
        <w:spacing w:before="40" w:after="40"/>
      </w:pPr>
      <w:r>
        <w:rPr>
          <w:color w:val="333333"/>
        </w:rPr>
        <w:t>Same Evidence Scoring Guide — identical scoring criteria</w:t>
      </w:r>
    </w:p>
    <w:p w14:paraId="2210C15A" w14:textId="77777777" w:rsidR="00000000" w:rsidRDefault="00000000">
      <w:pPr>
        <w:pStyle w:val="ListParagraph"/>
        <w:numPr>
          <w:ilvl w:val="0"/>
          <w:numId w:val="33"/>
        </w:numPr>
        <w:spacing w:before="40" w:after="40"/>
      </w:pPr>
      <w:r>
        <w:rPr>
          <w:color w:val="333333"/>
        </w:rPr>
        <w:t>Same FRTA quality gate — deliverables reviewed regardless of who produced them</w:t>
      </w:r>
    </w:p>
    <w:p w14:paraId="2210C15B" w14:textId="77777777" w:rsidR="00000000" w:rsidRDefault="00000000">
      <w:pPr>
        <w:pStyle w:val="ListParagraph"/>
        <w:numPr>
          <w:ilvl w:val="0"/>
          <w:numId w:val="33"/>
        </w:numPr>
        <w:spacing w:before="40" w:after="40"/>
      </w:pPr>
      <w:r>
        <w:rPr>
          <w:color w:val="333333"/>
        </w:rPr>
        <w:t>Same training, calibration sessions, and ESG reviews</w:t>
      </w:r>
    </w:p>
    <w:p w14:paraId="2210C15C" w14:textId="77777777" w:rsidR="00000000" w:rsidRDefault="00000000">
      <w:pPr>
        <w:spacing w:before="80" w:after="80"/>
      </w:pPr>
      <w:r>
        <w:rPr>
          <w:b/>
          <w:bCs/>
          <w:color w:val="333333"/>
        </w:rPr>
        <w:t xml:space="preserve">Key Point: </w:t>
      </w:r>
      <w:r>
        <w:rPr>
          <w:color w:val="333333"/>
        </w:rPr>
        <w:t>The State should not be able to tell whether a deliverable was produced by an Assurit employee or a RACTSOL employee. That's the standard.</w:t>
      </w:r>
    </w:p>
    <w:p w14:paraId="2210C15D" w14:textId="77777777" w:rsidR="00000000" w:rsidRDefault="00000000">
      <w:pPr>
        <w:pStyle w:val="Heading3"/>
        <w:spacing w:before="240" w:after="100"/>
      </w:pPr>
      <w:r>
        <w:t>3. Integration into the POD Model</w:t>
      </w:r>
    </w:p>
    <w:p w14:paraId="2210C15E" w14:textId="77777777" w:rsidR="00000000" w:rsidRDefault="00000000">
      <w:pPr>
        <w:spacing w:before="80" w:after="80"/>
      </w:pPr>
      <w:r>
        <w:rPr>
          <w:color w:val="333333"/>
        </w:rPr>
        <w:t>RACTSOL personnel are embedded in your PODs alongside Assurit staff — they're not running independent assessments on their own. This is how you maintain quality without creating a parallel management structure.</w:t>
      </w:r>
    </w:p>
    <w:p w14:paraId="2210C15F" w14:textId="77777777" w:rsidR="00000000" w:rsidRDefault="00000000">
      <w:pPr>
        <w:spacing w:before="80" w:after="80"/>
      </w:pPr>
      <w:r>
        <w:rPr>
          <w:b/>
          <w:bCs/>
          <w:color w:val="2E7D32"/>
        </w:rPr>
        <w:t xml:space="preserve">What to say: </w:t>
      </w:r>
      <w:r>
        <w:rPr>
          <w:i/>
          <w:iCs/>
          <w:color w:val="333333"/>
        </w:rPr>
        <w:t>"RACTSOL staff work inside our PODs, side by side with Assurit assessors. They report through the same POD lead, follow the same assessment plan, and produce deliverables that go through the same QA chain. In day-to-day operations, the distinction between Assurit and RACTSOL personnel is administrative, not operational."</w:t>
      </w:r>
    </w:p>
    <w:p w14:paraId="2210C160" w14:textId="77777777" w:rsidR="00000000" w:rsidRDefault="00000000">
      <w:pPr>
        <w:pStyle w:val="Heading3"/>
        <w:spacing w:before="240" w:after="100"/>
      </w:pPr>
      <w:r>
        <w:t>4. Oversight and Quality Control Mechanisms</w:t>
      </w:r>
    </w:p>
    <w:p w14:paraId="2210C161" w14:textId="77777777" w:rsidR="00000000" w:rsidRDefault="00000000">
      <w:pPr>
        <w:spacing w:before="80" w:after="80"/>
      </w:pPr>
      <w:r>
        <w:rPr>
          <w:color w:val="333333"/>
        </w:rPr>
        <w:lastRenderedPageBreak/>
        <w:t>The PM coordinates all staffing assignments including subcontractor personnel. Milestone tracking, deliverable review, and quality controls apply identically. RACTSOL work goes through the same multi-layer QA process described in Q5.</w:t>
      </w:r>
    </w:p>
    <w:p w14:paraId="2210C162" w14:textId="77777777" w:rsidR="00000000" w:rsidRDefault="00000000">
      <w:pPr>
        <w:pStyle w:val="ListParagraph"/>
        <w:numPr>
          <w:ilvl w:val="0"/>
          <w:numId w:val="34"/>
        </w:numPr>
        <w:spacing w:before="40" w:after="40"/>
      </w:pPr>
      <w:r>
        <w:rPr>
          <w:color w:val="333333"/>
        </w:rPr>
        <w:t xml:space="preserve">POD </w:t>
      </w:r>
      <w:proofErr w:type="gramStart"/>
      <w:r>
        <w:rPr>
          <w:color w:val="333333"/>
        </w:rPr>
        <w:t>Lead</w:t>
      </w:r>
      <w:proofErr w:type="gramEnd"/>
      <w:r>
        <w:rPr>
          <w:color w:val="333333"/>
        </w:rPr>
        <w:t xml:space="preserve"> reviews all work within the POD regardless of employer</w:t>
      </w:r>
    </w:p>
    <w:p w14:paraId="2210C163" w14:textId="77777777" w:rsidR="00000000" w:rsidRDefault="00000000">
      <w:pPr>
        <w:pStyle w:val="ListParagraph"/>
        <w:numPr>
          <w:ilvl w:val="0"/>
          <w:numId w:val="34"/>
        </w:numPr>
        <w:spacing w:before="40" w:after="40"/>
      </w:pPr>
      <w:r>
        <w:rPr>
          <w:color w:val="333333"/>
        </w:rPr>
        <w:t>FRTA independently validates all deliverables before State submission</w:t>
      </w:r>
    </w:p>
    <w:p w14:paraId="2210C164" w14:textId="77777777" w:rsidR="00000000" w:rsidRDefault="00000000">
      <w:pPr>
        <w:pStyle w:val="ListParagraph"/>
        <w:numPr>
          <w:ilvl w:val="0"/>
          <w:numId w:val="34"/>
        </w:numPr>
        <w:spacing w:before="40" w:after="40"/>
      </w:pPr>
      <w:r>
        <w:rPr>
          <w:color w:val="333333"/>
        </w:rPr>
        <w:t>PMO monitors quality metrics across all personnel — subcontractor performance tracked identically</w:t>
      </w:r>
    </w:p>
    <w:p w14:paraId="2210C165" w14:textId="77777777" w:rsidR="00000000" w:rsidRDefault="00000000">
      <w:pPr>
        <w:pStyle w:val="ListParagraph"/>
        <w:numPr>
          <w:ilvl w:val="0"/>
          <w:numId w:val="34"/>
        </w:numPr>
        <w:spacing w:before="40" w:after="40"/>
      </w:pPr>
      <w:r>
        <w:rPr>
          <w:color w:val="333333"/>
        </w:rPr>
        <w:t>Performance issues addressed directly through the PM — Assurit can reassign or replace subcontractor personnel as needed</w:t>
      </w:r>
    </w:p>
    <w:p w14:paraId="2210C166" w14:textId="77777777" w:rsidR="00000000" w:rsidRDefault="00000000">
      <w:pPr>
        <w:spacing w:before="80" w:after="80"/>
      </w:pPr>
      <w:r>
        <w:rPr>
          <w:b/>
          <w:bCs/>
          <w:color w:val="2E7D32"/>
        </w:rPr>
        <w:t xml:space="preserve">What to say: </w:t>
      </w:r>
      <w:r>
        <w:rPr>
          <w:i/>
          <w:iCs/>
          <w:color w:val="333333"/>
        </w:rPr>
        <w:t>"If a RACTSOL team member produces a deliverable that doesn't meet our quality standards, the same thing happens as with any Assurit team member — it gets flagged in review, returned for correction, and doesn't move forward until it's right. The QA process doesn't check who wrote it. It checks whether it's accurate, consistent, and actionable."</w:t>
      </w:r>
    </w:p>
    <w:p w14:paraId="2210C167" w14:textId="77777777" w:rsidR="00000000" w:rsidRDefault="00000000">
      <w:pPr>
        <w:pStyle w:val="Heading3"/>
        <w:spacing w:before="240" w:after="100"/>
      </w:pPr>
      <w:r>
        <w:t>5. MBE/VSBE Goal Compliance</w:t>
      </w:r>
    </w:p>
    <w:p w14:paraId="2210C168" w14:textId="77777777" w:rsidR="00000000" w:rsidRDefault="00000000">
      <w:pPr>
        <w:spacing w:before="80" w:after="80"/>
      </w:pPr>
      <w:r>
        <w:rPr>
          <w:color w:val="333333"/>
        </w:rPr>
        <w:t>Show you meet the 15% MBE goal and 3% VSBE goal. RACTSOL satisfies both but must perform two separate, distinct scopes of work (Q59).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62EA" w14:paraId="2210C16B" w14:textId="77777777">
        <w:tc>
          <w:tcPr>
            <w:tcW w:w="9360" w:type="dxa"/>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2210C169" w14:textId="77777777" w:rsidR="00000000" w:rsidRDefault="00000000">
            <w:pPr>
              <w:spacing w:after="80"/>
            </w:pPr>
            <w:r>
              <w:rPr>
                <w:b/>
                <w:bCs/>
                <w:color w:val="B8860B"/>
              </w:rPr>
              <w:t>⚠️ PREP NOTE — Dual Scope Requirement</w:t>
            </w:r>
          </w:p>
          <w:p w14:paraId="2210C16A" w14:textId="77777777" w:rsidR="00000000" w:rsidRDefault="00000000">
            <w:pPr>
              <w:spacing w:before="40"/>
            </w:pPr>
            <w:r>
              <w:rPr>
                <w:color w:val="555555"/>
                <w:sz w:val="21"/>
                <w:szCs w:val="21"/>
              </w:rPr>
              <w:t>Q59 confirmed that a single firm with both MBE and VSBE certifications can satisfy both goals, but the work must be divided into two separate, distinct scopes. The presenter MUST be prepared to articulate what those two scopes are. Example: MBE scope = assessment execution support (evidence collection, technical testing); VSBE scope = quality assurance support (deliverable review, documentation). Verify the actual scope split from the proposal before the oral.</w:t>
            </w:r>
          </w:p>
        </w:tc>
      </w:tr>
    </w:tbl>
    <w:p w14:paraId="2210C16C" w14:textId="77777777" w:rsidR="00000000" w:rsidRDefault="00000000">
      <w:pPr>
        <w:spacing w:before="80" w:after="80"/>
      </w:pPr>
      <w:r>
        <w:rPr>
          <w:b/>
          <w:bCs/>
          <w:color w:val="2E7D32"/>
        </w:rPr>
        <w:t xml:space="preserve">What to say: </w:t>
      </w:r>
      <w:r>
        <w:rPr>
          <w:i/>
          <w:iCs/>
          <w:color w:val="333333"/>
        </w:rPr>
        <w:t>"RACTSOL performs two distinct scopes of work under this contract — one counting toward the MBE goal and one toward the VSBE goal. [Describe Scope 1] counts toward the 15% MBE requirement. [Describe Scope 2] counts toward the 3% VSBE requirement. The scopes are distinct, the work is real, and RACTSOL's contribution to the program is substantive."</w:t>
      </w:r>
    </w:p>
    <w:p w14:paraId="2210C16D" w14:textId="77777777" w:rsidR="00000000" w:rsidRDefault="00000000">
      <w:pPr>
        <w:pStyle w:val="Heading3"/>
        <w:spacing w:before="240" w:after="100"/>
      </w:pPr>
      <w:r>
        <w:t>6. Accountability Structure</w:t>
      </w:r>
    </w:p>
    <w:p w14:paraId="2210C16E" w14:textId="77777777" w:rsidR="00000000" w:rsidRDefault="00000000">
      <w:pPr>
        <w:spacing w:before="80" w:after="80"/>
      </w:pPr>
      <w:r>
        <w:rPr>
          <w:color w:val="333333"/>
        </w:rPr>
        <w:t xml:space="preserve">As the prime contractor, Assurit retains full responsibility for all contract performance and deliverable quality. RACTSOL's work is </w:t>
      </w:r>
      <w:proofErr w:type="spellStart"/>
      <w:r>
        <w:rPr>
          <w:color w:val="333333"/>
        </w:rPr>
        <w:t>Assurit's</w:t>
      </w:r>
      <w:proofErr w:type="spellEnd"/>
      <w:r>
        <w:rPr>
          <w:color w:val="333333"/>
        </w:rPr>
        <w:t xml:space="preserve"> responsibility — period. The State has one point of accountability, not two.</w:t>
      </w:r>
    </w:p>
    <w:p w14:paraId="2210C16F" w14:textId="77777777" w:rsidR="00000000" w:rsidRDefault="00000000">
      <w:pPr>
        <w:spacing w:before="80" w:after="80"/>
      </w:pPr>
      <w:r>
        <w:rPr>
          <w:b/>
          <w:bCs/>
          <w:color w:val="2E7D32"/>
        </w:rPr>
        <w:t xml:space="preserve">What to say: </w:t>
      </w:r>
      <w:r>
        <w:rPr>
          <w:i/>
          <w:iCs/>
          <w:color w:val="333333"/>
        </w:rPr>
        <w:t xml:space="preserve">"The State has one prime contractor and one point of accountability. Every deliverable that reaches </w:t>
      </w:r>
      <w:proofErr w:type="spellStart"/>
      <w:r>
        <w:rPr>
          <w:i/>
          <w:iCs/>
          <w:color w:val="333333"/>
        </w:rPr>
        <w:t>DoIT</w:t>
      </w:r>
      <w:proofErr w:type="spellEnd"/>
      <w:r>
        <w:rPr>
          <w:i/>
          <w:iCs/>
          <w:color w:val="333333"/>
        </w:rPr>
        <w:t xml:space="preserve"> is </w:t>
      </w:r>
      <w:proofErr w:type="spellStart"/>
      <w:r>
        <w:rPr>
          <w:i/>
          <w:iCs/>
          <w:color w:val="333333"/>
        </w:rPr>
        <w:t>Assurit's</w:t>
      </w:r>
      <w:proofErr w:type="spellEnd"/>
      <w:r>
        <w:rPr>
          <w:i/>
          <w:iCs/>
          <w:color w:val="333333"/>
        </w:rPr>
        <w:t xml:space="preserve"> responsibility, regardless of who produced the initial draft. If something isn't right, the State comes to us. That's how it should work, and that's how we've structured this."</w:t>
      </w:r>
    </w:p>
    <w:p w14:paraId="2210C170" w14:textId="77777777" w:rsidR="00000000" w:rsidRDefault="00000000">
      <w:pPr>
        <w:pBdr>
          <w:bottom w:val="single" w:sz="6" w:space="1" w:color="D4A017"/>
        </w:pBdr>
        <w:spacing w:before="200" w:after="200"/>
      </w:pPr>
    </w:p>
    <w:p w14:paraId="2210C171" w14:textId="77777777" w:rsidR="00000000" w:rsidRDefault="00000000">
      <w:pPr>
        <w:pStyle w:val="Heading1"/>
        <w:spacing w:before="200" w:after="120"/>
      </w:pPr>
      <w:r>
        <w:t>GOALS</w:t>
      </w:r>
    </w:p>
    <w:p w14:paraId="2210C172" w14:textId="77777777" w:rsidR="00000000" w:rsidRDefault="00000000">
      <w:pPr>
        <w:pStyle w:val="ListParagraph"/>
        <w:numPr>
          <w:ilvl w:val="0"/>
          <w:numId w:val="35"/>
        </w:numPr>
        <w:spacing w:before="40" w:after="40"/>
      </w:pPr>
      <w:r>
        <w:rPr>
          <w:color w:val="333333"/>
        </w:rPr>
        <w:t>Make the sub relationship feel seamless, not bolted on. The panel should come away thinking RACTSOL is an integrated part of your team, not a box-checking exercise for MBE goals.</w:t>
      </w:r>
    </w:p>
    <w:p w14:paraId="2210C173" w14:textId="77777777" w:rsidR="00000000" w:rsidRDefault="00000000">
      <w:pPr>
        <w:pStyle w:val="ListParagraph"/>
        <w:numPr>
          <w:ilvl w:val="0"/>
          <w:numId w:val="35"/>
        </w:numPr>
        <w:spacing w:before="40" w:after="40"/>
      </w:pPr>
      <w:r>
        <w:rPr>
          <w:color w:val="333333"/>
        </w:rPr>
        <w:lastRenderedPageBreak/>
        <w:t>Show the quality controls are the same. The single most important message: there is no quality difference between Assurit deliverables and RACTSOL deliverables because the QA process is identical.</w:t>
      </w:r>
    </w:p>
    <w:p w14:paraId="2210C174" w14:textId="77777777" w:rsidR="00000000" w:rsidRDefault="00000000">
      <w:pPr>
        <w:pStyle w:val="ListParagraph"/>
        <w:numPr>
          <w:ilvl w:val="0"/>
          <w:numId w:val="35"/>
        </w:numPr>
        <w:spacing w:before="40" w:after="40"/>
      </w:pPr>
      <w:r>
        <w:rPr>
          <w:color w:val="333333"/>
        </w:rPr>
        <w:t>Be specific about scope delineation. Vague answers about sub scope make panels nervous. Clear scope = clear accountability.</w:t>
      </w:r>
    </w:p>
    <w:p w14:paraId="2210C175" w14:textId="77777777" w:rsidR="00000000" w:rsidRDefault="00000000">
      <w:pPr>
        <w:pStyle w:val="ListParagraph"/>
        <w:numPr>
          <w:ilvl w:val="0"/>
          <w:numId w:val="35"/>
        </w:numPr>
        <w:spacing w:before="40" w:after="40"/>
      </w:pPr>
      <w:r>
        <w:rPr>
          <w:color w:val="333333"/>
        </w:rPr>
        <w:t>Demonstrate the relationship has depth. If RACTSOL and Assurit have worked together before, say so. Established relationships beat first-time teaming arrangements.</w:t>
      </w:r>
    </w:p>
    <w:p w14:paraId="2210C176" w14:textId="77777777" w:rsidR="00000000" w:rsidRDefault="00000000">
      <w:pPr>
        <w:pBdr>
          <w:bottom w:val="single" w:sz="6" w:space="1" w:color="D4A017"/>
        </w:pBdr>
        <w:spacing w:before="200" w:after="200"/>
      </w:pPr>
    </w:p>
    <w:p w14:paraId="2210C177" w14:textId="77777777" w:rsidR="00000000" w:rsidRDefault="00000000">
      <w:pPr>
        <w:pStyle w:val="Heading1"/>
        <w:spacing w:before="200" w:after="120"/>
      </w:pPr>
      <w:r>
        <w:t>POTENTIAL QUESTIONS</w:t>
      </w:r>
    </w:p>
    <w:p w14:paraId="2210C178" w14:textId="77777777" w:rsidR="00000000" w:rsidRDefault="00000000">
      <w:pPr>
        <w:pStyle w:val="Heading2"/>
        <w:spacing w:before="300" w:after="120"/>
      </w:pPr>
      <w:r>
        <w:t>On Oversight</w:t>
      </w:r>
    </w:p>
    <w:p w14:paraId="2210C179" w14:textId="77777777" w:rsidR="00000000" w:rsidRDefault="00000000">
      <w:pPr>
        <w:pStyle w:val="ListParagraph"/>
        <w:numPr>
          <w:ilvl w:val="0"/>
          <w:numId w:val="36"/>
        </w:numPr>
        <w:spacing w:before="40" w:after="40"/>
      </w:pPr>
      <w:r>
        <w:rPr>
          <w:color w:val="333333"/>
        </w:rPr>
        <w:t>"Walk me through a deliverable produced by a RACTSOL team member. What does the review chain look like before it reaches the State?"</w:t>
      </w:r>
    </w:p>
    <w:p w14:paraId="2210C17A" w14:textId="77777777" w:rsidR="00000000" w:rsidRDefault="00000000">
      <w:pPr>
        <w:pStyle w:val="ListParagraph"/>
        <w:numPr>
          <w:ilvl w:val="0"/>
          <w:numId w:val="36"/>
        </w:numPr>
        <w:spacing w:before="40" w:after="40"/>
      </w:pPr>
      <w:r>
        <w:rPr>
          <w:color w:val="333333"/>
        </w:rPr>
        <w:t>"If a RACTSOL assessor produces a SAR that doesn't meet your quality standards, what happens? Who has that conversation?"</w:t>
      </w:r>
    </w:p>
    <w:p w14:paraId="2210C17B" w14:textId="77777777" w:rsidR="00000000" w:rsidRDefault="00000000">
      <w:pPr>
        <w:pStyle w:val="ListParagraph"/>
        <w:numPr>
          <w:ilvl w:val="0"/>
          <w:numId w:val="36"/>
        </w:numPr>
        <w:spacing w:before="40" w:after="40"/>
      </w:pPr>
      <w:r>
        <w:rPr>
          <w:color w:val="333333"/>
        </w:rPr>
        <w:t>"How do you handle performance issues with subcontractor personnel? Can you remove someone from the team if needed?"</w:t>
      </w:r>
    </w:p>
    <w:p w14:paraId="2210C17C" w14:textId="77777777" w:rsidR="00000000" w:rsidRDefault="00000000">
      <w:pPr>
        <w:pStyle w:val="Heading2"/>
        <w:spacing w:before="300" w:after="120"/>
      </w:pPr>
      <w:r>
        <w:t>On Integration</w:t>
      </w:r>
    </w:p>
    <w:p w14:paraId="2210C17D" w14:textId="77777777" w:rsidR="00000000" w:rsidRDefault="00000000">
      <w:pPr>
        <w:pStyle w:val="ListParagraph"/>
        <w:numPr>
          <w:ilvl w:val="0"/>
          <w:numId w:val="37"/>
        </w:numPr>
        <w:spacing w:before="40" w:after="40"/>
      </w:pPr>
      <w:r>
        <w:rPr>
          <w:color w:val="333333"/>
        </w:rPr>
        <w:t>"Are RACTSOL personnel distinguishable from Assurit personnel in day-to-day operations? Would the State know who works for whom?"</w:t>
      </w:r>
    </w:p>
    <w:p w14:paraId="2210C17E" w14:textId="77777777" w:rsidR="00000000" w:rsidRDefault="00000000">
      <w:pPr>
        <w:pStyle w:val="ListParagraph"/>
        <w:numPr>
          <w:ilvl w:val="0"/>
          <w:numId w:val="37"/>
        </w:numPr>
        <w:spacing w:before="40" w:after="40"/>
      </w:pPr>
      <w:r>
        <w:rPr>
          <w:color w:val="333333"/>
        </w:rPr>
        <w:t>"Do RACTSOL staff attend the same training, calibration sessions, and ESG reviews as your Assurit assessors?"</w:t>
      </w:r>
    </w:p>
    <w:p w14:paraId="2210C17F" w14:textId="77777777" w:rsidR="00000000" w:rsidRDefault="00000000">
      <w:pPr>
        <w:pStyle w:val="Heading2"/>
        <w:spacing w:before="300" w:after="120"/>
      </w:pPr>
      <w:r>
        <w:t>On MBE/VSBE Compliance</w:t>
      </w:r>
    </w:p>
    <w:p w14:paraId="2210C180" w14:textId="77777777" w:rsidR="00000000" w:rsidRDefault="00000000">
      <w:pPr>
        <w:pStyle w:val="ListParagraph"/>
        <w:numPr>
          <w:ilvl w:val="0"/>
          <w:numId w:val="38"/>
        </w:numPr>
        <w:spacing w:before="40" w:after="40"/>
      </w:pPr>
      <w:r>
        <w:rPr>
          <w:color w:val="333333"/>
        </w:rPr>
        <w:t>"Walk me through the two distinct scopes of work RACTSOL will perform for MBE and VSBE goal compliance."</w:t>
      </w:r>
    </w:p>
    <w:p w14:paraId="2210C181" w14:textId="77777777" w:rsidR="00000000" w:rsidRDefault="00000000">
      <w:pPr>
        <w:pStyle w:val="ListParagraph"/>
        <w:numPr>
          <w:ilvl w:val="0"/>
          <w:numId w:val="38"/>
        </w:numPr>
        <w:spacing w:before="40" w:after="40"/>
      </w:pPr>
      <w:r>
        <w:rPr>
          <w:color w:val="333333"/>
        </w:rPr>
        <w:t>"What percentage of the total contract value flows to RACTSOL? How does that compare to the 15% MBE and 3% VSBE goals?"</w:t>
      </w:r>
    </w:p>
    <w:p w14:paraId="2210C182" w14:textId="77777777" w:rsidR="00000000" w:rsidRDefault="00000000">
      <w:pPr>
        <w:pStyle w:val="Heading2"/>
        <w:spacing w:before="300" w:after="120"/>
      </w:pPr>
      <w:r>
        <w:t>The Curveball</w:t>
      </w:r>
    </w:p>
    <w:p w14:paraId="2210C183" w14:textId="77777777" w:rsidR="00000000" w:rsidRDefault="00000000">
      <w:pPr>
        <w:pStyle w:val="ListParagraph"/>
        <w:numPr>
          <w:ilvl w:val="0"/>
          <w:numId w:val="39"/>
        </w:numPr>
        <w:spacing w:before="40" w:after="40"/>
      </w:pPr>
      <w:r>
        <w:rPr>
          <w:color w:val="333333"/>
        </w:rPr>
        <w:t>"RACTSOL loses their MBE certification mid-contract. What's your plan for maintaining MBE goal compliance?"</w:t>
      </w:r>
    </w:p>
    <w:p w14:paraId="2210C184" w14:textId="77777777" w:rsidR="00000000" w:rsidRDefault="00000000">
      <w:pPr>
        <w:spacing w:before="80" w:after="80"/>
        <w:ind w:left="360"/>
      </w:pPr>
      <w:r>
        <w:rPr>
          <w:b/>
          <w:bCs/>
          <w:color w:val="2E7D32"/>
          <w:sz w:val="21"/>
          <w:szCs w:val="21"/>
        </w:rPr>
        <w:t xml:space="preserve">▶ PREP NOTE: </w:t>
      </w:r>
      <w:r>
        <w:rPr>
          <w:i/>
          <w:iCs/>
          <w:color w:val="2E7D32"/>
          <w:sz w:val="21"/>
          <w:szCs w:val="21"/>
        </w:rPr>
        <w:t xml:space="preserve">This is a real </w:t>
      </w:r>
      <w:proofErr w:type="gramStart"/>
      <w:r>
        <w:rPr>
          <w:i/>
          <w:iCs/>
          <w:color w:val="2E7D32"/>
          <w:sz w:val="21"/>
          <w:szCs w:val="21"/>
        </w:rPr>
        <w:t>risk</w:t>
      </w:r>
      <w:proofErr w:type="gramEnd"/>
      <w:r>
        <w:rPr>
          <w:i/>
          <w:iCs/>
          <w:color w:val="2E7D32"/>
          <w:sz w:val="21"/>
          <w:szCs w:val="21"/>
        </w:rPr>
        <w:t xml:space="preserve"> and the answer must be concrete: (1) Immediate notification to the Contract Monitor and Procurement Officer. (2) Good-faith effort to identify a replacement MBE subcontractor or request a waiver if one cannot be found. (3) RACTSOL's VSBE scope continues unaffected — only the MBE-attributed scope is impacted. (4) Assurit has relationships with other Maryland-certified MBE firms in the cybersecurity space and would begin outreach immediately. (5) In the interim, the work continues — quality doesn't stop while compliance is being resolved. Don't panic on this one; the panel wants to see that you know the process and won't let it derail operations.</w:t>
      </w:r>
    </w:p>
    <w:p w14:paraId="2210C185" w14:textId="77777777" w:rsidR="00000000" w:rsidRDefault="00000000">
      <w:pPr>
        <w:pBdr>
          <w:bottom w:val="single" w:sz="6" w:space="1" w:color="D4A017"/>
        </w:pBdr>
        <w:spacing w:before="200" w:after="200"/>
      </w:pPr>
    </w:p>
    <w:p w14:paraId="2210C186" w14:textId="77777777" w:rsidR="00000000" w:rsidRDefault="00000000">
      <w:pPr>
        <w:pStyle w:val="Heading1"/>
        <w:spacing w:before="200" w:after="120"/>
      </w:pPr>
      <w:r>
        <w:lastRenderedPageBreak/>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7360"/>
      </w:tblGrid>
      <w:tr w:rsidR="00EB62EA" w14:paraId="2210C18A" w14:textId="77777777">
        <w:tc>
          <w:tcPr>
            <w:tcW w:w="6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2210C187" w14:textId="77777777" w:rsidR="00000000" w:rsidRDefault="00000000">
            <w:pPr>
              <w:jc w:val="center"/>
            </w:pPr>
            <w:r>
              <w:rPr>
                <w:b/>
                <w:bCs/>
                <w:color w:val="FFFFFF"/>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2210C188" w14:textId="77777777" w:rsidR="00000000" w:rsidRDefault="00000000">
            <w:r>
              <w:rPr>
                <w:b/>
                <w:bCs/>
                <w:color w:val="FFFFFF"/>
                <w:sz w:val="20"/>
                <w:szCs w:val="20"/>
              </w:rPr>
              <w:t>Type</w:t>
            </w:r>
          </w:p>
        </w:tc>
        <w:tc>
          <w:tcPr>
            <w:tcW w:w="736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2210C189" w14:textId="77777777" w:rsidR="00000000" w:rsidRDefault="00000000">
            <w:r>
              <w:rPr>
                <w:b/>
                <w:bCs/>
                <w:color w:val="FFFFFF"/>
                <w:sz w:val="20"/>
                <w:szCs w:val="20"/>
              </w:rPr>
              <w:t>Description</w:t>
            </w:r>
          </w:p>
        </w:tc>
      </w:tr>
      <w:tr w:rsidR="00EB62EA" w14:paraId="2210C18E"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10C18B" w14:textId="77777777" w:rsidR="00000000" w:rsidRDefault="00000000">
            <w:pPr>
              <w:jc w:val="center"/>
            </w:pPr>
            <w:r>
              <w:rPr>
                <w:b/>
                <w:bCs/>
                <w:color w:val="2D2D2D"/>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210C18C"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0C18D" w14:textId="77777777" w:rsidR="00000000" w:rsidRDefault="00000000">
            <w:r>
              <w:rPr>
                <w:color w:val="444444"/>
                <w:sz w:val="20"/>
                <w:szCs w:val="20"/>
              </w:rPr>
              <w:t>Initial Q10 outline created. Structured around RACTSOL integration, POD-embedded model, identical QA standards, and MBE/VSBE dual-scope compliance per Q59.</w:t>
            </w:r>
          </w:p>
        </w:tc>
      </w:tr>
      <w:tr w:rsidR="00EB62EA" w14:paraId="2210C192"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10C18F" w14:textId="77777777" w:rsidR="00000000" w:rsidRDefault="00000000">
            <w:pPr>
              <w:jc w:val="center"/>
            </w:pPr>
            <w:r>
              <w:rPr>
                <w:b/>
                <w:bCs/>
                <w:color w:val="2D2D2D"/>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210C190"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0C191" w14:textId="77777777" w:rsidR="00000000" w:rsidRDefault="00000000">
            <w:r>
              <w:rPr>
                <w:color w:val="444444"/>
                <w:sz w:val="20"/>
                <w:szCs w:val="20"/>
              </w:rPr>
              <w:t>Added prep notes on scope specificity and dual-scope requirement. Presenter must articulate exact MBE and VSBE scopes before the oral.</w:t>
            </w:r>
          </w:p>
        </w:tc>
      </w:tr>
      <w:tr w:rsidR="00EB62EA" w14:paraId="2210C196"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10C193" w14:textId="77777777" w:rsidR="00000000" w:rsidRDefault="00000000">
            <w:pPr>
              <w:jc w:val="center"/>
            </w:pPr>
            <w:r>
              <w:rPr>
                <w:b/>
                <w:bCs/>
                <w:color w:val="2D2D2D"/>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210C194"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0C195" w14:textId="77777777" w:rsidR="00000000" w:rsidRDefault="00000000">
            <w:r>
              <w:rPr>
                <w:color w:val="444444"/>
                <w:sz w:val="20"/>
                <w:szCs w:val="20"/>
              </w:rPr>
              <w:t>Added curveball prep note on MBE certification loss scenario with 5-step response framework.</w:t>
            </w:r>
          </w:p>
        </w:tc>
      </w:tr>
    </w:tbl>
    <w:p w14:paraId="2210C197" w14:textId="77777777" w:rsidR="00000000" w:rsidRDefault="00000000"/>
    <w:p w14:paraId="3B91D369" w14:textId="77777777" w:rsidR="00000000" w:rsidRDefault="00000000">
      <w:pPr>
        <w:spacing w:before="400" w:after="60"/>
        <w:jc w:val="center"/>
      </w:pPr>
      <w:r>
        <w:rPr>
          <w:b/>
          <w:bCs/>
          <w:color w:val="2D2D2D"/>
          <w:sz w:val="40"/>
          <w:szCs w:val="40"/>
        </w:rPr>
        <w:t>ORAL PRESENTATION PREP</w:t>
      </w:r>
    </w:p>
    <w:p w14:paraId="3B91D36A" w14:textId="77777777" w:rsidR="00000000" w:rsidRDefault="00000000">
      <w:pPr>
        <w:spacing w:after="60"/>
        <w:jc w:val="center"/>
      </w:pPr>
      <w:r>
        <w:rPr>
          <w:color w:val="555555"/>
          <w:sz w:val="26"/>
          <w:szCs w:val="26"/>
        </w:rPr>
        <w:t>Section 2, Question 11: Additional Value &amp; Why Assurit</w:t>
      </w:r>
    </w:p>
    <w:p w14:paraId="3B91D36B" w14:textId="77777777" w:rsidR="00000000" w:rsidRDefault="00000000">
      <w:pPr>
        <w:pBdr>
          <w:bottom w:val="single" w:sz="12" w:space="1" w:color="D4A017"/>
        </w:pBdr>
        <w:spacing w:after="80"/>
        <w:jc w:val="center"/>
      </w:pPr>
    </w:p>
    <w:p w14:paraId="3B91D36C" w14:textId="77777777" w:rsidR="00000000" w:rsidRDefault="00000000">
      <w:pPr>
        <w:spacing w:after="300"/>
        <w:jc w:val="center"/>
      </w:pPr>
      <w:r>
        <w:rPr>
          <w:i/>
          <w:iCs/>
          <w:color w:val="607D8B"/>
          <w:sz w:val="20"/>
          <w:szCs w:val="20"/>
        </w:rPr>
        <w:t>Updated March 30, 2026 | Verified Against Proposal</w:t>
      </w:r>
    </w:p>
    <w:p w14:paraId="3B91D36D" w14:textId="77777777" w:rsidR="00000000" w:rsidRDefault="00000000">
      <w:pPr>
        <w:pBdr>
          <w:bottom w:val="single" w:sz="6" w:space="1" w:color="D4A017"/>
        </w:pBdr>
        <w:spacing w:before="200" w:after="200"/>
      </w:pPr>
    </w:p>
    <w:p w14:paraId="3B91D36E" w14:textId="77777777" w:rsidR="00000000" w:rsidRDefault="00000000">
      <w:pPr>
        <w:pStyle w:val="Heading1"/>
        <w:spacing w:before="200" w:after="120"/>
      </w:pPr>
      <w:r>
        <w:t>THE ASK</w:t>
      </w:r>
    </w:p>
    <w:p w14:paraId="3B91D36F" w14:textId="77777777" w:rsidR="00000000" w:rsidRDefault="00000000">
      <w:pPr>
        <w:spacing w:before="80" w:after="80"/>
      </w:pPr>
      <w:r>
        <w:rPr>
          <w:b/>
          <w:bCs/>
          <w:color w:val="333333"/>
        </w:rPr>
        <w:t xml:space="preserve">What they're really asking: </w:t>
      </w:r>
      <w:r>
        <w:rPr>
          <w:color w:val="333333"/>
        </w:rPr>
        <w:t>This is the "why you and not someone else" question. It's intentionally open-ended — your chance to go beyond checkbox compliance and show what makes Assurit the best choice. The panel has heard your methodology, your QA process, your team. Now they want to know what else you bring to the table that they didn't think to ask about. This is your closing argument.</w:t>
      </w:r>
    </w:p>
    <w:p w14:paraId="3B91D370" w14:textId="77777777" w:rsidR="00000000" w:rsidRDefault="00000000">
      <w:pPr>
        <w:spacing w:before="80" w:after="80"/>
      </w:pPr>
      <w:r>
        <w:rPr>
          <w:b/>
          <w:bCs/>
          <w:color w:val="333333"/>
        </w:rPr>
        <w:t xml:space="preserve">Don't mistake this for a throwaway question. </w:t>
      </w:r>
      <w:r>
        <w:rPr>
          <w:color w:val="333333"/>
        </w:rPr>
        <w:t>In a competitive evaluation, this is often where the decision gets made. Two firms with comparable technical approaches get separated by which one convinces the panel they're getting more for their money.</w:t>
      </w:r>
    </w:p>
    <w:p w14:paraId="3B91D371" w14:textId="77777777" w:rsidR="00000000" w:rsidRDefault="00000000">
      <w:pPr>
        <w:pBdr>
          <w:bottom w:val="single" w:sz="6" w:space="1" w:color="D4A017"/>
        </w:pBdr>
        <w:spacing w:before="200" w:after="200"/>
      </w:pPr>
    </w:p>
    <w:p w14:paraId="3B91D372" w14:textId="77777777" w:rsidR="00000000" w:rsidRDefault="00000000">
      <w:pPr>
        <w:pStyle w:val="Heading1"/>
        <w:spacing w:before="200" w:after="120"/>
      </w:pPr>
      <w:r>
        <w:t>MUST-HIT ITEMS</w:t>
      </w:r>
    </w:p>
    <w:p w14:paraId="3B91D373" w14:textId="77777777" w:rsidR="00000000" w:rsidRDefault="00000000">
      <w:pPr>
        <w:pStyle w:val="Heading3"/>
        <w:spacing w:before="240" w:after="100"/>
      </w:pPr>
      <w:r>
        <w:t>1. Maryland Knowledge and In-State Investment</w:t>
      </w:r>
    </w:p>
    <w:p w14:paraId="3B91D374" w14:textId="77777777" w:rsidR="00000000" w:rsidRDefault="00000000">
      <w:pPr>
        <w:spacing w:before="80" w:after="80"/>
      </w:pPr>
      <w:r>
        <w:rPr>
          <w:color w:val="333333"/>
        </w:rPr>
        <w:t>Assurit is a Maryland-certified MBE (MBE No. 18-582). The company is headquartered in Fairfax, Virginia — do NOT say “headquartered in Maryland.” But the work is Maryland work: you’ve been supporting the MD THINK cybersecurity program since 2016, first under DHS, then under DoIT when the program transitioned in 2025. That’s nine years of institutional knowledge of Maryland’s agency landscape, IT environment, and cybersecurity challenges. Your delivery model maximizes in-state participation: onsite at Maryla</w:t>
      </w:r>
      <w:r>
        <w:rPr>
          <w:color w:val="333333"/>
        </w:rPr>
        <w:t>nd agencies, Maryland-based staff, Maryland-based subcontractor (RACTSOL).</w:t>
      </w:r>
    </w:p>
    <w:p w14:paraId="3B91D375" w14:textId="77777777" w:rsidR="00000000" w:rsidRDefault="00000000">
      <w:pPr>
        <w:spacing w:before="80" w:after="80"/>
      </w:pPr>
      <w:r>
        <w:rPr>
          <w:b/>
          <w:bCs/>
          <w:color w:val="2E7D32"/>
        </w:rPr>
        <w:t xml:space="preserve">What to say: </w:t>
      </w:r>
      <w:r>
        <w:rPr>
          <w:i/>
          <w:iCs/>
          <w:color w:val="333333"/>
        </w:rPr>
        <w:t xml:space="preserve">"Our headquarters is in Virginia, but our work is in Maryland. We’ve been embedded in Maryland’s cybersecurity ecosystem since 2016 — first supporting DHS through the MD THINK program, and now DoIT since the program transitioned in 2025. We’re a </w:t>
      </w:r>
      <w:r>
        <w:rPr>
          <w:i/>
          <w:iCs/>
          <w:color w:val="333333"/>
        </w:rPr>
        <w:lastRenderedPageBreak/>
        <w:t>Maryland-certified MBE. Our staff works onsite at Maryland agencies, we hire Maryland residents, and our subcontractor RACTSOL is a Maryland-based MBE/VSBE. We know the agency landscape. We know the political dynamics. We know where the hard problems are. That insti</w:t>
      </w:r>
      <w:r>
        <w:rPr>
          <w:i/>
          <w:iCs/>
          <w:color w:val="333333"/>
        </w:rPr>
        <w:t>tutional knowledge took nine years to build — it doesn’t come with the contract."</w:t>
      </w:r>
    </w:p>
    <w:p w14:paraId="3B91D376" w14:textId="77777777" w:rsidR="00000000" w:rsidRDefault="00000000">
      <w:pPr>
        <w:pStyle w:val="Heading3"/>
        <w:spacing w:before="240" w:after="100"/>
      </w:pPr>
      <w:r>
        <w:t>2. Economic Impact</w:t>
      </w:r>
    </w:p>
    <w:p w14:paraId="3B91D377" w14:textId="77777777" w:rsidR="00000000" w:rsidRDefault="00000000">
      <w:pPr>
        <w:spacing w:before="80" w:after="80"/>
      </w:pPr>
      <w:r>
        <w:rPr>
          <w:color w:val="333333"/>
        </w:rPr>
        <w:t>The State gets cybersecurity assessments and economic development. Quantify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
        <w:gridCol w:w="4987"/>
        <w:gridCol w:w="4355"/>
        <w:gridCol w:w="9"/>
      </w:tblGrid>
      <w:tr w:rsidR="00621091" w14:paraId="3B91D37A" w14:textId="77777777">
        <w:trPr>
          <w:gridAfter w:val="1"/>
          <w:wAfter w:w="9" w:type="dxa"/>
        </w:trPr>
        <w:tc>
          <w:tcPr>
            <w:tcW w:w="5000" w:type="dxa"/>
            <w:gridSpan w:val="2"/>
            <w:tcBorders>
              <w:top w:val="single" w:sz="1" w:space="0" w:color="999999"/>
              <w:left w:val="single" w:sz="1" w:space="0" w:color="999999"/>
              <w:bottom w:val="single" w:sz="1" w:space="0" w:color="999999"/>
              <w:right w:val="single" w:sz="1" w:space="0" w:color="999999"/>
            </w:tcBorders>
            <w:shd w:val="clear" w:color="auto" w:fill="2D2D2D"/>
            <w:tcMar>
              <w:top w:w="60" w:type="dxa"/>
              <w:left w:w="120" w:type="dxa"/>
              <w:bottom w:w="60" w:type="dxa"/>
              <w:right w:w="120" w:type="dxa"/>
            </w:tcMar>
          </w:tcPr>
          <w:p w14:paraId="3B91D378" w14:textId="77777777" w:rsidR="00000000" w:rsidRDefault="00000000">
            <w:r>
              <w:rPr>
                <w:b/>
                <w:bCs/>
                <w:color w:val="FFFFFF"/>
                <w:sz w:val="20"/>
                <w:szCs w:val="20"/>
              </w:rPr>
              <w:t>Economic Impact Metric</w:t>
            </w:r>
          </w:p>
        </w:tc>
        <w:tc>
          <w:tcPr>
            <w:tcW w:w="436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20" w:type="dxa"/>
              <w:bottom w:w="60" w:type="dxa"/>
              <w:right w:w="120" w:type="dxa"/>
            </w:tcMar>
          </w:tcPr>
          <w:p w14:paraId="3B91D379" w14:textId="77777777" w:rsidR="00000000" w:rsidRDefault="00000000">
            <w:pPr>
              <w:jc w:val="right"/>
            </w:pPr>
            <w:r>
              <w:rPr>
                <w:b/>
                <w:bCs/>
                <w:color w:val="FFFFFF"/>
                <w:sz w:val="20"/>
                <w:szCs w:val="20"/>
              </w:rPr>
              <w:t>Value</w:t>
            </w:r>
          </w:p>
        </w:tc>
      </w:tr>
      <w:tr w:rsidR="00621091" w14:paraId="3B91D37D" w14:textId="77777777">
        <w:trPr>
          <w:gridAfter w:val="1"/>
          <w:wAfter w:w="9" w:type="dxa"/>
        </w:trPr>
        <w:tc>
          <w:tcPr>
            <w:tcW w:w="5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1D37B" w14:textId="77777777" w:rsidR="00000000" w:rsidRDefault="00000000">
            <w:r>
              <w:rPr>
                <w:color w:val="444444"/>
                <w:sz w:val="21"/>
                <w:szCs w:val="21"/>
              </w:rPr>
              <w:t>Maryland-based positions created</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91D37C" w14:textId="77777777" w:rsidR="00000000" w:rsidRDefault="00000000">
            <w:pPr>
              <w:jc w:val="right"/>
            </w:pPr>
            <w:r>
              <w:rPr>
                <w:b/>
                <w:bCs/>
                <w:color w:val="2E7D32"/>
                <w:sz w:val="21"/>
                <w:szCs w:val="21"/>
              </w:rPr>
              <w:t>Up to 12</w:t>
            </w:r>
          </w:p>
        </w:tc>
      </w:tr>
      <w:tr w:rsidR="00621091" w14:paraId="3B91D380" w14:textId="77777777">
        <w:trPr>
          <w:gridAfter w:val="1"/>
          <w:wAfter w:w="9" w:type="dxa"/>
        </w:trPr>
        <w:tc>
          <w:tcPr>
            <w:tcW w:w="5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1D37E" w14:textId="77777777" w:rsidR="00000000" w:rsidRDefault="00000000">
            <w:r>
              <w:rPr>
                <w:color w:val="444444"/>
                <w:sz w:val="21"/>
                <w:szCs w:val="21"/>
              </w:rPr>
              <w:t>Annual Maryland payroll</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91D37F" w14:textId="77777777" w:rsidR="00000000" w:rsidRDefault="00000000">
            <w:pPr>
              <w:jc w:val="right"/>
            </w:pPr>
            <w:r>
              <w:rPr>
                <w:b/>
                <w:bCs/>
                <w:color w:val="2E7D32"/>
                <w:sz w:val="21"/>
                <w:szCs w:val="21"/>
              </w:rPr>
              <w:t>$1.4M – $1.9M</w:t>
            </w:r>
          </w:p>
        </w:tc>
      </w:tr>
      <w:tr w:rsidR="00621091" w14:paraId="3B91D383" w14:textId="77777777">
        <w:trPr>
          <w:gridAfter w:val="1"/>
          <w:wAfter w:w="9" w:type="dxa"/>
        </w:trPr>
        <w:tc>
          <w:tcPr>
            <w:tcW w:w="5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1D381" w14:textId="77777777" w:rsidR="00000000" w:rsidRDefault="00000000">
            <w:r>
              <w:rPr>
                <w:color w:val="444444"/>
                <w:sz w:val="21"/>
                <w:szCs w:val="21"/>
              </w:rPr>
              <w:t>Subcontracting to RACTSOL (MBE/VSBE)</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91D382" w14:textId="77777777" w:rsidR="00000000" w:rsidRDefault="00000000">
            <w:pPr>
              <w:jc w:val="right"/>
            </w:pPr>
            <w:r>
              <w:rPr>
                <w:b/>
                <w:bCs/>
                <w:color w:val="2E7D32"/>
                <w:sz w:val="21"/>
                <w:szCs w:val="21"/>
              </w:rPr>
              <w:t>$1.5M – $2.0M</w:t>
            </w:r>
          </w:p>
        </w:tc>
      </w:tr>
      <w:tr w:rsidR="00621091" w14:paraId="3B91D386" w14:textId="77777777">
        <w:trPr>
          <w:gridAfter w:val="1"/>
          <w:wAfter w:w="9" w:type="dxa"/>
        </w:trPr>
        <w:tc>
          <w:tcPr>
            <w:tcW w:w="5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1D384" w14:textId="77777777" w:rsidR="00000000" w:rsidRDefault="00000000">
            <w:r>
              <w:rPr>
                <w:color w:val="444444"/>
                <w:sz w:val="21"/>
                <w:szCs w:val="21"/>
              </w:rPr>
              <w:t>Annual estimated Maryland tax contributions</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91D385" w14:textId="77777777" w:rsidR="00000000" w:rsidRDefault="00000000">
            <w:pPr>
              <w:jc w:val="right"/>
            </w:pPr>
            <w:r>
              <w:rPr>
                <w:b/>
                <w:bCs/>
                <w:color w:val="2E7D32"/>
                <w:sz w:val="21"/>
                <w:szCs w:val="21"/>
              </w:rPr>
              <w:t>$255K – $370K</w:t>
            </w:r>
          </w:p>
        </w:tc>
      </w:tr>
      <w:tr w:rsidR="00621091" w14:paraId="3B91D389" w14:textId="77777777">
        <w:trPr>
          <w:gridAfter w:val="1"/>
          <w:wAfter w:w="9" w:type="dxa"/>
        </w:trPr>
        <w:tc>
          <w:tcPr>
            <w:tcW w:w="500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1D387" w14:textId="77777777" w:rsidR="00000000" w:rsidRDefault="00000000">
            <w:r>
              <w:rPr>
                <w:color w:val="444444"/>
                <w:sz w:val="21"/>
                <w:szCs w:val="21"/>
              </w:rPr>
              <w:t>Inc. Regionals 2023 ranking (Mid-Atlantic)</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91D388" w14:textId="77777777" w:rsidR="00000000" w:rsidRDefault="00000000">
            <w:pPr>
              <w:jc w:val="right"/>
            </w:pPr>
            <w:r>
              <w:rPr>
                <w:b/>
                <w:bCs/>
                <w:color w:val="2E7D32"/>
                <w:sz w:val="21"/>
                <w:szCs w:val="21"/>
              </w:rPr>
              <w:t>#28</w:t>
            </w:r>
          </w:p>
        </w:tc>
      </w:tr>
      <w:tr w:rsidR="00621091" w14:paraId="3B91D38C" w14:textId="77777777">
        <w:trPr>
          <w:gridBefore w:val="1"/>
          <w:wBefore w:w="9" w:type="dxa"/>
        </w:trPr>
        <w:tc>
          <w:tcPr>
            <w:tcW w:w="9360" w:type="dxa"/>
            <w:gridSpan w:val="3"/>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3B91D38A" w14:textId="77777777" w:rsidR="00000000" w:rsidRDefault="00000000">
            <w:pPr>
              <w:spacing w:after="80"/>
            </w:pPr>
            <w:r>
              <w:rPr>
                <w:b/>
                <w:bCs/>
                <w:color w:val="B8860B"/>
              </w:rPr>
              <w:t>⚠</w:t>
            </w:r>
            <w:r>
              <w:rPr>
                <w:b/>
                <w:bCs/>
                <w:color w:val="B8860B"/>
              </w:rPr>
              <w:t>️</w:t>
            </w:r>
            <w:r>
              <w:rPr>
                <w:b/>
                <w:bCs/>
                <w:color w:val="B8860B"/>
              </w:rPr>
              <w:t xml:space="preserve"> PREP NOTE — Verify Economic Figures</w:t>
            </w:r>
          </w:p>
          <w:p w14:paraId="3B91D38B" w14:textId="77777777" w:rsidR="00000000" w:rsidRDefault="00000000">
            <w:pPr>
              <w:spacing w:before="40"/>
            </w:pPr>
            <w:r>
              <w:rPr>
                <w:color w:val="555555"/>
                <w:sz w:val="21"/>
                <w:szCs w:val="21"/>
              </w:rPr>
              <w:t>These numbers are from the proposal. The presenter should verify they are current and accurate. If any figure has changed since proposal submission (e.g., hiring projections adjusted), update before the oral. Approximate ranges are acceptable if framed as such.</w:t>
            </w:r>
          </w:p>
        </w:tc>
      </w:tr>
    </w:tbl>
    <w:p w14:paraId="3B91D38D" w14:textId="77777777" w:rsidR="00000000" w:rsidRDefault="00000000">
      <w:pPr>
        <w:pStyle w:val="Heading3"/>
        <w:spacing w:before="240" w:after="100"/>
      </w:pPr>
      <w:r>
        <w:t>3. Workforce Development</w:t>
      </w:r>
    </w:p>
    <w:p w14:paraId="3B91D38E" w14:textId="77777777" w:rsidR="00000000" w:rsidRDefault="00000000">
      <w:pPr>
        <w:spacing w:before="80" w:after="80"/>
      </w:pPr>
      <w:r>
        <w:rPr>
          <w:color w:val="333333"/>
        </w:rPr>
        <w:t>Assurit will prioritize recruitment of Maryland-based candidates and contribute to the State's long-term cybersecurity workforce pipeline:</w:t>
      </w:r>
    </w:p>
    <w:p w14:paraId="3B91D38F" w14:textId="77777777" w:rsidR="00000000" w:rsidRDefault="00000000">
      <w:pPr>
        <w:pStyle w:val="ListParagraph"/>
        <w:numPr>
          <w:ilvl w:val="0"/>
          <w:numId w:val="40"/>
        </w:numPr>
        <w:spacing w:before="40" w:after="40"/>
      </w:pPr>
      <w:r>
        <w:rPr>
          <w:color w:val="333333"/>
        </w:rPr>
        <w:t>Prioritized recruitment of Maryland university graduates, transitioning veterans, and early-career cybersecurity professionals</w:t>
      </w:r>
    </w:p>
    <w:p w14:paraId="3B91D390" w14:textId="77777777" w:rsidR="00000000" w:rsidRDefault="00000000">
      <w:pPr>
        <w:pStyle w:val="ListParagraph"/>
        <w:numPr>
          <w:ilvl w:val="0"/>
          <w:numId w:val="40"/>
        </w:numPr>
        <w:spacing w:before="40" w:after="40"/>
      </w:pPr>
      <w:r>
        <w:rPr>
          <w:color w:val="333333"/>
        </w:rPr>
        <w:t>Mentoring and on-the-job training aligned to NIST-based assessment practices</w:t>
      </w:r>
    </w:p>
    <w:p w14:paraId="3B91D391" w14:textId="77777777" w:rsidR="00000000" w:rsidRDefault="00000000">
      <w:pPr>
        <w:pStyle w:val="ListParagraph"/>
        <w:numPr>
          <w:ilvl w:val="0"/>
          <w:numId w:val="40"/>
        </w:numPr>
        <w:spacing w:before="40" w:after="40"/>
      </w:pPr>
      <w:r>
        <w:rPr>
          <w:color w:val="333333"/>
        </w:rPr>
        <w:t>Skills development opportunities that produce assessment-ready professionals for Maryland's cybersecurity ecosystem</w:t>
      </w:r>
    </w:p>
    <w:p w14:paraId="3B91D392" w14:textId="77777777" w:rsidR="00000000" w:rsidRDefault="00000000">
      <w:pPr>
        <w:spacing w:before="80" w:after="80"/>
      </w:pPr>
      <w:r>
        <w:rPr>
          <w:b/>
          <w:bCs/>
          <w:color w:val="2E7D32"/>
        </w:rPr>
        <w:t xml:space="preserve">What to say: </w:t>
      </w:r>
      <w:r>
        <w:rPr>
          <w:i/>
          <w:iCs/>
          <w:color w:val="333333"/>
        </w:rPr>
        <w:t>"This contract doesn't just produce assessments — it produces assessors. We're investing in Maryland's cybersecurity workforce by recruiting locally, training on real engagements, and building the pipeline of NIST-qualified professionals the State will need for years to come."</w:t>
      </w:r>
    </w:p>
    <w:p w14:paraId="3B91D393" w14:textId="77777777" w:rsidR="00000000" w:rsidRDefault="00000000">
      <w:pPr>
        <w:pStyle w:val="Heading3"/>
        <w:spacing w:before="240" w:after="100"/>
      </w:pPr>
      <w:r>
        <w:t>4. Enterprise Trend Analysis Beyond Individual Assessments</w:t>
      </w:r>
    </w:p>
    <w:p w14:paraId="3B91D394" w14:textId="77777777" w:rsidR="00000000" w:rsidRDefault="00000000">
      <w:pPr>
        <w:spacing w:before="80" w:after="80"/>
      </w:pPr>
      <w:r>
        <w:rPr>
          <w:color w:val="333333"/>
        </w:rPr>
        <w:t>Your ANCHOR framework aggregates findings across all active assessments to identify statewide patterns, recurring control weaknesses, and emerging threats. This enterprise-level insight helps DoIT prioritize statewide remediation investments and policy changes — a capability that goes beyond assessing individual agencies in isolation.</w:t>
      </w:r>
    </w:p>
    <w:p w14:paraId="3B91D395" w14:textId="77777777" w:rsidR="00000000" w:rsidRDefault="00000000">
      <w:pPr>
        <w:spacing w:before="80" w:after="80"/>
      </w:pPr>
      <w:r>
        <w:rPr>
          <w:b/>
          <w:bCs/>
          <w:color w:val="2E7D32"/>
        </w:rPr>
        <w:t xml:space="preserve">What to say: </w:t>
      </w:r>
      <w:r>
        <w:rPr>
          <w:i/>
          <w:iCs/>
          <w:color w:val="333333"/>
        </w:rPr>
        <w:t>"After 30 assessments, we won't just have 30 individual reports. We'll have a statewide picture — which controls are weakest across agencies, where the recurring gaps are, and where DoIT's investment dollars will have the most impact. That enterprise-level intelligence is what turns an assessment program into a strategic asset."</w:t>
      </w:r>
    </w:p>
    <w:p w14:paraId="3B91D396" w14:textId="77777777" w:rsidR="00000000" w:rsidRDefault="00000000">
      <w:pPr>
        <w:pStyle w:val="Heading3"/>
        <w:spacing w:before="240" w:after="100"/>
      </w:pPr>
      <w:r>
        <w:t>5. Growth and Financial Stability</w:t>
      </w:r>
    </w:p>
    <w:p w14:paraId="3B91D397" w14:textId="77777777" w:rsidR="00000000" w:rsidRDefault="00000000">
      <w:pPr>
        <w:spacing w:before="80" w:after="80"/>
      </w:pPr>
      <w:r>
        <w:rPr>
          <w:color w:val="333333"/>
        </w:rPr>
        <w:lastRenderedPageBreak/>
        <w:t>Assurit was ranked No. 28 on the 2023 Inc. Regionals list for Mid-Atlantic, reflecting sustained revenue growth, disciplined management, and strong market position. The State is contracting with a growing, financially stable firm.</w:t>
      </w:r>
    </w:p>
    <w:p w14:paraId="3B91D398" w14:textId="77777777" w:rsidR="00000000" w:rsidRDefault="00000000">
      <w:pPr>
        <w:pStyle w:val="ListParagraph"/>
        <w:numPr>
          <w:ilvl w:val="0"/>
          <w:numId w:val="41"/>
        </w:numPr>
        <w:spacing w:before="40" w:after="40"/>
      </w:pPr>
      <w:r>
        <w:rPr>
          <w:color w:val="333333"/>
        </w:rPr>
        <w:t>Total assets of $1.3M with positive retained earnings</w:t>
      </w:r>
    </w:p>
    <w:p w14:paraId="3B91D399" w14:textId="77777777" w:rsidR="00000000" w:rsidRDefault="00000000">
      <w:pPr>
        <w:pStyle w:val="ListParagraph"/>
        <w:numPr>
          <w:ilvl w:val="0"/>
          <w:numId w:val="41"/>
        </w:numPr>
        <w:spacing w:before="40" w:after="40"/>
      </w:pPr>
      <w:r>
        <w:rPr>
          <w:color w:val="333333"/>
        </w:rPr>
        <w:t>No financial performance issues or control deficiencies across current federal and state contracts</w:t>
      </w:r>
    </w:p>
    <w:p w14:paraId="3B91D39A" w14:textId="77777777" w:rsidR="00000000" w:rsidRDefault="00000000">
      <w:pPr>
        <w:pStyle w:val="ListParagraph"/>
        <w:numPr>
          <w:ilvl w:val="0"/>
          <w:numId w:val="41"/>
        </w:numPr>
        <w:spacing w:before="40" w:after="40"/>
      </w:pPr>
      <w:r>
        <w:rPr>
          <w:color w:val="333333"/>
        </w:rPr>
        <w:t>Sustained growth trajectory — not a startup, not a declining firm</w:t>
      </w:r>
    </w:p>
    <w:p w14:paraId="3B91D39B" w14:textId="77777777" w:rsidR="00000000" w:rsidRDefault="00000000">
      <w:pPr>
        <w:spacing w:before="80" w:after="80"/>
      </w:pPr>
      <w:r>
        <w:rPr>
          <w:b/>
          <w:bCs/>
          <w:color w:val="333333"/>
        </w:rPr>
        <w:t xml:space="preserve">Key Point: </w:t>
      </w:r>
      <w:r>
        <w:rPr>
          <w:color w:val="333333"/>
        </w:rPr>
        <w:t>Financial stability matters because this is a multi-year contract. The State needs confidence that Assurit will be here for the full term, with the resources to deliver consistently year over year.</w:t>
      </w:r>
    </w:p>
    <w:p w14:paraId="3B91D39C" w14:textId="77777777" w:rsidR="00000000" w:rsidRDefault="00000000">
      <w:pPr>
        <w:pStyle w:val="Heading3"/>
        <w:spacing w:before="240" w:after="100"/>
      </w:pPr>
      <w:r>
        <w:t>6. Federal Rigor Applied to State Work</w:t>
      </w:r>
    </w:p>
    <w:p w14:paraId="3B91D39D" w14:textId="77777777" w:rsidR="00000000" w:rsidRDefault="00000000">
      <w:pPr>
        <w:spacing w:before="80" w:after="80"/>
      </w:pPr>
      <w:r>
        <w:rPr>
          <w:color w:val="333333"/>
        </w:rPr>
        <w:t>Your experience with CFTC OIG, FEC, and DHS CISA means you bring Inspector General-level standards to Maryland's assessments. The documentation discipline, scoring rigor, and quality controls applied to federal oversight engagements strengthen the credibility of Maryland's cybersecurity program.</w:t>
      </w:r>
    </w:p>
    <w:p w14:paraId="3B91D39E" w14:textId="77777777" w:rsidR="00000000" w:rsidRDefault="00000000">
      <w:pPr>
        <w:spacing w:before="80" w:after="80"/>
      </w:pPr>
      <w:r>
        <w:rPr>
          <w:b/>
          <w:bCs/>
          <w:color w:val="2E7D32"/>
        </w:rPr>
        <w:t xml:space="preserve">What to say: </w:t>
      </w:r>
      <w:r>
        <w:rPr>
          <w:i/>
          <w:iCs/>
          <w:color w:val="333333"/>
        </w:rPr>
        <w:t>"The quality standards we apply to this contract aren't state-level standards — they're federal standards. The same rigor that produced a 98% first-submission acceptance rate at CFTC OIG and a DHS CISA-accepted HVA program at FEC is what Maryland will receive. That's not a promise. That's our track record."</w:t>
      </w:r>
    </w:p>
    <w:p w14:paraId="3B91D39F" w14:textId="77777777" w:rsidR="00000000" w:rsidRDefault="00000000">
      <w:pPr>
        <w:pStyle w:val="Heading3"/>
        <w:spacing w:before="240" w:after="100"/>
      </w:pPr>
      <w:r>
        <w:t>7. Continuous Improvement Commitment</w:t>
      </w:r>
    </w:p>
    <w:p w14:paraId="3B91D3A0" w14:textId="77777777" w:rsidR="00000000" w:rsidRDefault="00000000">
      <w:pPr>
        <w:spacing w:before="80" w:after="80"/>
      </w:pPr>
      <w:r>
        <w:rPr>
          <w:color w:val="333333"/>
        </w:rPr>
        <w:t>Annual formal submission of lessons learned and process improvements (Q158). Your methodology evolves based on what you learn across all engagements — the State benefits from improvements driven by your federal and commercial work, not just their own program.</w:t>
      </w:r>
    </w:p>
    <w:p w14:paraId="3B91D3A1" w14:textId="77777777" w:rsidR="00000000" w:rsidRDefault="00000000">
      <w:pPr>
        <w:spacing w:before="80" w:after="80"/>
      </w:pPr>
      <w:r>
        <w:rPr>
          <w:b/>
          <w:bCs/>
          <w:color w:val="2E7D32"/>
        </w:rPr>
        <w:t xml:space="preserve">What to say: </w:t>
      </w:r>
      <w:r>
        <w:rPr>
          <w:i/>
          <w:iCs/>
          <w:color w:val="333333"/>
        </w:rPr>
        <w:t>"Our methodology gets better every year. Lessons from FEC improve how we do Maryland work. Lessons from Maryland improve how we do federal work. The State benefits from a firm that's constantly learning across multiple high-stakes engagements, not just iterating on its own."</w:t>
      </w:r>
    </w:p>
    <w:p w14:paraId="3B91D3A2" w14:textId="77777777" w:rsidR="00000000" w:rsidRDefault="00000000">
      <w:pPr>
        <w:pBdr>
          <w:bottom w:val="single" w:sz="6" w:space="1" w:color="D4A017"/>
        </w:pBdr>
        <w:spacing w:before="200" w:after="200"/>
      </w:pPr>
    </w:p>
    <w:p w14:paraId="3B91D3A3" w14:textId="77777777" w:rsidR="00000000" w:rsidRDefault="00000000">
      <w:pPr>
        <w:pStyle w:val="Heading1"/>
        <w:spacing w:before="200" w:after="120"/>
      </w:pPr>
      <w:r>
        <w:t>CLOSING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21091" w14:paraId="3B91D3A6" w14:textId="77777777">
        <w:tc>
          <w:tcPr>
            <w:tcW w:w="9360" w:type="dxa"/>
            <w:tcBorders>
              <w:top w:val="single" w:sz="2" w:space="0" w:color="F9A825"/>
              <w:left w:val="single" w:sz="8" w:space="0" w:color="F9A825"/>
              <w:bottom w:val="single" w:sz="2" w:space="0" w:color="F9A825"/>
              <w:right w:val="single" w:sz="2" w:space="0" w:color="F9A825"/>
            </w:tcBorders>
            <w:shd w:val="clear" w:color="auto" w:fill="FFF8E1"/>
            <w:tcMar>
              <w:top w:w="120" w:type="dxa"/>
              <w:left w:w="200" w:type="dxa"/>
              <w:bottom w:w="120" w:type="dxa"/>
              <w:right w:w="200" w:type="dxa"/>
            </w:tcMar>
          </w:tcPr>
          <w:p w14:paraId="3B91D3A4" w14:textId="77777777" w:rsidR="00000000" w:rsidRDefault="00000000">
            <w:pPr>
              <w:spacing w:after="80"/>
            </w:pPr>
            <w:r>
              <w:rPr>
                <w:b/>
                <w:bCs/>
                <w:color w:val="B8860B"/>
              </w:rPr>
              <w:t>⚠</w:t>
            </w:r>
            <w:r>
              <w:rPr>
                <w:b/>
                <w:bCs/>
                <w:color w:val="B8860B"/>
              </w:rPr>
              <w:t>️</w:t>
            </w:r>
            <w:r>
              <w:rPr>
                <w:b/>
                <w:bCs/>
                <w:color w:val="B8860B"/>
              </w:rPr>
              <w:t xml:space="preserve"> PREP NOTE — End Strong</w:t>
            </w:r>
          </w:p>
          <w:p w14:paraId="3B91D3A5" w14:textId="77777777" w:rsidR="00000000" w:rsidRDefault="00000000">
            <w:pPr>
              <w:spacing w:before="40"/>
            </w:pPr>
            <w:r>
              <w:rPr>
                <w:color w:val="555555"/>
                <w:sz w:val="21"/>
                <w:szCs w:val="21"/>
              </w:rPr>
              <w:t>This is the last question. The closing statement should be rehearsed, confident, and no longer than 60 seconds. It should land three points: (1) Maryland roots and institutional knowledge, (2) federal-grade quality, (3) partnership commitment. Don't introduce new material — synthesize what you've already said into a confident close.</w:t>
            </w:r>
          </w:p>
        </w:tc>
      </w:tr>
    </w:tbl>
    <w:p w14:paraId="3B91D3A7" w14:textId="77777777" w:rsidR="00000000" w:rsidRDefault="00000000">
      <w:pPr>
        <w:spacing w:before="80" w:after="80"/>
      </w:pPr>
      <w:r>
        <w:rPr>
          <w:b/>
          <w:bCs/>
          <w:color w:val="2E7D32"/>
        </w:rPr>
        <w:t xml:space="preserve">Suggested close: </w:t>
      </w:r>
      <w:r>
        <w:rPr>
          <w:i/>
          <w:iCs/>
          <w:color w:val="333333"/>
        </w:rPr>
        <w:t>"Assurit has been supporting Maryland’s cybersecurity mission for nearly a decade — first under DHS, now under DoIT. We bring federal-grade assessment rigor, a team that’s already proven in this environment, and a methodology built from real experience — not theory. We’re investing in Maryland’s workforce, Maryland’s cybersecurity posture, and Maryland’s future. We’re not just the right vendor for this contract. We’re the right partner for this program."</w:t>
      </w:r>
    </w:p>
    <w:p w14:paraId="3B91D3A8" w14:textId="77777777" w:rsidR="00000000" w:rsidRDefault="00000000">
      <w:pPr>
        <w:pBdr>
          <w:bottom w:val="single" w:sz="6" w:space="1" w:color="D4A017"/>
        </w:pBdr>
        <w:spacing w:before="200" w:after="200"/>
      </w:pPr>
    </w:p>
    <w:p w14:paraId="3B91D3A9" w14:textId="77777777" w:rsidR="00000000" w:rsidRDefault="00000000">
      <w:pPr>
        <w:pStyle w:val="Heading1"/>
        <w:spacing w:before="200" w:after="120"/>
      </w:pPr>
      <w:r>
        <w:lastRenderedPageBreak/>
        <w:t>GOALS</w:t>
      </w:r>
    </w:p>
    <w:p w14:paraId="3B91D3AA" w14:textId="77777777" w:rsidR="00000000" w:rsidRDefault="00000000">
      <w:pPr>
        <w:pStyle w:val="ListParagraph"/>
        <w:numPr>
          <w:ilvl w:val="0"/>
          <w:numId w:val="42"/>
        </w:numPr>
        <w:spacing w:before="40" w:after="40"/>
      </w:pPr>
      <w:r>
        <w:rPr>
          <w:color w:val="333333"/>
        </w:rPr>
        <w:t>Make this feel like a closing argument, not an afterthought. This is your last impression. Bring energy and conviction. The panel should walk away feeling like they're getting exceptional value.</w:t>
      </w:r>
    </w:p>
    <w:p w14:paraId="3B91D3AB" w14:textId="77777777" w:rsidR="00000000" w:rsidRDefault="00000000">
      <w:pPr>
        <w:pStyle w:val="ListParagraph"/>
        <w:numPr>
          <w:ilvl w:val="0"/>
          <w:numId w:val="42"/>
        </w:numPr>
        <w:spacing w:before="40" w:after="40"/>
      </w:pPr>
      <w:r>
        <w:rPr>
          <w:color w:val="333333"/>
        </w:rPr>
        <w:t>Lead with what matters to the evaluators. Maryland institutional knowledge, economic impact, and MBE participation resonate with State evaluators more than generic differentiators.</w:t>
      </w:r>
    </w:p>
    <w:p w14:paraId="3B91D3AC" w14:textId="77777777" w:rsidR="00000000" w:rsidRDefault="00000000">
      <w:pPr>
        <w:pStyle w:val="ListParagraph"/>
        <w:numPr>
          <w:ilvl w:val="0"/>
          <w:numId w:val="42"/>
        </w:numPr>
        <w:spacing w:before="40" w:after="40"/>
      </w:pPr>
      <w:r>
        <w:rPr>
          <w:color w:val="333333"/>
        </w:rPr>
        <w:t>Quantify wherever possible. Numbers are more convincing than adjectives. Jobs created, tax contributions, past performance metrics, growth rankings.</w:t>
      </w:r>
    </w:p>
    <w:p w14:paraId="3B91D3AD" w14:textId="77777777" w:rsidR="00000000" w:rsidRDefault="00000000">
      <w:pPr>
        <w:pStyle w:val="ListParagraph"/>
        <w:numPr>
          <w:ilvl w:val="0"/>
          <w:numId w:val="42"/>
        </w:numPr>
        <w:spacing w:before="40" w:after="40"/>
      </w:pPr>
      <w:r>
        <w:rPr>
          <w:color w:val="333333"/>
        </w:rPr>
        <w:t>Connect the value-adds to the State's strategic goals. Workforce development, supplier diversity, statewide cybersecurity posture improvement — these align with broader State priorities beyond just this contract.</w:t>
      </w:r>
    </w:p>
    <w:p w14:paraId="3B91D3AE" w14:textId="77777777" w:rsidR="00000000" w:rsidRDefault="00000000">
      <w:pPr>
        <w:pStyle w:val="ListParagraph"/>
        <w:numPr>
          <w:ilvl w:val="0"/>
          <w:numId w:val="42"/>
        </w:numPr>
        <w:spacing w:before="40" w:after="40"/>
      </w:pPr>
      <w:r>
        <w:rPr>
          <w:color w:val="333333"/>
        </w:rPr>
        <w:t>End strong. This is the last question. Leave the panel with a clear, confident statement about why Assurit is the right partner for Maryland's cybersecurity future.</w:t>
      </w:r>
    </w:p>
    <w:p w14:paraId="3B91D3AF" w14:textId="77777777" w:rsidR="00000000" w:rsidRDefault="00000000">
      <w:pPr>
        <w:pBdr>
          <w:bottom w:val="single" w:sz="6" w:space="1" w:color="D4A017"/>
        </w:pBdr>
        <w:spacing w:before="200" w:after="200"/>
      </w:pPr>
    </w:p>
    <w:p w14:paraId="3B91D3B0" w14:textId="77777777" w:rsidR="00000000" w:rsidRDefault="00000000">
      <w:pPr>
        <w:pStyle w:val="Heading1"/>
        <w:spacing w:before="200" w:after="120"/>
      </w:pPr>
      <w:r>
        <w:t>POTENTIAL QUESTIONS</w:t>
      </w:r>
    </w:p>
    <w:p w14:paraId="3B91D3B1" w14:textId="77777777" w:rsidR="00000000" w:rsidRDefault="00000000">
      <w:pPr>
        <w:pStyle w:val="Heading2"/>
        <w:spacing w:before="300" w:after="120"/>
      </w:pPr>
      <w:r>
        <w:t>On Economic Impact</w:t>
      </w:r>
    </w:p>
    <w:p w14:paraId="3B91D3B2" w14:textId="77777777" w:rsidR="00000000" w:rsidRDefault="00000000">
      <w:pPr>
        <w:pStyle w:val="ListParagraph"/>
        <w:numPr>
          <w:ilvl w:val="0"/>
          <w:numId w:val="43"/>
        </w:numPr>
        <w:spacing w:before="40" w:after="40"/>
      </w:pPr>
      <w:r>
        <w:rPr>
          <w:color w:val="333333"/>
        </w:rPr>
        <w:t>"You mentioned creating 12 Maryland-based positions. Are these new hires, or are you counting existing staff?"</w:t>
      </w:r>
    </w:p>
    <w:p w14:paraId="3B91D3B3" w14:textId="77777777" w:rsidR="00000000" w:rsidRDefault="00000000">
      <w:pPr>
        <w:pStyle w:val="ListParagraph"/>
        <w:numPr>
          <w:ilvl w:val="0"/>
          <w:numId w:val="43"/>
        </w:numPr>
        <w:spacing w:before="40" w:after="40"/>
      </w:pPr>
      <w:r>
        <w:rPr>
          <w:color w:val="333333"/>
        </w:rPr>
        <w:t>"What happens to those positions if the option period isn't exercised? Are these sustainable jobs or contract-dependent?"</w:t>
      </w:r>
    </w:p>
    <w:p w14:paraId="3B91D3B4" w14:textId="77777777" w:rsidR="00000000" w:rsidRDefault="00000000">
      <w:pPr>
        <w:pStyle w:val="Heading2"/>
        <w:spacing w:before="300" w:after="120"/>
      </w:pPr>
      <w:r>
        <w:t>On Institutional Knowledge</w:t>
      </w:r>
    </w:p>
    <w:p w14:paraId="3B91D3B5" w14:textId="77777777" w:rsidR="00000000" w:rsidRDefault="00000000">
      <w:pPr>
        <w:pStyle w:val="ListParagraph"/>
        <w:numPr>
          <w:ilvl w:val="0"/>
          <w:numId w:val="44"/>
        </w:numPr>
        <w:spacing w:before="40" w:after="40"/>
      </w:pPr>
      <w:r>
        <w:rPr>
          <w:color w:val="333333"/>
        </w:rPr>
        <w:t>"You’re based in Virginia, not Maryland. Why should we believe you’re committed to Maryland’s economic benefit?"</w:t>
      </w:r>
    </w:p>
    <w:p w14:paraId="3B91D3B6" w14:textId="77777777" w:rsidR="00000000" w:rsidRDefault="00000000">
      <w:pPr>
        <w:pStyle w:val="ListParagraph"/>
        <w:numPr>
          <w:ilvl w:val="0"/>
          <w:numId w:val="44"/>
        </w:numPr>
        <w:spacing w:before="40" w:after="40"/>
      </w:pPr>
      <w:r>
        <w:rPr>
          <w:color w:val="333333"/>
        </w:rPr>
        <w:t>"The prior assessment contractor was RSM. How is your approach different from or better than what the State has experienced before?"</w:t>
      </w:r>
    </w:p>
    <w:p w14:paraId="3B91D3B7" w14:textId="77777777" w:rsidR="00000000" w:rsidRDefault="00000000">
      <w:pPr>
        <w:pStyle w:val="Heading2"/>
        <w:spacing w:before="300" w:after="120"/>
      </w:pPr>
      <w:r>
        <w:t>On Long-Term Value</w:t>
      </w:r>
    </w:p>
    <w:p w14:paraId="3B91D3B8" w14:textId="77777777" w:rsidR="00000000" w:rsidRDefault="00000000">
      <w:pPr>
        <w:pStyle w:val="ListParagraph"/>
        <w:numPr>
          <w:ilvl w:val="0"/>
          <w:numId w:val="45"/>
        </w:numPr>
        <w:spacing w:before="40" w:after="40"/>
      </w:pPr>
      <w:r>
        <w:rPr>
          <w:color w:val="333333"/>
        </w:rPr>
        <w:t>"Five years from now, what should Maryland's cybersecurity posture look like as a result of this assessment program, and what role does Assurit play in getting there?"</w:t>
      </w:r>
    </w:p>
    <w:p w14:paraId="3B91D3B9" w14:textId="77777777" w:rsidR="00000000" w:rsidRDefault="00000000">
      <w:pPr>
        <w:pStyle w:val="ListParagraph"/>
        <w:numPr>
          <w:ilvl w:val="0"/>
          <w:numId w:val="45"/>
        </w:numPr>
        <w:spacing w:before="40" w:after="40"/>
      </w:pPr>
      <w:r>
        <w:rPr>
          <w:color w:val="333333"/>
        </w:rPr>
        <w:t>"How does your statewide trend analysis actually translate into actionable policy changes for DoIT? Give me a concrete example of how that would work."</w:t>
      </w:r>
    </w:p>
    <w:p w14:paraId="3B91D3BA" w14:textId="77777777" w:rsidR="00000000" w:rsidRDefault="00000000">
      <w:pPr>
        <w:pStyle w:val="Heading2"/>
        <w:spacing w:before="300" w:after="120"/>
      </w:pPr>
      <w:r>
        <w:t>The Curveball</w:t>
      </w:r>
    </w:p>
    <w:p w14:paraId="3B91D3BB" w14:textId="77777777" w:rsidR="00000000" w:rsidRDefault="00000000">
      <w:pPr>
        <w:pStyle w:val="ListParagraph"/>
        <w:numPr>
          <w:ilvl w:val="0"/>
          <w:numId w:val="46"/>
        </w:numPr>
        <w:spacing w:before="40" w:after="40"/>
      </w:pPr>
      <w:r>
        <w:rPr>
          <w:color w:val="333333"/>
        </w:rPr>
        <w:t>"If we could only pick one thing that sets you apart from every other bidder in this room, what is it and why?"</w:t>
      </w:r>
    </w:p>
    <w:p w14:paraId="3B91D3BC" w14:textId="77777777" w:rsidR="00000000" w:rsidRDefault="00000000">
      <w:pPr>
        <w:spacing w:before="80" w:after="80"/>
        <w:ind w:left="360"/>
      </w:pPr>
      <w:r>
        <w:rPr>
          <w:b/>
          <w:bCs/>
          <w:color w:val="2E7D32"/>
          <w:sz w:val="21"/>
          <w:szCs w:val="21"/>
        </w:rPr>
        <w:t xml:space="preserve">▶ PREP NOTE: </w:t>
      </w:r>
      <w:r>
        <w:rPr>
          <w:i/>
          <w:iCs/>
          <w:color w:val="2E7D32"/>
          <w:sz w:val="21"/>
          <w:szCs w:val="21"/>
        </w:rPr>
        <w:t xml:space="preserve">The answer is institutional knowledge. Other firms can match your certifications, your methodology on paper, your team size. What they can't match is nine years of supporting Maryland’s cybersecurity programs — first DHS, now DoIT — understanding Maryland’s agencies, and learning from real assessments in this specific environment. That's the </w:t>
      </w:r>
      <w:r>
        <w:rPr>
          <w:i/>
          <w:iCs/>
          <w:color w:val="2E7D32"/>
          <w:sz w:val="21"/>
          <w:szCs w:val="21"/>
        </w:rPr>
        <w:lastRenderedPageBreak/>
        <w:t>one thing that can't be replicated from a standing start. Deliver this with conviction — it's your strongest differentiator and the one the panel will remember.</w:t>
      </w:r>
    </w:p>
    <w:p w14:paraId="3B91D3BD" w14:textId="77777777" w:rsidR="00000000" w:rsidRDefault="00000000">
      <w:pPr>
        <w:pBdr>
          <w:bottom w:val="single" w:sz="6" w:space="1" w:color="D4A017"/>
        </w:pBdr>
        <w:spacing w:before="200" w:after="200"/>
      </w:pPr>
    </w:p>
    <w:p w14:paraId="3B91D3BE" w14:textId="77777777" w:rsidR="00000000" w:rsidRDefault="00000000">
      <w:pPr>
        <w:pStyle w:val="Heading1"/>
        <w:spacing w:before="200" w:after="120"/>
      </w:pPr>
      <w:r>
        <w:t>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7360"/>
      </w:tblGrid>
      <w:tr w:rsidR="00621091" w14:paraId="3B91D3C2" w14:textId="77777777">
        <w:tc>
          <w:tcPr>
            <w:tcW w:w="6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3B91D3BF" w14:textId="77777777" w:rsidR="00000000" w:rsidRDefault="00000000">
            <w:pPr>
              <w:jc w:val="center"/>
            </w:pPr>
            <w:r>
              <w:rPr>
                <w:b/>
                <w:bCs/>
                <w:color w:val="FFFFFF"/>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3B91D3C0" w14:textId="77777777" w:rsidR="00000000" w:rsidRDefault="00000000">
            <w:r>
              <w:rPr>
                <w:b/>
                <w:bCs/>
                <w:color w:val="FFFFFF"/>
                <w:sz w:val="20"/>
                <w:szCs w:val="20"/>
              </w:rPr>
              <w:t>Type</w:t>
            </w:r>
          </w:p>
        </w:tc>
        <w:tc>
          <w:tcPr>
            <w:tcW w:w="7360" w:type="dxa"/>
            <w:tcBorders>
              <w:top w:val="single" w:sz="1" w:space="0" w:color="999999"/>
              <w:left w:val="single" w:sz="1" w:space="0" w:color="999999"/>
              <w:bottom w:val="single" w:sz="1" w:space="0" w:color="999999"/>
              <w:right w:val="single" w:sz="1" w:space="0" w:color="999999"/>
            </w:tcBorders>
            <w:shd w:val="clear" w:color="auto" w:fill="2D2D2D"/>
            <w:tcMar>
              <w:top w:w="60" w:type="dxa"/>
              <w:left w:w="100" w:type="dxa"/>
              <w:bottom w:w="60" w:type="dxa"/>
              <w:right w:w="100" w:type="dxa"/>
            </w:tcMar>
          </w:tcPr>
          <w:p w14:paraId="3B91D3C1" w14:textId="77777777" w:rsidR="00000000" w:rsidRDefault="00000000">
            <w:r>
              <w:rPr>
                <w:b/>
                <w:bCs/>
                <w:color w:val="FFFFFF"/>
                <w:sz w:val="20"/>
                <w:szCs w:val="20"/>
              </w:rPr>
              <w:t>Description</w:t>
            </w:r>
          </w:p>
        </w:tc>
      </w:tr>
      <w:tr w:rsidR="00621091" w14:paraId="3B91D3C6"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91D3C3" w14:textId="77777777" w:rsidR="00000000" w:rsidRDefault="00000000">
            <w:pPr>
              <w:jc w:val="center"/>
            </w:pPr>
            <w:r>
              <w:rPr>
                <w:b/>
                <w:bCs/>
                <w:color w:val="2D2D2D"/>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B91D3C4"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1D3C5" w14:textId="77777777" w:rsidR="00000000" w:rsidRDefault="00000000">
            <w:r>
              <w:rPr>
                <w:color w:val="444444"/>
                <w:sz w:val="20"/>
                <w:szCs w:val="20"/>
              </w:rPr>
              <w:t>Initial Q11 outline created. Structured as closing argument with economic impact metrics table, workforce development, enterprise trend analysis, financial stability, federal rigor, and continuous improvement.</w:t>
            </w:r>
          </w:p>
        </w:tc>
      </w:tr>
      <w:tr w:rsidR="00621091" w14:paraId="3B91D3CA"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91D3C7" w14:textId="77777777" w:rsidR="00000000" w:rsidRDefault="00000000">
            <w:pPr>
              <w:jc w:val="center"/>
            </w:pPr>
            <w:r>
              <w:rPr>
                <w:b/>
                <w:bCs/>
                <w:color w:val="2D2D2D"/>
                <w:sz w:val="20"/>
                <w:szCs w:val="20"/>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B91D3C8"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1D3C9" w14:textId="77777777" w:rsidR="00000000" w:rsidRDefault="00000000">
            <w:r>
              <w:rPr>
                <w:color w:val="444444"/>
                <w:sz w:val="20"/>
                <w:szCs w:val="20"/>
              </w:rPr>
              <w:t>Added closing statement prep note with suggested 60-second close and curveball answer grounded in institutional knowledge as primary differentiator.</w:t>
            </w:r>
          </w:p>
        </w:tc>
      </w:tr>
      <w:tr w:rsidR="00621091" w14:paraId="3B91D3CE" w14:textId="7777777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91D3CB" w14:textId="77777777" w:rsidR="00000000" w:rsidRDefault="00000000">
            <w:pPr>
              <w:jc w:val="center"/>
            </w:pPr>
            <w:r>
              <w:rPr>
                <w:b/>
                <w:bCs/>
                <w:color w:val="2D2D2D"/>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B91D3CC" w14:textId="77777777" w:rsidR="00000000" w:rsidRDefault="00000000">
            <w:r>
              <w:rPr>
                <w:b/>
                <w:bCs/>
                <w:color w:val="2E7D32"/>
                <w:sz w:val="20"/>
                <w:szCs w:val="20"/>
              </w:rPr>
              <w:t>Addition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1D3CD" w14:textId="77777777" w:rsidR="00000000" w:rsidRDefault="00000000">
            <w:r>
              <w:rPr>
                <w:color w:val="444444"/>
                <w:sz w:val="20"/>
                <w:szCs w:val="20"/>
              </w:rPr>
              <w:t>Added economic figures verification prep note. Presenter must confirm all numbers are current before the oral.</w:t>
            </w:r>
          </w:p>
        </w:tc>
      </w:tr>
    </w:tbl>
    <w:p w14:paraId="3B91D3CF" w14:textId="77777777" w:rsidR="00000000" w:rsidRDefault="00000000"/>
    <w:sectPr w:rsidR="0079137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A48C1" w14:textId="77777777" w:rsidR="00D43365" w:rsidRDefault="00D43365">
      <w:r>
        <w:separator/>
      </w:r>
    </w:p>
  </w:endnote>
  <w:endnote w:type="continuationSeparator" w:id="0">
    <w:p w14:paraId="412F7C59" w14:textId="77777777" w:rsidR="00D43365" w:rsidRDefault="00D43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7696" w14:textId="0C06CDE9" w:rsidR="00111354" w:rsidRDefault="00000000">
    <w:pPr>
      <w:jc w:val="center"/>
    </w:pPr>
    <w:proofErr w:type="gramStart"/>
    <w:r>
      <w:rPr>
        <w:color w:val="666666"/>
        <w:sz w:val="16"/>
        <w:szCs w:val="16"/>
      </w:rPr>
      <w:t>Assurit  |</w:t>
    </w:r>
    <w:proofErr w:type="gramEnd"/>
    <w:r>
      <w:rPr>
        <w:color w:val="666666"/>
        <w:sz w:val="16"/>
        <w:szCs w:val="16"/>
      </w:rPr>
      <w:t xml:space="preserve">  Maryland </w:t>
    </w:r>
    <w:proofErr w:type="spellStart"/>
    <w:r>
      <w:rPr>
        <w:color w:val="666666"/>
        <w:sz w:val="16"/>
        <w:szCs w:val="16"/>
      </w:rPr>
      <w:t>DoIT</w:t>
    </w:r>
    <w:proofErr w:type="spellEnd"/>
    <w:r>
      <w:rPr>
        <w:color w:val="666666"/>
        <w:sz w:val="16"/>
        <w:szCs w:val="16"/>
      </w:rPr>
      <w:t xml:space="preserve"> Cybersecurity </w:t>
    </w:r>
    <w:proofErr w:type="gramStart"/>
    <w:r>
      <w:rPr>
        <w:color w:val="666666"/>
        <w:sz w:val="16"/>
        <w:szCs w:val="16"/>
      </w:rPr>
      <w:t>Assessments  |</w:t>
    </w:r>
    <w:proofErr w:type="gramEnd"/>
    <w:r>
      <w:rPr>
        <w:color w:val="666666"/>
        <w:sz w:val="16"/>
        <w:szCs w:val="16"/>
      </w:rPr>
      <w:t xml:space="preserve">  BPM</w:t>
    </w:r>
    <w:proofErr w:type="gramStart"/>
    <w:r>
      <w:rPr>
        <w:color w:val="666666"/>
        <w:sz w:val="16"/>
        <w:szCs w:val="16"/>
      </w:rPr>
      <w:t>052516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719A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362C8" w14:textId="77777777" w:rsidR="00D43365" w:rsidRDefault="00D43365">
      <w:r>
        <w:separator/>
      </w:r>
    </w:p>
  </w:footnote>
  <w:footnote w:type="continuationSeparator" w:id="0">
    <w:p w14:paraId="2C0D743E" w14:textId="77777777" w:rsidR="00D43365" w:rsidRDefault="00D43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7695" w14:textId="77777777" w:rsidR="00111354" w:rsidRDefault="00000000">
    <w:pPr>
      <w:jc w:val="right"/>
    </w:pPr>
    <w:r>
      <w:rPr>
        <w:color w:val="666666"/>
        <w:sz w:val="18"/>
        <w:szCs w:val="18"/>
      </w:rPr>
      <w:t xml:space="preserve">Oral Presentation </w:t>
    </w:r>
    <w:proofErr w:type="gramStart"/>
    <w:r>
      <w:rPr>
        <w:color w:val="666666"/>
        <w:sz w:val="18"/>
        <w:szCs w:val="18"/>
      </w:rPr>
      <w:t>Prep</w:t>
    </w:r>
    <w:r>
      <w:rPr>
        <w:color w:val="CCCCCC"/>
        <w:sz w:val="18"/>
        <w:szCs w:val="18"/>
      </w:rPr>
      <w:t xml:space="preserve">  |</w:t>
    </w:r>
    <w:proofErr w:type="gramEnd"/>
    <w:r>
      <w:rPr>
        <w:color w:val="CCCCCC"/>
        <w:sz w:val="18"/>
        <w:szCs w:val="18"/>
      </w:rPr>
      <w:t xml:space="preserve">  </w:t>
    </w:r>
    <w:r>
      <w:rPr>
        <w:b/>
        <w:bCs/>
        <w:color w:val="666666"/>
        <w:sz w:val="18"/>
        <w:szCs w:val="18"/>
      </w:rPr>
      <w:t>Section 2, Question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8935"/>
    <w:multiLevelType w:val="hybridMultilevel"/>
    <w:tmpl w:val="E28A889C"/>
    <w:lvl w:ilvl="0" w:tplc="37981584">
      <w:start w:val="1"/>
      <w:numFmt w:val="bullet"/>
      <w:lvlText w:val="•"/>
      <w:lvlJc w:val="left"/>
      <w:pPr>
        <w:ind w:left="720" w:hanging="360"/>
      </w:pPr>
    </w:lvl>
    <w:lvl w:ilvl="1" w:tplc="DBD07CC8">
      <w:numFmt w:val="decimal"/>
      <w:lvlText w:val=""/>
      <w:lvlJc w:val="left"/>
    </w:lvl>
    <w:lvl w:ilvl="2" w:tplc="929C0366">
      <w:numFmt w:val="decimal"/>
      <w:lvlText w:val=""/>
      <w:lvlJc w:val="left"/>
    </w:lvl>
    <w:lvl w:ilvl="3" w:tplc="9C0E2C4E">
      <w:numFmt w:val="decimal"/>
      <w:lvlText w:val=""/>
      <w:lvlJc w:val="left"/>
    </w:lvl>
    <w:lvl w:ilvl="4" w:tplc="12E2AA1E">
      <w:numFmt w:val="decimal"/>
      <w:lvlText w:val=""/>
      <w:lvlJc w:val="left"/>
    </w:lvl>
    <w:lvl w:ilvl="5" w:tplc="C94C07B4">
      <w:numFmt w:val="decimal"/>
      <w:lvlText w:val=""/>
      <w:lvlJc w:val="left"/>
    </w:lvl>
    <w:lvl w:ilvl="6" w:tplc="068A4BDA">
      <w:numFmt w:val="decimal"/>
      <w:lvlText w:val=""/>
      <w:lvlJc w:val="left"/>
    </w:lvl>
    <w:lvl w:ilvl="7" w:tplc="4E94E85E">
      <w:numFmt w:val="decimal"/>
      <w:lvlText w:val=""/>
      <w:lvlJc w:val="left"/>
    </w:lvl>
    <w:lvl w:ilvl="8" w:tplc="196203D2">
      <w:numFmt w:val="decimal"/>
      <w:lvlText w:val=""/>
      <w:lvlJc w:val="left"/>
    </w:lvl>
  </w:abstractNum>
  <w:abstractNum w:abstractNumId="1" w15:restartNumberingAfterBreak="0">
    <w:nsid w:val="0003FA6A"/>
    <w:multiLevelType w:val="hybridMultilevel"/>
    <w:tmpl w:val="1696CD28"/>
    <w:lvl w:ilvl="0" w:tplc="3094F644">
      <w:start w:val="1"/>
      <w:numFmt w:val="bullet"/>
      <w:lvlText w:val="•"/>
      <w:lvlJc w:val="left"/>
      <w:pPr>
        <w:ind w:left="720" w:hanging="360"/>
      </w:pPr>
    </w:lvl>
    <w:lvl w:ilvl="1" w:tplc="32A06A56">
      <w:start w:val="1"/>
      <w:numFmt w:val="bullet"/>
      <w:lvlText w:val="◦"/>
      <w:lvlJc w:val="left"/>
      <w:pPr>
        <w:ind w:left="1440" w:hanging="360"/>
      </w:pPr>
    </w:lvl>
    <w:lvl w:ilvl="2" w:tplc="CFDA951E">
      <w:numFmt w:val="decimal"/>
      <w:lvlText w:val=""/>
      <w:lvlJc w:val="left"/>
    </w:lvl>
    <w:lvl w:ilvl="3" w:tplc="302C6FC4">
      <w:numFmt w:val="decimal"/>
      <w:lvlText w:val=""/>
      <w:lvlJc w:val="left"/>
    </w:lvl>
    <w:lvl w:ilvl="4" w:tplc="1CA66EFC">
      <w:numFmt w:val="decimal"/>
      <w:lvlText w:val=""/>
      <w:lvlJc w:val="left"/>
    </w:lvl>
    <w:lvl w:ilvl="5" w:tplc="2E46C3A6">
      <w:numFmt w:val="decimal"/>
      <w:lvlText w:val=""/>
      <w:lvlJc w:val="left"/>
    </w:lvl>
    <w:lvl w:ilvl="6" w:tplc="4442F880">
      <w:numFmt w:val="decimal"/>
      <w:lvlText w:val=""/>
      <w:lvlJc w:val="left"/>
    </w:lvl>
    <w:lvl w:ilvl="7" w:tplc="FAAE97BE">
      <w:numFmt w:val="decimal"/>
      <w:lvlText w:val=""/>
      <w:lvlJc w:val="left"/>
    </w:lvl>
    <w:lvl w:ilvl="8" w:tplc="EFDEA5BC">
      <w:numFmt w:val="decimal"/>
      <w:lvlText w:val=""/>
      <w:lvlJc w:val="left"/>
    </w:lvl>
  </w:abstractNum>
  <w:abstractNum w:abstractNumId="2" w15:restartNumberingAfterBreak="0">
    <w:nsid w:val="0041876A"/>
    <w:multiLevelType w:val="hybridMultilevel"/>
    <w:tmpl w:val="BB6EE3B0"/>
    <w:lvl w:ilvl="0" w:tplc="542CA670">
      <w:start w:val="1"/>
      <w:numFmt w:val="decimal"/>
      <w:lvlText w:val="%1."/>
      <w:lvlJc w:val="left"/>
      <w:pPr>
        <w:ind w:left="720" w:hanging="360"/>
      </w:pPr>
    </w:lvl>
    <w:lvl w:ilvl="1" w:tplc="9BAA6010">
      <w:numFmt w:val="decimal"/>
      <w:lvlText w:val=""/>
      <w:lvlJc w:val="left"/>
    </w:lvl>
    <w:lvl w:ilvl="2" w:tplc="9ACAAD80">
      <w:numFmt w:val="decimal"/>
      <w:lvlText w:val=""/>
      <w:lvlJc w:val="left"/>
    </w:lvl>
    <w:lvl w:ilvl="3" w:tplc="AA18D34C">
      <w:numFmt w:val="decimal"/>
      <w:lvlText w:val=""/>
      <w:lvlJc w:val="left"/>
    </w:lvl>
    <w:lvl w:ilvl="4" w:tplc="A7EC8F24">
      <w:numFmt w:val="decimal"/>
      <w:lvlText w:val=""/>
      <w:lvlJc w:val="left"/>
    </w:lvl>
    <w:lvl w:ilvl="5" w:tplc="05A4BADE">
      <w:numFmt w:val="decimal"/>
      <w:lvlText w:val=""/>
      <w:lvlJc w:val="left"/>
    </w:lvl>
    <w:lvl w:ilvl="6" w:tplc="71F66C0E">
      <w:numFmt w:val="decimal"/>
      <w:lvlText w:val=""/>
      <w:lvlJc w:val="left"/>
    </w:lvl>
    <w:lvl w:ilvl="7" w:tplc="E02E0686">
      <w:numFmt w:val="decimal"/>
      <w:lvlText w:val=""/>
      <w:lvlJc w:val="left"/>
    </w:lvl>
    <w:lvl w:ilvl="8" w:tplc="A81A92B6">
      <w:numFmt w:val="decimal"/>
      <w:lvlText w:val=""/>
      <w:lvlJc w:val="left"/>
    </w:lvl>
  </w:abstractNum>
  <w:abstractNum w:abstractNumId="3" w15:restartNumberingAfterBreak="0">
    <w:nsid w:val="00B785E4"/>
    <w:multiLevelType w:val="hybridMultilevel"/>
    <w:tmpl w:val="01A2DC78"/>
    <w:lvl w:ilvl="0" w:tplc="71540692">
      <w:start w:val="1"/>
      <w:numFmt w:val="bullet"/>
      <w:lvlText w:val="•"/>
      <w:lvlJc w:val="left"/>
      <w:pPr>
        <w:ind w:left="720" w:hanging="360"/>
      </w:pPr>
    </w:lvl>
    <w:lvl w:ilvl="1" w:tplc="746E4326">
      <w:numFmt w:val="decimal"/>
      <w:lvlText w:val=""/>
      <w:lvlJc w:val="left"/>
    </w:lvl>
    <w:lvl w:ilvl="2" w:tplc="6BBA2460">
      <w:numFmt w:val="decimal"/>
      <w:lvlText w:val=""/>
      <w:lvlJc w:val="left"/>
    </w:lvl>
    <w:lvl w:ilvl="3" w:tplc="E6DC1C8E">
      <w:numFmt w:val="decimal"/>
      <w:lvlText w:val=""/>
      <w:lvlJc w:val="left"/>
    </w:lvl>
    <w:lvl w:ilvl="4" w:tplc="D344532E">
      <w:numFmt w:val="decimal"/>
      <w:lvlText w:val=""/>
      <w:lvlJc w:val="left"/>
    </w:lvl>
    <w:lvl w:ilvl="5" w:tplc="92C06BC8">
      <w:numFmt w:val="decimal"/>
      <w:lvlText w:val=""/>
      <w:lvlJc w:val="left"/>
    </w:lvl>
    <w:lvl w:ilvl="6" w:tplc="34C269EA">
      <w:numFmt w:val="decimal"/>
      <w:lvlText w:val=""/>
      <w:lvlJc w:val="left"/>
    </w:lvl>
    <w:lvl w:ilvl="7" w:tplc="D0F02B06">
      <w:numFmt w:val="decimal"/>
      <w:lvlText w:val=""/>
      <w:lvlJc w:val="left"/>
    </w:lvl>
    <w:lvl w:ilvl="8" w:tplc="DDB4CF6C">
      <w:numFmt w:val="decimal"/>
      <w:lvlText w:val=""/>
      <w:lvlJc w:val="left"/>
    </w:lvl>
  </w:abstractNum>
  <w:abstractNum w:abstractNumId="4" w15:restartNumberingAfterBreak="0">
    <w:nsid w:val="00E75142"/>
    <w:multiLevelType w:val="hybridMultilevel"/>
    <w:tmpl w:val="655C1A04"/>
    <w:lvl w:ilvl="0" w:tplc="7F2669D6">
      <w:start w:val="1"/>
      <w:numFmt w:val="bullet"/>
      <w:lvlText w:val="•"/>
      <w:lvlJc w:val="left"/>
      <w:pPr>
        <w:ind w:left="720" w:hanging="360"/>
      </w:pPr>
    </w:lvl>
    <w:lvl w:ilvl="1" w:tplc="B80AEBDE">
      <w:numFmt w:val="decimal"/>
      <w:lvlText w:val=""/>
      <w:lvlJc w:val="left"/>
    </w:lvl>
    <w:lvl w:ilvl="2" w:tplc="6318F632">
      <w:numFmt w:val="decimal"/>
      <w:lvlText w:val=""/>
      <w:lvlJc w:val="left"/>
    </w:lvl>
    <w:lvl w:ilvl="3" w:tplc="743E0808">
      <w:numFmt w:val="decimal"/>
      <w:lvlText w:val=""/>
      <w:lvlJc w:val="left"/>
    </w:lvl>
    <w:lvl w:ilvl="4" w:tplc="7AC43C62">
      <w:numFmt w:val="decimal"/>
      <w:lvlText w:val=""/>
      <w:lvlJc w:val="left"/>
    </w:lvl>
    <w:lvl w:ilvl="5" w:tplc="F5208986">
      <w:numFmt w:val="decimal"/>
      <w:lvlText w:val=""/>
      <w:lvlJc w:val="left"/>
    </w:lvl>
    <w:lvl w:ilvl="6" w:tplc="3F0883C8">
      <w:numFmt w:val="decimal"/>
      <w:lvlText w:val=""/>
      <w:lvlJc w:val="left"/>
    </w:lvl>
    <w:lvl w:ilvl="7" w:tplc="EF10DC76">
      <w:numFmt w:val="decimal"/>
      <w:lvlText w:val=""/>
      <w:lvlJc w:val="left"/>
    </w:lvl>
    <w:lvl w:ilvl="8" w:tplc="48BEF4D2">
      <w:numFmt w:val="decimal"/>
      <w:lvlText w:val=""/>
      <w:lvlJc w:val="left"/>
    </w:lvl>
  </w:abstractNum>
  <w:abstractNum w:abstractNumId="5" w15:restartNumberingAfterBreak="0">
    <w:nsid w:val="00F85C5A"/>
    <w:multiLevelType w:val="hybridMultilevel"/>
    <w:tmpl w:val="0DA6F0E2"/>
    <w:lvl w:ilvl="0" w:tplc="B9D482BA">
      <w:start w:val="1"/>
      <w:numFmt w:val="decimal"/>
      <w:lvlText w:val="%1."/>
      <w:lvlJc w:val="left"/>
      <w:pPr>
        <w:ind w:left="720" w:hanging="360"/>
      </w:pPr>
    </w:lvl>
    <w:lvl w:ilvl="1" w:tplc="8C94A4FE">
      <w:numFmt w:val="decimal"/>
      <w:lvlText w:val=""/>
      <w:lvlJc w:val="left"/>
    </w:lvl>
    <w:lvl w:ilvl="2" w:tplc="1BDACBA4">
      <w:numFmt w:val="decimal"/>
      <w:lvlText w:val=""/>
      <w:lvlJc w:val="left"/>
    </w:lvl>
    <w:lvl w:ilvl="3" w:tplc="000C1158">
      <w:numFmt w:val="decimal"/>
      <w:lvlText w:val=""/>
      <w:lvlJc w:val="left"/>
    </w:lvl>
    <w:lvl w:ilvl="4" w:tplc="C6820D62">
      <w:numFmt w:val="decimal"/>
      <w:lvlText w:val=""/>
      <w:lvlJc w:val="left"/>
    </w:lvl>
    <w:lvl w:ilvl="5" w:tplc="E0D87AA2">
      <w:numFmt w:val="decimal"/>
      <w:lvlText w:val=""/>
      <w:lvlJc w:val="left"/>
    </w:lvl>
    <w:lvl w:ilvl="6" w:tplc="2116D074">
      <w:numFmt w:val="decimal"/>
      <w:lvlText w:val=""/>
      <w:lvlJc w:val="left"/>
    </w:lvl>
    <w:lvl w:ilvl="7" w:tplc="6CD0D1D4">
      <w:numFmt w:val="decimal"/>
      <w:lvlText w:val=""/>
      <w:lvlJc w:val="left"/>
    </w:lvl>
    <w:lvl w:ilvl="8" w:tplc="650AC352">
      <w:numFmt w:val="decimal"/>
      <w:lvlText w:val=""/>
      <w:lvlJc w:val="left"/>
    </w:lvl>
  </w:abstractNum>
  <w:abstractNum w:abstractNumId="6" w15:restartNumberingAfterBreak="0">
    <w:nsid w:val="012EC3E4"/>
    <w:multiLevelType w:val="hybridMultilevel"/>
    <w:tmpl w:val="5E5C4E90"/>
    <w:lvl w:ilvl="0" w:tplc="749A996E">
      <w:start w:val="1"/>
      <w:numFmt w:val="bullet"/>
      <w:lvlText w:val="•"/>
      <w:lvlJc w:val="left"/>
      <w:pPr>
        <w:ind w:left="720" w:hanging="360"/>
      </w:pPr>
    </w:lvl>
    <w:lvl w:ilvl="1" w:tplc="B540D5DA">
      <w:numFmt w:val="decimal"/>
      <w:lvlText w:val=""/>
      <w:lvlJc w:val="left"/>
    </w:lvl>
    <w:lvl w:ilvl="2" w:tplc="B0E0F616">
      <w:numFmt w:val="decimal"/>
      <w:lvlText w:val=""/>
      <w:lvlJc w:val="left"/>
    </w:lvl>
    <w:lvl w:ilvl="3" w:tplc="33D8369A">
      <w:numFmt w:val="decimal"/>
      <w:lvlText w:val=""/>
      <w:lvlJc w:val="left"/>
    </w:lvl>
    <w:lvl w:ilvl="4" w:tplc="1E82DFBC">
      <w:numFmt w:val="decimal"/>
      <w:lvlText w:val=""/>
      <w:lvlJc w:val="left"/>
    </w:lvl>
    <w:lvl w:ilvl="5" w:tplc="C11E33CE">
      <w:numFmt w:val="decimal"/>
      <w:lvlText w:val=""/>
      <w:lvlJc w:val="left"/>
    </w:lvl>
    <w:lvl w:ilvl="6" w:tplc="F086C58C">
      <w:numFmt w:val="decimal"/>
      <w:lvlText w:val=""/>
      <w:lvlJc w:val="left"/>
    </w:lvl>
    <w:lvl w:ilvl="7" w:tplc="1E60A606">
      <w:numFmt w:val="decimal"/>
      <w:lvlText w:val=""/>
      <w:lvlJc w:val="left"/>
    </w:lvl>
    <w:lvl w:ilvl="8" w:tplc="C540A4AE">
      <w:numFmt w:val="decimal"/>
      <w:lvlText w:val=""/>
      <w:lvlJc w:val="left"/>
    </w:lvl>
  </w:abstractNum>
  <w:abstractNum w:abstractNumId="7" w15:restartNumberingAfterBreak="0">
    <w:nsid w:val="013DC62C"/>
    <w:multiLevelType w:val="hybridMultilevel"/>
    <w:tmpl w:val="F7DC71E2"/>
    <w:lvl w:ilvl="0" w:tplc="46DA94B8">
      <w:start w:val="1"/>
      <w:numFmt w:val="bullet"/>
      <w:lvlText w:val="•"/>
      <w:lvlJc w:val="left"/>
      <w:pPr>
        <w:ind w:left="720" w:hanging="360"/>
      </w:pPr>
    </w:lvl>
    <w:lvl w:ilvl="1" w:tplc="C4EC172C">
      <w:numFmt w:val="decimal"/>
      <w:lvlText w:val=""/>
      <w:lvlJc w:val="left"/>
    </w:lvl>
    <w:lvl w:ilvl="2" w:tplc="7B4C8E36">
      <w:numFmt w:val="decimal"/>
      <w:lvlText w:val=""/>
      <w:lvlJc w:val="left"/>
    </w:lvl>
    <w:lvl w:ilvl="3" w:tplc="3BFEDF64">
      <w:numFmt w:val="decimal"/>
      <w:lvlText w:val=""/>
      <w:lvlJc w:val="left"/>
    </w:lvl>
    <w:lvl w:ilvl="4" w:tplc="8D6286C2">
      <w:numFmt w:val="decimal"/>
      <w:lvlText w:val=""/>
      <w:lvlJc w:val="left"/>
    </w:lvl>
    <w:lvl w:ilvl="5" w:tplc="57C8FB34">
      <w:numFmt w:val="decimal"/>
      <w:lvlText w:val=""/>
      <w:lvlJc w:val="left"/>
    </w:lvl>
    <w:lvl w:ilvl="6" w:tplc="7FE88FBE">
      <w:numFmt w:val="decimal"/>
      <w:lvlText w:val=""/>
      <w:lvlJc w:val="left"/>
    </w:lvl>
    <w:lvl w:ilvl="7" w:tplc="EBB4E1F8">
      <w:numFmt w:val="decimal"/>
      <w:lvlText w:val=""/>
      <w:lvlJc w:val="left"/>
    </w:lvl>
    <w:lvl w:ilvl="8" w:tplc="782E1708">
      <w:numFmt w:val="decimal"/>
      <w:lvlText w:val=""/>
      <w:lvlJc w:val="left"/>
    </w:lvl>
  </w:abstractNum>
  <w:abstractNum w:abstractNumId="8" w15:restartNumberingAfterBreak="0">
    <w:nsid w:val="016827EE"/>
    <w:multiLevelType w:val="hybridMultilevel"/>
    <w:tmpl w:val="C13EE226"/>
    <w:lvl w:ilvl="0" w:tplc="46769562">
      <w:start w:val="1"/>
      <w:numFmt w:val="decimal"/>
      <w:lvlText w:val="%1."/>
      <w:lvlJc w:val="left"/>
      <w:pPr>
        <w:ind w:left="720" w:hanging="360"/>
      </w:pPr>
    </w:lvl>
    <w:lvl w:ilvl="1" w:tplc="376819D0">
      <w:numFmt w:val="decimal"/>
      <w:lvlText w:val=""/>
      <w:lvlJc w:val="left"/>
    </w:lvl>
    <w:lvl w:ilvl="2" w:tplc="B18A724C">
      <w:numFmt w:val="decimal"/>
      <w:lvlText w:val=""/>
      <w:lvlJc w:val="left"/>
    </w:lvl>
    <w:lvl w:ilvl="3" w:tplc="3760E940">
      <w:numFmt w:val="decimal"/>
      <w:lvlText w:val=""/>
      <w:lvlJc w:val="left"/>
    </w:lvl>
    <w:lvl w:ilvl="4" w:tplc="C3DC54D6">
      <w:numFmt w:val="decimal"/>
      <w:lvlText w:val=""/>
      <w:lvlJc w:val="left"/>
    </w:lvl>
    <w:lvl w:ilvl="5" w:tplc="FC6C3E32">
      <w:numFmt w:val="decimal"/>
      <w:lvlText w:val=""/>
      <w:lvlJc w:val="left"/>
    </w:lvl>
    <w:lvl w:ilvl="6" w:tplc="6226EB4E">
      <w:numFmt w:val="decimal"/>
      <w:lvlText w:val=""/>
      <w:lvlJc w:val="left"/>
    </w:lvl>
    <w:lvl w:ilvl="7" w:tplc="BB3EF0E0">
      <w:numFmt w:val="decimal"/>
      <w:lvlText w:val=""/>
      <w:lvlJc w:val="left"/>
    </w:lvl>
    <w:lvl w:ilvl="8" w:tplc="77C2B26A">
      <w:numFmt w:val="decimal"/>
      <w:lvlText w:val=""/>
      <w:lvlJc w:val="left"/>
    </w:lvl>
  </w:abstractNum>
  <w:abstractNum w:abstractNumId="9" w15:restartNumberingAfterBreak="0">
    <w:nsid w:val="01BF7475"/>
    <w:multiLevelType w:val="hybridMultilevel"/>
    <w:tmpl w:val="351CBAD0"/>
    <w:lvl w:ilvl="0" w:tplc="75A836EA">
      <w:start w:val="1"/>
      <w:numFmt w:val="bullet"/>
      <w:lvlText w:val="•"/>
      <w:lvlJc w:val="left"/>
      <w:pPr>
        <w:ind w:left="720" w:hanging="360"/>
      </w:pPr>
    </w:lvl>
    <w:lvl w:ilvl="1" w:tplc="21AE74A4">
      <w:start w:val="1"/>
      <w:numFmt w:val="bullet"/>
      <w:lvlText w:val="◦"/>
      <w:lvlJc w:val="left"/>
      <w:pPr>
        <w:ind w:left="1440" w:hanging="360"/>
      </w:pPr>
    </w:lvl>
    <w:lvl w:ilvl="2" w:tplc="182EE656">
      <w:numFmt w:val="decimal"/>
      <w:lvlText w:val=""/>
      <w:lvlJc w:val="left"/>
    </w:lvl>
    <w:lvl w:ilvl="3" w:tplc="FE56F09A">
      <w:numFmt w:val="decimal"/>
      <w:lvlText w:val=""/>
      <w:lvlJc w:val="left"/>
    </w:lvl>
    <w:lvl w:ilvl="4" w:tplc="EE0E5100">
      <w:numFmt w:val="decimal"/>
      <w:lvlText w:val=""/>
      <w:lvlJc w:val="left"/>
    </w:lvl>
    <w:lvl w:ilvl="5" w:tplc="E92C02E6">
      <w:numFmt w:val="decimal"/>
      <w:lvlText w:val=""/>
      <w:lvlJc w:val="left"/>
    </w:lvl>
    <w:lvl w:ilvl="6" w:tplc="9B7E9C92">
      <w:numFmt w:val="decimal"/>
      <w:lvlText w:val=""/>
      <w:lvlJc w:val="left"/>
    </w:lvl>
    <w:lvl w:ilvl="7" w:tplc="0A2EDCEE">
      <w:numFmt w:val="decimal"/>
      <w:lvlText w:val=""/>
      <w:lvlJc w:val="left"/>
    </w:lvl>
    <w:lvl w:ilvl="8" w:tplc="42B20DC2">
      <w:numFmt w:val="decimal"/>
      <w:lvlText w:val=""/>
      <w:lvlJc w:val="left"/>
    </w:lvl>
  </w:abstractNum>
  <w:abstractNum w:abstractNumId="10" w15:restartNumberingAfterBreak="0">
    <w:nsid w:val="020D5519"/>
    <w:multiLevelType w:val="hybridMultilevel"/>
    <w:tmpl w:val="52F4BB9C"/>
    <w:lvl w:ilvl="0" w:tplc="D0723D14">
      <w:start w:val="1"/>
      <w:numFmt w:val="bullet"/>
      <w:lvlText w:val="•"/>
      <w:lvlJc w:val="left"/>
      <w:pPr>
        <w:ind w:left="720" w:hanging="360"/>
      </w:pPr>
    </w:lvl>
    <w:lvl w:ilvl="1" w:tplc="799610B0">
      <w:numFmt w:val="decimal"/>
      <w:lvlText w:val=""/>
      <w:lvlJc w:val="left"/>
    </w:lvl>
    <w:lvl w:ilvl="2" w:tplc="92FE9F9A">
      <w:numFmt w:val="decimal"/>
      <w:lvlText w:val=""/>
      <w:lvlJc w:val="left"/>
    </w:lvl>
    <w:lvl w:ilvl="3" w:tplc="56322DA0">
      <w:numFmt w:val="decimal"/>
      <w:lvlText w:val=""/>
      <w:lvlJc w:val="left"/>
    </w:lvl>
    <w:lvl w:ilvl="4" w:tplc="D87E0A06">
      <w:numFmt w:val="decimal"/>
      <w:lvlText w:val=""/>
      <w:lvlJc w:val="left"/>
    </w:lvl>
    <w:lvl w:ilvl="5" w:tplc="0498A880">
      <w:numFmt w:val="decimal"/>
      <w:lvlText w:val=""/>
      <w:lvlJc w:val="left"/>
    </w:lvl>
    <w:lvl w:ilvl="6" w:tplc="C5DE6D8C">
      <w:numFmt w:val="decimal"/>
      <w:lvlText w:val=""/>
      <w:lvlJc w:val="left"/>
    </w:lvl>
    <w:lvl w:ilvl="7" w:tplc="05D07FEA">
      <w:numFmt w:val="decimal"/>
      <w:lvlText w:val=""/>
      <w:lvlJc w:val="left"/>
    </w:lvl>
    <w:lvl w:ilvl="8" w:tplc="D5801690">
      <w:numFmt w:val="decimal"/>
      <w:lvlText w:val=""/>
      <w:lvlJc w:val="left"/>
    </w:lvl>
  </w:abstractNum>
  <w:abstractNum w:abstractNumId="11" w15:restartNumberingAfterBreak="0">
    <w:nsid w:val="023F2303"/>
    <w:multiLevelType w:val="hybridMultilevel"/>
    <w:tmpl w:val="6776716A"/>
    <w:lvl w:ilvl="0" w:tplc="6ABC49CE">
      <w:start w:val="1"/>
      <w:numFmt w:val="bullet"/>
      <w:lvlText w:val="•"/>
      <w:lvlJc w:val="left"/>
      <w:pPr>
        <w:ind w:left="720" w:hanging="360"/>
      </w:pPr>
    </w:lvl>
    <w:lvl w:ilvl="1" w:tplc="C7F8040A">
      <w:numFmt w:val="decimal"/>
      <w:lvlText w:val=""/>
      <w:lvlJc w:val="left"/>
    </w:lvl>
    <w:lvl w:ilvl="2" w:tplc="5D808816">
      <w:numFmt w:val="decimal"/>
      <w:lvlText w:val=""/>
      <w:lvlJc w:val="left"/>
    </w:lvl>
    <w:lvl w:ilvl="3" w:tplc="5DBA34E0">
      <w:numFmt w:val="decimal"/>
      <w:lvlText w:val=""/>
      <w:lvlJc w:val="left"/>
    </w:lvl>
    <w:lvl w:ilvl="4" w:tplc="F5A698D2">
      <w:numFmt w:val="decimal"/>
      <w:lvlText w:val=""/>
      <w:lvlJc w:val="left"/>
    </w:lvl>
    <w:lvl w:ilvl="5" w:tplc="1494D4D8">
      <w:numFmt w:val="decimal"/>
      <w:lvlText w:val=""/>
      <w:lvlJc w:val="left"/>
    </w:lvl>
    <w:lvl w:ilvl="6" w:tplc="201AFF5A">
      <w:numFmt w:val="decimal"/>
      <w:lvlText w:val=""/>
      <w:lvlJc w:val="left"/>
    </w:lvl>
    <w:lvl w:ilvl="7" w:tplc="CA747CAC">
      <w:numFmt w:val="decimal"/>
      <w:lvlText w:val=""/>
      <w:lvlJc w:val="left"/>
    </w:lvl>
    <w:lvl w:ilvl="8" w:tplc="4B1850F0">
      <w:numFmt w:val="decimal"/>
      <w:lvlText w:val=""/>
      <w:lvlJc w:val="left"/>
    </w:lvl>
  </w:abstractNum>
  <w:abstractNum w:abstractNumId="12" w15:restartNumberingAfterBreak="0">
    <w:nsid w:val="0263E4CC"/>
    <w:multiLevelType w:val="hybridMultilevel"/>
    <w:tmpl w:val="C6702944"/>
    <w:lvl w:ilvl="0" w:tplc="9A96DEE0">
      <w:start w:val="1"/>
      <w:numFmt w:val="bullet"/>
      <w:lvlText w:val="•"/>
      <w:lvlJc w:val="left"/>
      <w:pPr>
        <w:ind w:left="720" w:hanging="360"/>
      </w:pPr>
    </w:lvl>
    <w:lvl w:ilvl="1" w:tplc="D2BC06EE">
      <w:numFmt w:val="decimal"/>
      <w:lvlText w:val=""/>
      <w:lvlJc w:val="left"/>
    </w:lvl>
    <w:lvl w:ilvl="2" w:tplc="445CF256">
      <w:numFmt w:val="decimal"/>
      <w:lvlText w:val=""/>
      <w:lvlJc w:val="left"/>
    </w:lvl>
    <w:lvl w:ilvl="3" w:tplc="92E03B78">
      <w:numFmt w:val="decimal"/>
      <w:lvlText w:val=""/>
      <w:lvlJc w:val="left"/>
    </w:lvl>
    <w:lvl w:ilvl="4" w:tplc="E33E5A62">
      <w:numFmt w:val="decimal"/>
      <w:lvlText w:val=""/>
      <w:lvlJc w:val="left"/>
    </w:lvl>
    <w:lvl w:ilvl="5" w:tplc="D0528578">
      <w:numFmt w:val="decimal"/>
      <w:lvlText w:val=""/>
      <w:lvlJc w:val="left"/>
    </w:lvl>
    <w:lvl w:ilvl="6" w:tplc="B6D8F2A2">
      <w:numFmt w:val="decimal"/>
      <w:lvlText w:val=""/>
      <w:lvlJc w:val="left"/>
    </w:lvl>
    <w:lvl w:ilvl="7" w:tplc="F8EE6EE2">
      <w:numFmt w:val="decimal"/>
      <w:lvlText w:val=""/>
      <w:lvlJc w:val="left"/>
    </w:lvl>
    <w:lvl w:ilvl="8" w:tplc="687AA9A2">
      <w:numFmt w:val="decimal"/>
      <w:lvlText w:val=""/>
      <w:lvlJc w:val="left"/>
    </w:lvl>
  </w:abstractNum>
  <w:abstractNum w:abstractNumId="13" w15:restartNumberingAfterBreak="0">
    <w:nsid w:val="0287C72E"/>
    <w:multiLevelType w:val="hybridMultilevel"/>
    <w:tmpl w:val="239A45C8"/>
    <w:lvl w:ilvl="0" w:tplc="847C1FCE">
      <w:start w:val="1"/>
      <w:numFmt w:val="bullet"/>
      <w:lvlText w:val="•"/>
      <w:lvlJc w:val="left"/>
      <w:pPr>
        <w:ind w:left="720" w:hanging="360"/>
      </w:pPr>
    </w:lvl>
    <w:lvl w:ilvl="1" w:tplc="A3520F58">
      <w:numFmt w:val="decimal"/>
      <w:lvlText w:val=""/>
      <w:lvlJc w:val="left"/>
    </w:lvl>
    <w:lvl w:ilvl="2" w:tplc="F56493D6">
      <w:numFmt w:val="decimal"/>
      <w:lvlText w:val=""/>
      <w:lvlJc w:val="left"/>
    </w:lvl>
    <w:lvl w:ilvl="3" w:tplc="15581C2E">
      <w:numFmt w:val="decimal"/>
      <w:lvlText w:val=""/>
      <w:lvlJc w:val="left"/>
    </w:lvl>
    <w:lvl w:ilvl="4" w:tplc="60147792">
      <w:numFmt w:val="decimal"/>
      <w:lvlText w:val=""/>
      <w:lvlJc w:val="left"/>
    </w:lvl>
    <w:lvl w:ilvl="5" w:tplc="7B2CA78E">
      <w:numFmt w:val="decimal"/>
      <w:lvlText w:val=""/>
      <w:lvlJc w:val="left"/>
    </w:lvl>
    <w:lvl w:ilvl="6" w:tplc="9A3A1FFE">
      <w:numFmt w:val="decimal"/>
      <w:lvlText w:val=""/>
      <w:lvlJc w:val="left"/>
    </w:lvl>
    <w:lvl w:ilvl="7" w:tplc="B9AEF1A8">
      <w:numFmt w:val="decimal"/>
      <w:lvlText w:val=""/>
      <w:lvlJc w:val="left"/>
    </w:lvl>
    <w:lvl w:ilvl="8" w:tplc="5E88DCEC">
      <w:numFmt w:val="decimal"/>
      <w:lvlText w:val=""/>
      <w:lvlJc w:val="left"/>
    </w:lvl>
  </w:abstractNum>
  <w:abstractNum w:abstractNumId="14" w15:restartNumberingAfterBreak="0">
    <w:nsid w:val="02CAD128"/>
    <w:multiLevelType w:val="hybridMultilevel"/>
    <w:tmpl w:val="C5B08964"/>
    <w:lvl w:ilvl="0" w:tplc="2E3872FC">
      <w:start w:val="1"/>
      <w:numFmt w:val="bullet"/>
      <w:lvlText w:val="•"/>
      <w:lvlJc w:val="left"/>
      <w:pPr>
        <w:ind w:left="720" w:hanging="360"/>
      </w:pPr>
    </w:lvl>
    <w:lvl w:ilvl="1" w:tplc="BE38061A">
      <w:numFmt w:val="decimal"/>
      <w:lvlText w:val=""/>
      <w:lvlJc w:val="left"/>
    </w:lvl>
    <w:lvl w:ilvl="2" w:tplc="65583A78">
      <w:numFmt w:val="decimal"/>
      <w:lvlText w:val=""/>
      <w:lvlJc w:val="left"/>
    </w:lvl>
    <w:lvl w:ilvl="3" w:tplc="8E8066C6">
      <w:numFmt w:val="decimal"/>
      <w:lvlText w:val=""/>
      <w:lvlJc w:val="left"/>
    </w:lvl>
    <w:lvl w:ilvl="4" w:tplc="5B60E6A4">
      <w:numFmt w:val="decimal"/>
      <w:lvlText w:val=""/>
      <w:lvlJc w:val="left"/>
    </w:lvl>
    <w:lvl w:ilvl="5" w:tplc="C344AFA8">
      <w:numFmt w:val="decimal"/>
      <w:lvlText w:val=""/>
      <w:lvlJc w:val="left"/>
    </w:lvl>
    <w:lvl w:ilvl="6" w:tplc="68D42AE8">
      <w:numFmt w:val="decimal"/>
      <w:lvlText w:val=""/>
      <w:lvlJc w:val="left"/>
    </w:lvl>
    <w:lvl w:ilvl="7" w:tplc="7AF6CD96">
      <w:numFmt w:val="decimal"/>
      <w:lvlText w:val=""/>
      <w:lvlJc w:val="left"/>
    </w:lvl>
    <w:lvl w:ilvl="8" w:tplc="A9F23628">
      <w:numFmt w:val="decimal"/>
      <w:lvlText w:val=""/>
      <w:lvlJc w:val="left"/>
    </w:lvl>
  </w:abstractNum>
  <w:abstractNum w:abstractNumId="15" w15:restartNumberingAfterBreak="0">
    <w:nsid w:val="02E4D40F"/>
    <w:multiLevelType w:val="hybridMultilevel"/>
    <w:tmpl w:val="A63277B0"/>
    <w:lvl w:ilvl="0" w:tplc="FB8CE224">
      <w:start w:val="1"/>
      <w:numFmt w:val="bullet"/>
      <w:lvlText w:val="•"/>
      <w:lvlJc w:val="left"/>
      <w:pPr>
        <w:ind w:left="720" w:hanging="360"/>
      </w:pPr>
    </w:lvl>
    <w:lvl w:ilvl="1" w:tplc="FBAA401A">
      <w:numFmt w:val="decimal"/>
      <w:lvlText w:val=""/>
      <w:lvlJc w:val="left"/>
    </w:lvl>
    <w:lvl w:ilvl="2" w:tplc="8196CA7A">
      <w:numFmt w:val="decimal"/>
      <w:lvlText w:val=""/>
      <w:lvlJc w:val="left"/>
    </w:lvl>
    <w:lvl w:ilvl="3" w:tplc="49ACDCC4">
      <w:numFmt w:val="decimal"/>
      <w:lvlText w:val=""/>
      <w:lvlJc w:val="left"/>
    </w:lvl>
    <w:lvl w:ilvl="4" w:tplc="03EE410E">
      <w:numFmt w:val="decimal"/>
      <w:lvlText w:val=""/>
      <w:lvlJc w:val="left"/>
    </w:lvl>
    <w:lvl w:ilvl="5" w:tplc="2AF44346">
      <w:numFmt w:val="decimal"/>
      <w:lvlText w:val=""/>
      <w:lvlJc w:val="left"/>
    </w:lvl>
    <w:lvl w:ilvl="6" w:tplc="26828ECA">
      <w:numFmt w:val="decimal"/>
      <w:lvlText w:val=""/>
      <w:lvlJc w:val="left"/>
    </w:lvl>
    <w:lvl w:ilvl="7" w:tplc="5C56E9C6">
      <w:numFmt w:val="decimal"/>
      <w:lvlText w:val=""/>
      <w:lvlJc w:val="left"/>
    </w:lvl>
    <w:lvl w:ilvl="8" w:tplc="14600DF4">
      <w:numFmt w:val="decimal"/>
      <w:lvlText w:val=""/>
      <w:lvlJc w:val="left"/>
    </w:lvl>
  </w:abstractNum>
  <w:abstractNum w:abstractNumId="16" w15:restartNumberingAfterBreak="0">
    <w:nsid w:val="02EF5431"/>
    <w:multiLevelType w:val="hybridMultilevel"/>
    <w:tmpl w:val="3586B15A"/>
    <w:lvl w:ilvl="0" w:tplc="4C12A7F8">
      <w:start w:val="1"/>
      <w:numFmt w:val="bullet"/>
      <w:lvlText w:val="•"/>
      <w:lvlJc w:val="left"/>
      <w:pPr>
        <w:ind w:left="720" w:hanging="360"/>
      </w:pPr>
    </w:lvl>
    <w:lvl w:ilvl="1" w:tplc="52389952">
      <w:numFmt w:val="decimal"/>
      <w:lvlText w:val=""/>
      <w:lvlJc w:val="left"/>
    </w:lvl>
    <w:lvl w:ilvl="2" w:tplc="6D1C251A">
      <w:numFmt w:val="decimal"/>
      <w:lvlText w:val=""/>
      <w:lvlJc w:val="left"/>
    </w:lvl>
    <w:lvl w:ilvl="3" w:tplc="A8C28568">
      <w:numFmt w:val="decimal"/>
      <w:lvlText w:val=""/>
      <w:lvlJc w:val="left"/>
    </w:lvl>
    <w:lvl w:ilvl="4" w:tplc="71AC74FE">
      <w:numFmt w:val="decimal"/>
      <w:lvlText w:val=""/>
      <w:lvlJc w:val="left"/>
    </w:lvl>
    <w:lvl w:ilvl="5" w:tplc="B4BE8C6E">
      <w:numFmt w:val="decimal"/>
      <w:lvlText w:val=""/>
      <w:lvlJc w:val="left"/>
    </w:lvl>
    <w:lvl w:ilvl="6" w:tplc="D1ECC854">
      <w:numFmt w:val="decimal"/>
      <w:lvlText w:val=""/>
      <w:lvlJc w:val="left"/>
    </w:lvl>
    <w:lvl w:ilvl="7" w:tplc="E864F15A">
      <w:numFmt w:val="decimal"/>
      <w:lvlText w:val=""/>
      <w:lvlJc w:val="left"/>
    </w:lvl>
    <w:lvl w:ilvl="8" w:tplc="BF5E23A8">
      <w:numFmt w:val="decimal"/>
      <w:lvlText w:val=""/>
      <w:lvlJc w:val="left"/>
    </w:lvl>
  </w:abstractNum>
  <w:abstractNum w:abstractNumId="17" w15:restartNumberingAfterBreak="0">
    <w:nsid w:val="030FCEA0"/>
    <w:multiLevelType w:val="hybridMultilevel"/>
    <w:tmpl w:val="04FA5F9C"/>
    <w:lvl w:ilvl="0" w:tplc="4EB01EC2">
      <w:start w:val="1"/>
      <w:numFmt w:val="decimal"/>
      <w:lvlText w:val="%1."/>
      <w:lvlJc w:val="left"/>
      <w:pPr>
        <w:ind w:left="720" w:hanging="360"/>
      </w:pPr>
    </w:lvl>
    <w:lvl w:ilvl="1" w:tplc="39BC7378">
      <w:numFmt w:val="decimal"/>
      <w:lvlText w:val=""/>
      <w:lvlJc w:val="left"/>
    </w:lvl>
    <w:lvl w:ilvl="2" w:tplc="6792CFEA">
      <w:numFmt w:val="decimal"/>
      <w:lvlText w:val=""/>
      <w:lvlJc w:val="left"/>
    </w:lvl>
    <w:lvl w:ilvl="3" w:tplc="C02021F6">
      <w:numFmt w:val="decimal"/>
      <w:lvlText w:val=""/>
      <w:lvlJc w:val="left"/>
    </w:lvl>
    <w:lvl w:ilvl="4" w:tplc="200A8B9A">
      <w:numFmt w:val="decimal"/>
      <w:lvlText w:val=""/>
      <w:lvlJc w:val="left"/>
    </w:lvl>
    <w:lvl w:ilvl="5" w:tplc="31F26E8C">
      <w:numFmt w:val="decimal"/>
      <w:lvlText w:val=""/>
      <w:lvlJc w:val="left"/>
    </w:lvl>
    <w:lvl w:ilvl="6" w:tplc="93140756">
      <w:numFmt w:val="decimal"/>
      <w:lvlText w:val=""/>
      <w:lvlJc w:val="left"/>
    </w:lvl>
    <w:lvl w:ilvl="7" w:tplc="CD2ED644">
      <w:numFmt w:val="decimal"/>
      <w:lvlText w:val=""/>
      <w:lvlJc w:val="left"/>
    </w:lvl>
    <w:lvl w:ilvl="8" w:tplc="95380988">
      <w:numFmt w:val="decimal"/>
      <w:lvlText w:val=""/>
      <w:lvlJc w:val="left"/>
    </w:lvl>
  </w:abstractNum>
  <w:abstractNum w:abstractNumId="18" w15:restartNumberingAfterBreak="0">
    <w:nsid w:val="032B5A83"/>
    <w:multiLevelType w:val="hybridMultilevel"/>
    <w:tmpl w:val="FF340854"/>
    <w:lvl w:ilvl="0" w:tplc="F35CB91E">
      <w:start w:val="1"/>
      <w:numFmt w:val="bullet"/>
      <w:lvlText w:val="•"/>
      <w:lvlJc w:val="left"/>
      <w:pPr>
        <w:ind w:left="720" w:hanging="360"/>
      </w:pPr>
    </w:lvl>
    <w:lvl w:ilvl="1" w:tplc="4F0027BC">
      <w:numFmt w:val="decimal"/>
      <w:lvlText w:val=""/>
      <w:lvlJc w:val="left"/>
    </w:lvl>
    <w:lvl w:ilvl="2" w:tplc="DCE617DA">
      <w:numFmt w:val="decimal"/>
      <w:lvlText w:val=""/>
      <w:lvlJc w:val="left"/>
    </w:lvl>
    <w:lvl w:ilvl="3" w:tplc="52FAC1BC">
      <w:numFmt w:val="decimal"/>
      <w:lvlText w:val=""/>
      <w:lvlJc w:val="left"/>
    </w:lvl>
    <w:lvl w:ilvl="4" w:tplc="E8246976">
      <w:numFmt w:val="decimal"/>
      <w:lvlText w:val=""/>
      <w:lvlJc w:val="left"/>
    </w:lvl>
    <w:lvl w:ilvl="5" w:tplc="50C4F112">
      <w:numFmt w:val="decimal"/>
      <w:lvlText w:val=""/>
      <w:lvlJc w:val="left"/>
    </w:lvl>
    <w:lvl w:ilvl="6" w:tplc="E4041AA4">
      <w:numFmt w:val="decimal"/>
      <w:lvlText w:val=""/>
      <w:lvlJc w:val="left"/>
    </w:lvl>
    <w:lvl w:ilvl="7" w:tplc="546ABFE6">
      <w:numFmt w:val="decimal"/>
      <w:lvlText w:val=""/>
      <w:lvlJc w:val="left"/>
    </w:lvl>
    <w:lvl w:ilvl="8" w:tplc="88EC6BF4">
      <w:numFmt w:val="decimal"/>
      <w:lvlText w:val=""/>
      <w:lvlJc w:val="left"/>
    </w:lvl>
  </w:abstractNum>
  <w:abstractNum w:abstractNumId="19" w15:restartNumberingAfterBreak="0">
    <w:nsid w:val="03448843"/>
    <w:multiLevelType w:val="hybridMultilevel"/>
    <w:tmpl w:val="55527BAE"/>
    <w:lvl w:ilvl="0" w:tplc="3E26AF68">
      <w:start w:val="1"/>
      <w:numFmt w:val="bullet"/>
      <w:lvlText w:val="•"/>
      <w:lvlJc w:val="left"/>
      <w:pPr>
        <w:ind w:left="720" w:hanging="360"/>
      </w:pPr>
    </w:lvl>
    <w:lvl w:ilvl="1" w:tplc="C5D89CA0">
      <w:numFmt w:val="decimal"/>
      <w:lvlText w:val=""/>
      <w:lvlJc w:val="left"/>
    </w:lvl>
    <w:lvl w:ilvl="2" w:tplc="0F6C134C">
      <w:numFmt w:val="decimal"/>
      <w:lvlText w:val=""/>
      <w:lvlJc w:val="left"/>
    </w:lvl>
    <w:lvl w:ilvl="3" w:tplc="91247A8C">
      <w:numFmt w:val="decimal"/>
      <w:lvlText w:val=""/>
      <w:lvlJc w:val="left"/>
    </w:lvl>
    <w:lvl w:ilvl="4" w:tplc="C324B950">
      <w:numFmt w:val="decimal"/>
      <w:lvlText w:val=""/>
      <w:lvlJc w:val="left"/>
    </w:lvl>
    <w:lvl w:ilvl="5" w:tplc="A84E39D0">
      <w:numFmt w:val="decimal"/>
      <w:lvlText w:val=""/>
      <w:lvlJc w:val="left"/>
    </w:lvl>
    <w:lvl w:ilvl="6" w:tplc="6CA207AC">
      <w:numFmt w:val="decimal"/>
      <w:lvlText w:val=""/>
      <w:lvlJc w:val="left"/>
    </w:lvl>
    <w:lvl w:ilvl="7" w:tplc="A38CCFE8">
      <w:numFmt w:val="decimal"/>
      <w:lvlText w:val=""/>
      <w:lvlJc w:val="left"/>
    </w:lvl>
    <w:lvl w:ilvl="8" w:tplc="7EE0C040">
      <w:numFmt w:val="decimal"/>
      <w:lvlText w:val=""/>
      <w:lvlJc w:val="left"/>
    </w:lvl>
  </w:abstractNum>
  <w:abstractNum w:abstractNumId="20" w15:restartNumberingAfterBreak="0">
    <w:nsid w:val="034F814E"/>
    <w:multiLevelType w:val="hybridMultilevel"/>
    <w:tmpl w:val="E8A2332E"/>
    <w:lvl w:ilvl="0" w:tplc="F7647346">
      <w:start w:val="1"/>
      <w:numFmt w:val="bullet"/>
      <w:lvlText w:val="•"/>
      <w:lvlJc w:val="left"/>
      <w:pPr>
        <w:ind w:left="720" w:hanging="360"/>
      </w:pPr>
    </w:lvl>
    <w:lvl w:ilvl="1" w:tplc="DE32CCE0">
      <w:numFmt w:val="decimal"/>
      <w:lvlText w:val=""/>
      <w:lvlJc w:val="left"/>
    </w:lvl>
    <w:lvl w:ilvl="2" w:tplc="577E14D2">
      <w:numFmt w:val="decimal"/>
      <w:lvlText w:val=""/>
      <w:lvlJc w:val="left"/>
    </w:lvl>
    <w:lvl w:ilvl="3" w:tplc="FC4822C6">
      <w:numFmt w:val="decimal"/>
      <w:lvlText w:val=""/>
      <w:lvlJc w:val="left"/>
    </w:lvl>
    <w:lvl w:ilvl="4" w:tplc="6B5AC378">
      <w:numFmt w:val="decimal"/>
      <w:lvlText w:val=""/>
      <w:lvlJc w:val="left"/>
    </w:lvl>
    <w:lvl w:ilvl="5" w:tplc="737608A2">
      <w:numFmt w:val="decimal"/>
      <w:lvlText w:val=""/>
      <w:lvlJc w:val="left"/>
    </w:lvl>
    <w:lvl w:ilvl="6" w:tplc="6ACEE974">
      <w:numFmt w:val="decimal"/>
      <w:lvlText w:val=""/>
      <w:lvlJc w:val="left"/>
    </w:lvl>
    <w:lvl w:ilvl="7" w:tplc="C26C2E4E">
      <w:numFmt w:val="decimal"/>
      <w:lvlText w:val=""/>
      <w:lvlJc w:val="left"/>
    </w:lvl>
    <w:lvl w:ilvl="8" w:tplc="B308A912">
      <w:numFmt w:val="decimal"/>
      <w:lvlText w:val=""/>
      <w:lvlJc w:val="left"/>
    </w:lvl>
  </w:abstractNum>
  <w:abstractNum w:abstractNumId="21" w15:restartNumberingAfterBreak="0">
    <w:nsid w:val="03557CD7"/>
    <w:multiLevelType w:val="hybridMultilevel"/>
    <w:tmpl w:val="9FA03D0E"/>
    <w:lvl w:ilvl="0" w:tplc="8FF8AD1C">
      <w:start w:val="1"/>
      <w:numFmt w:val="bullet"/>
      <w:lvlText w:val="•"/>
      <w:lvlJc w:val="left"/>
      <w:pPr>
        <w:ind w:left="720" w:hanging="360"/>
      </w:pPr>
    </w:lvl>
    <w:lvl w:ilvl="1" w:tplc="90B4C062">
      <w:numFmt w:val="decimal"/>
      <w:lvlText w:val=""/>
      <w:lvlJc w:val="left"/>
    </w:lvl>
    <w:lvl w:ilvl="2" w:tplc="F8D4A304">
      <w:numFmt w:val="decimal"/>
      <w:lvlText w:val=""/>
      <w:lvlJc w:val="left"/>
    </w:lvl>
    <w:lvl w:ilvl="3" w:tplc="393C04EC">
      <w:numFmt w:val="decimal"/>
      <w:lvlText w:val=""/>
      <w:lvlJc w:val="left"/>
    </w:lvl>
    <w:lvl w:ilvl="4" w:tplc="50C63B0E">
      <w:numFmt w:val="decimal"/>
      <w:lvlText w:val=""/>
      <w:lvlJc w:val="left"/>
    </w:lvl>
    <w:lvl w:ilvl="5" w:tplc="D7568B50">
      <w:numFmt w:val="decimal"/>
      <w:lvlText w:val=""/>
      <w:lvlJc w:val="left"/>
    </w:lvl>
    <w:lvl w:ilvl="6" w:tplc="161699D4">
      <w:numFmt w:val="decimal"/>
      <w:lvlText w:val=""/>
      <w:lvlJc w:val="left"/>
    </w:lvl>
    <w:lvl w:ilvl="7" w:tplc="CDC6DB50">
      <w:numFmt w:val="decimal"/>
      <w:lvlText w:val=""/>
      <w:lvlJc w:val="left"/>
    </w:lvl>
    <w:lvl w:ilvl="8" w:tplc="1C147DE8">
      <w:numFmt w:val="decimal"/>
      <w:lvlText w:val=""/>
      <w:lvlJc w:val="left"/>
    </w:lvl>
  </w:abstractNum>
  <w:abstractNum w:abstractNumId="22" w15:restartNumberingAfterBreak="0">
    <w:nsid w:val="0395CD89"/>
    <w:multiLevelType w:val="hybridMultilevel"/>
    <w:tmpl w:val="176A8376"/>
    <w:lvl w:ilvl="0" w:tplc="DBC0EDB4">
      <w:start w:val="1"/>
      <w:numFmt w:val="bullet"/>
      <w:lvlText w:val="•"/>
      <w:lvlJc w:val="left"/>
      <w:pPr>
        <w:ind w:left="720" w:hanging="360"/>
      </w:pPr>
    </w:lvl>
    <w:lvl w:ilvl="1" w:tplc="C9DEE424">
      <w:numFmt w:val="decimal"/>
      <w:lvlText w:val=""/>
      <w:lvlJc w:val="left"/>
    </w:lvl>
    <w:lvl w:ilvl="2" w:tplc="EBA22A76">
      <w:numFmt w:val="decimal"/>
      <w:lvlText w:val=""/>
      <w:lvlJc w:val="left"/>
    </w:lvl>
    <w:lvl w:ilvl="3" w:tplc="564059CC">
      <w:numFmt w:val="decimal"/>
      <w:lvlText w:val=""/>
      <w:lvlJc w:val="left"/>
    </w:lvl>
    <w:lvl w:ilvl="4" w:tplc="4D1EF632">
      <w:numFmt w:val="decimal"/>
      <w:lvlText w:val=""/>
      <w:lvlJc w:val="left"/>
    </w:lvl>
    <w:lvl w:ilvl="5" w:tplc="8062B92A">
      <w:numFmt w:val="decimal"/>
      <w:lvlText w:val=""/>
      <w:lvlJc w:val="left"/>
    </w:lvl>
    <w:lvl w:ilvl="6" w:tplc="F626D558">
      <w:numFmt w:val="decimal"/>
      <w:lvlText w:val=""/>
      <w:lvlJc w:val="left"/>
    </w:lvl>
    <w:lvl w:ilvl="7" w:tplc="4E0A3626">
      <w:numFmt w:val="decimal"/>
      <w:lvlText w:val=""/>
      <w:lvlJc w:val="left"/>
    </w:lvl>
    <w:lvl w:ilvl="8" w:tplc="DB54D93E">
      <w:numFmt w:val="decimal"/>
      <w:lvlText w:val=""/>
      <w:lvlJc w:val="left"/>
    </w:lvl>
  </w:abstractNum>
  <w:abstractNum w:abstractNumId="23" w15:restartNumberingAfterBreak="0">
    <w:nsid w:val="039E2320"/>
    <w:multiLevelType w:val="hybridMultilevel"/>
    <w:tmpl w:val="FEACB43A"/>
    <w:lvl w:ilvl="0" w:tplc="C8BEB3FC">
      <w:start w:val="1"/>
      <w:numFmt w:val="bullet"/>
      <w:lvlText w:val="•"/>
      <w:lvlJc w:val="left"/>
      <w:pPr>
        <w:ind w:left="720" w:hanging="360"/>
      </w:pPr>
    </w:lvl>
    <w:lvl w:ilvl="1" w:tplc="41F25758">
      <w:numFmt w:val="decimal"/>
      <w:lvlText w:val=""/>
      <w:lvlJc w:val="left"/>
    </w:lvl>
    <w:lvl w:ilvl="2" w:tplc="648E2A40">
      <w:numFmt w:val="decimal"/>
      <w:lvlText w:val=""/>
      <w:lvlJc w:val="left"/>
    </w:lvl>
    <w:lvl w:ilvl="3" w:tplc="3940DB84">
      <w:numFmt w:val="decimal"/>
      <w:lvlText w:val=""/>
      <w:lvlJc w:val="left"/>
    </w:lvl>
    <w:lvl w:ilvl="4" w:tplc="075A4D4E">
      <w:numFmt w:val="decimal"/>
      <w:lvlText w:val=""/>
      <w:lvlJc w:val="left"/>
    </w:lvl>
    <w:lvl w:ilvl="5" w:tplc="1B8C45C4">
      <w:numFmt w:val="decimal"/>
      <w:lvlText w:val=""/>
      <w:lvlJc w:val="left"/>
    </w:lvl>
    <w:lvl w:ilvl="6" w:tplc="D5106018">
      <w:numFmt w:val="decimal"/>
      <w:lvlText w:val=""/>
      <w:lvlJc w:val="left"/>
    </w:lvl>
    <w:lvl w:ilvl="7" w:tplc="CF662E64">
      <w:numFmt w:val="decimal"/>
      <w:lvlText w:val=""/>
      <w:lvlJc w:val="left"/>
    </w:lvl>
    <w:lvl w:ilvl="8" w:tplc="FEE07388">
      <w:numFmt w:val="decimal"/>
      <w:lvlText w:val=""/>
      <w:lvlJc w:val="left"/>
    </w:lvl>
  </w:abstractNum>
  <w:abstractNum w:abstractNumId="24" w15:restartNumberingAfterBreak="0">
    <w:nsid w:val="03C09FD6"/>
    <w:multiLevelType w:val="hybridMultilevel"/>
    <w:tmpl w:val="60BA371A"/>
    <w:lvl w:ilvl="0" w:tplc="2D4E8D4E">
      <w:start w:val="1"/>
      <w:numFmt w:val="bullet"/>
      <w:lvlText w:val="•"/>
      <w:lvlJc w:val="left"/>
      <w:pPr>
        <w:ind w:left="720" w:hanging="360"/>
      </w:pPr>
    </w:lvl>
    <w:lvl w:ilvl="1" w:tplc="8226837A">
      <w:numFmt w:val="decimal"/>
      <w:lvlText w:val=""/>
      <w:lvlJc w:val="left"/>
    </w:lvl>
    <w:lvl w:ilvl="2" w:tplc="85F8EAC4">
      <w:numFmt w:val="decimal"/>
      <w:lvlText w:val=""/>
      <w:lvlJc w:val="left"/>
    </w:lvl>
    <w:lvl w:ilvl="3" w:tplc="011CFEAA">
      <w:numFmt w:val="decimal"/>
      <w:lvlText w:val=""/>
      <w:lvlJc w:val="left"/>
    </w:lvl>
    <w:lvl w:ilvl="4" w:tplc="75C8DBC0">
      <w:numFmt w:val="decimal"/>
      <w:lvlText w:val=""/>
      <w:lvlJc w:val="left"/>
    </w:lvl>
    <w:lvl w:ilvl="5" w:tplc="1876DDFE">
      <w:numFmt w:val="decimal"/>
      <w:lvlText w:val=""/>
      <w:lvlJc w:val="left"/>
    </w:lvl>
    <w:lvl w:ilvl="6" w:tplc="D33051EC">
      <w:numFmt w:val="decimal"/>
      <w:lvlText w:val=""/>
      <w:lvlJc w:val="left"/>
    </w:lvl>
    <w:lvl w:ilvl="7" w:tplc="1A5C8AC4">
      <w:numFmt w:val="decimal"/>
      <w:lvlText w:val=""/>
      <w:lvlJc w:val="left"/>
    </w:lvl>
    <w:lvl w:ilvl="8" w:tplc="F7FE5EB8">
      <w:numFmt w:val="decimal"/>
      <w:lvlText w:val=""/>
      <w:lvlJc w:val="left"/>
    </w:lvl>
  </w:abstractNum>
  <w:abstractNum w:abstractNumId="25" w15:restartNumberingAfterBreak="0">
    <w:nsid w:val="03DE071E"/>
    <w:multiLevelType w:val="hybridMultilevel"/>
    <w:tmpl w:val="1B8E831A"/>
    <w:lvl w:ilvl="0" w:tplc="F52C3354">
      <w:start w:val="1"/>
      <w:numFmt w:val="bullet"/>
      <w:lvlText w:val="•"/>
      <w:lvlJc w:val="left"/>
      <w:pPr>
        <w:ind w:left="720" w:hanging="360"/>
      </w:pPr>
    </w:lvl>
    <w:lvl w:ilvl="1" w:tplc="75BC37C4">
      <w:numFmt w:val="decimal"/>
      <w:lvlText w:val=""/>
      <w:lvlJc w:val="left"/>
    </w:lvl>
    <w:lvl w:ilvl="2" w:tplc="A6D0E5FA">
      <w:numFmt w:val="decimal"/>
      <w:lvlText w:val=""/>
      <w:lvlJc w:val="left"/>
    </w:lvl>
    <w:lvl w:ilvl="3" w:tplc="54B65BFA">
      <w:numFmt w:val="decimal"/>
      <w:lvlText w:val=""/>
      <w:lvlJc w:val="left"/>
    </w:lvl>
    <w:lvl w:ilvl="4" w:tplc="1EE6BF7A">
      <w:numFmt w:val="decimal"/>
      <w:lvlText w:val=""/>
      <w:lvlJc w:val="left"/>
    </w:lvl>
    <w:lvl w:ilvl="5" w:tplc="5D805130">
      <w:numFmt w:val="decimal"/>
      <w:lvlText w:val=""/>
      <w:lvlJc w:val="left"/>
    </w:lvl>
    <w:lvl w:ilvl="6" w:tplc="1BDC2B08">
      <w:numFmt w:val="decimal"/>
      <w:lvlText w:val=""/>
      <w:lvlJc w:val="left"/>
    </w:lvl>
    <w:lvl w:ilvl="7" w:tplc="5BC03850">
      <w:numFmt w:val="decimal"/>
      <w:lvlText w:val=""/>
      <w:lvlJc w:val="left"/>
    </w:lvl>
    <w:lvl w:ilvl="8" w:tplc="B3289394">
      <w:numFmt w:val="decimal"/>
      <w:lvlText w:val=""/>
      <w:lvlJc w:val="left"/>
    </w:lvl>
  </w:abstractNum>
  <w:abstractNum w:abstractNumId="26" w15:restartNumberingAfterBreak="0">
    <w:nsid w:val="03FE5860"/>
    <w:multiLevelType w:val="hybridMultilevel"/>
    <w:tmpl w:val="AEDE2664"/>
    <w:lvl w:ilvl="0" w:tplc="270A33BA">
      <w:start w:val="1"/>
      <w:numFmt w:val="bullet"/>
      <w:lvlText w:val="•"/>
      <w:lvlJc w:val="left"/>
      <w:pPr>
        <w:ind w:left="720" w:hanging="360"/>
      </w:pPr>
    </w:lvl>
    <w:lvl w:ilvl="1" w:tplc="B99872AE">
      <w:numFmt w:val="decimal"/>
      <w:lvlText w:val=""/>
      <w:lvlJc w:val="left"/>
    </w:lvl>
    <w:lvl w:ilvl="2" w:tplc="EF2C0BDC">
      <w:numFmt w:val="decimal"/>
      <w:lvlText w:val=""/>
      <w:lvlJc w:val="left"/>
    </w:lvl>
    <w:lvl w:ilvl="3" w:tplc="5DB8DBEC">
      <w:numFmt w:val="decimal"/>
      <w:lvlText w:val=""/>
      <w:lvlJc w:val="left"/>
    </w:lvl>
    <w:lvl w:ilvl="4" w:tplc="9B44F566">
      <w:numFmt w:val="decimal"/>
      <w:lvlText w:val=""/>
      <w:lvlJc w:val="left"/>
    </w:lvl>
    <w:lvl w:ilvl="5" w:tplc="F0849FD8">
      <w:numFmt w:val="decimal"/>
      <w:lvlText w:val=""/>
      <w:lvlJc w:val="left"/>
    </w:lvl>
    <w:lvl w:ilvl="6" w:tplc="C400A7A2">
      <w:numFmt w:val="decimal"/>
      <w:lvlText w:val=""/>
      <w:lvlJc w:val="left"/>
    </w:lvl>
    <w:lvl w:ilvl="7" w:tplc="928EDFF4">
      <w:numFmt w:val="decimal"/>
      <w:lvlText w:val=""/>
      <w:lvlJc w:val="left"/>
    </w:lvl>
    <w:lvl w:ilvl="8" w:tplc="36C458E8">
      <w:numFmt w:val="decimal"/>
      <w:lvlText w:val=""/>
      <w:lvlJc w:val="left"/>
    </w:lvl>
  </w:abstractNum>
  <w:abstractNum w:abstractNumId="27" w15:restartNumberingAfterBreak="0">
    <w:nsid w:val="042D9AA2"/>
    <w:multiLevelType w:val="hybridMultilevel"/>
    <w:tmpl w:val="3E76AD22"/>
    <w:lvl w:ilvl="0" w:tplc="8FD465D4">
      <w:start w:val="1"/>
      <w:numFmt w:val="bullet"/>
      <w:lvlText w:val="•"/>
      <w:lvlJc w:val="left"/>
      <w:pPr>
        <w:ind w:left="720" w:hanging="360"/>
      </w:pPr>
    </w:lvl>
    <w:lvl w:ilvl="1" w:tplc="F8A0DF00">
      <w:numFmt w:val="decimal"/>
      <w:lvlText w:val=""/>
      <w:lvlJc w:val="left"/>
    </w:lvl>
    <w:lvl w:ilvl="2" w:tplc="B9847F0E">
      <w:numFmt w:val="decimal"/>
      <w:lvlText w:val=""/>
      <w:lvlJc w:val="left"/>
    </w:lvl>
    <w:lvl w:ilvl="3" w:tplc="E2D4A2C4">
      <w:numFmt w:val="decimal"/>
      <w:lvlText w:val=""/>
      <w:lvlJc w:val="left"/>
    </w:lvl>
    <w:lvl w:ilvl="4" w:tplc="B46ACC30">
      <w:numFmt w:val="decimal"/>
      <w:lvlText w:val=""/>
      <w:lvlJc w:val="left"/>
    </w:lvl>
    <w:lvl w:ilvl="5" w:tplc="DD246932">
      <w:numFmt w:val="decimal"/>
      <w:lvlText w:val=""/>
      <w:lvlJc w:val="left"/>
    </w:lvl>
    <w:lvl w:ilvl="6" w:tplc="FA44CE54">
      <w:numFmt w:val="decimal"/>
      <w:lvlText w:val=""/>
      <w:lvlJc w:val="left"/>
    </w:lvl>
    <w:lvl w:ilvl="7" w:tplc="20D02DC0">
      <w:numFmt w:val="decimal"/>
      <w:lvlText w:val=""/>
      <w:lvlJc w:val="left"/>
    </w:lvl>
    <w:lvl w:ilvl="8" w:tplc="7124D320">
      <w:numFmt w:val="decimal"/>
      <w:lvlText w:val=""/>
      <w:lvlJc w:val="left"/>
    </w:lvl>
  </w:abstractNum>
  <w:abstractNum w:abstractNumId="28" w15:restartNumberingAfterBreak="0">
    <w:nsid w:val="0453AFC6"/>
    <w:multiLevelType w:val="hybridMultilevel"/>
    <w:tmpl w:val="377C0F38"/>
    <w:lvl w:ilvl="0" w:tplc="250824A8">
      <w:start w:val="1"/>
      <w:numFmt w:val="bullet"/>
      <w:lvlText w:val="•"/>
      <w:lvlJc w:val="left"/>
      <w:pPr>
        <w:ind w:left="720" w:hanging="360"/>
      </w:pPr>
    </w:lvl>
    <w:lvl w:ilvl="1" w:tplc="961ADF0A">
      <w:numFmt w:val="decimal"/>
      <w:lvlText w:val=""/>
      <w:lvlJc w:val="left"/>
    </w:lvl>
    <w:lvl w:ilvl="2" w:tplc="151C2A60">
      <w:numFmt w:val="decimal"/>
      <w:lvlText w:val=""/>
      <w:lvlJc w:val="left"/>
    </w:lvl>
    <w:lvl w:ilvl="3" w:tplc="FD7C0444">
      <w:numFmt w:val="decimal"/>
      <w:lvlText w:val=""/>
      <w:lvlJc w:val="left"/>
    </w:lvl>
    <w:lvl w:ilvl="4" w:tplc="24C6388E">
      <w:numFmt w:val="decimal"/>
      <w:lvlText w:val=""/>
      <w:lvlJc w:val="left"/>
    </w:lvl>
    <w:lvl w:ilvl="5" w:tplc="1A2C619C">
      <w:numFmt w:val="decimal"/>
      <w:lvlText w:val=""/>
      <w:lvlJc w:val="left"/>
    </w:lvl>
    <w:lvl w:ilvl="6" w:tplc="065072CE">
      <w:numFmt w:val="decimal"/>
      <w:lvlText w:val=""/>
      <w:lvlJc w:val="left"/>
    </w:lvl>
    <w:lvl w:ilvl="7" w:tplc="E8967A26">
      <w:numFmt w:val="decimal"/>
      <w:lvlText w:val=""/>
      <w:lvlJc w:val="left"/>
    </w:lvl>
    <w:lvl w:ilvl="8" w:tplc="6276B076">
      <w:numFmt w:val="decimal"/>
      <w:lvlText w:val=""/>
      <w:lvlJc w:val="left"/>
    </w:lvl>
  </w:abstractNum>
  <w:abstractNum w:abstractNumId="29" w15:restartNumberingAfterBreak="0">
    <w:nsid w:val="0482658A"/>
    <w:multiLevelType w:val="hybridMultilevel"/>
    <w:tmpl w:val="920EAF2A"/>
    <w:lvl w:ilvl="0" w:tplc="82F22114">
      <w:start w:val="1"/>
      <w:numFmt w:val="bullet"/>
      <w:lvlText w:val="•"/>
      <w:lvlJc w:val="left"/>
      <w:pPr>
        <w:ind w:left="720" w:hanging="360"/>
      </w:pPr>
    </w:lvl>
    <w:lvl w:ilvl="1" w:tplc="67BC250E">
      <w:numFmt w:val="decimal"/>
      <w:lvlText w:val=""/>
      <w:lvlJc w:val="left"/>
    </w:lvl>
    <w:lvl w:ilvl="2" w:tplc="15E0869C">
      <w:numFmt w:val="decimal"/>
      <w:lvlText w:val=""/>
      <w:lvlJc w:val="left"/>
    </w:lvl>
    <w:lvl w:ilvl="3" w:tplc="7BE0DCD6">
      <w:numFmt w:val="decimal"/>
      <w:lvlText w:val=""/>
      <w:lvlJc w:val="left"/>
    </w:lvl>
    <w:lvl w:ilvl="4" w:tplc="89667014">
      <w:numFmt w:val="decimal"/>
      <w:lvlText w:val=""/>
      <w:lvlJc w:val="left"/>
    </w:lvl>
    <w:lvl w:ilvl="5" w:tplc="454A7D62">
      <w:numFmt w:val="decimal"/>
      <w:lvlText w:val=""/>
      <w:lvlJc w:val="left"/>
    </w:lvl>
    <w:lvl w:ilvl="6" w:tplc="AF70D7B6">
      <w:numFmt w:val="decimal"/>
      <w:lvlText w:val=""/>
      <w:lvlJc w:val="left"/>
    </w:lvl>
    <w:lvl w:ilvl="7" w:tplc="151AC5FA">
      <w:numFmt w:val="decimal"/>
      <w:lvlText w:val=""/>
      <w:lvlJc w:val="left"/>
    </w:lvl>
    <w:lvl w:ilvl="8" w:tplc="8F7AD174">
      <w:numFmt w:val="decimal"/>
      <w:lvlText w:val=""/>
      <w:lvlJc w:val="left"/>
    </w:lvl>
  </w:abstractNum>
  <w:abstractNum w:abstractNumId="30" w15:restartNumberingAfterBreak="0">
    <w:nsid w:val="04923FF2"/>
    <w:multiLevelType w:val="hybridMultilevel"/>
    <w:tmpl w:val="A33A5C42"/>
    <w:lvl w:ilvl="0" w:tplc="E64A41AE">
      <w:start w:val="1"/>
      <w:numFmt w:val="bullet"/>
      <w:lvlText w:val="•"/>
      <w:lvlJc w:val="left"/>
      <w:pPr>
        <w:ind w:left="720" w:hanging="360"/>
      </w:pPr>
    </w:lvl>
    <w:lvl w:ilvl="1" w:tplc="401835EC">
      <w:numFmt w:val="decimal"/>
      <w:lvlText w:val=""/>
      <w:lvlJc w:val="left"/>
    </w:lvl>
    <w:lvl w:ilvl="2" w:tplc="15AA714E">
      <w:numFmt w:val="decimal"/>
      <w:lvlText w:val=""/>
      <w:lvlJc w:val="left"/>
    </w:lvl>
    <w:lvl w:ilvl="3" w:tplc="1F763676">
      <w:numFmt w:val="decimal"/>
      <w:lvlText w:val=""/>
      <w:lvlJc w:val="left"/>
    </w:lvl>
    <w:lvl w:ilvl="4" w:tplc="D3C25EBE">
      <w:numFmt w:val="decimal"/>
      <w:lvlText w:val=""/>
      <w:lvlJc w:val="left"/>
    </w:lvl>
    <w:lvl w:ilvl="5" w:tplc="2918E690">
      <w:numFmt w:val="decimal"/>
      <w:lvlText w:val=""/>
      <w:lvlJc w:val="left"/>
    </w:lvl>
    <w:lvl w:ilvl="6" w:tplc="DCA40FBA">
      <w:numFmt w:val="decimal"/>
      <w:lvlText w:val=""/>
      <w:lvlJc w:val="left"/>
    </w:lvl>
    <w:lvl w:ilvl="7" w:tplc="91A030D2">
      <w:numFmt w:val="decimal"/>
      <w:lvlText w:val=""/>
      <w:lvlJc w:val="left"/>
    </w:lvl>
    <w:lvl w:ilvl="8" w:tplc="574A25F8">
      <w:numFmt w:val="decimal"/>
      <w:lvlText w:val=""/>
      <w:lvlJc w:val="left"/>
    </w:lvl>
  </w:abstractNum>
  <w:abstractNum w:abstractNumId="31" w15:restartNumberingAfterBreak="0">
    <w:nsid w:val="049C44C6"/>
    <w:multiLevelType w:val="hybridMultilevel"/>
    <w:tmpl w:val="00923B3A"/>
    <w:lvl w:ilvl="0" w:tplc="87F89AC6">
      <w:start w:val="1"/>
      <w:numFmt w:val="bullet"/>
      <w:lvlText w:val="•"/>
      <w:lvlJc w:val="left"/>
      <w:pPr>
        <w:ind w:left="720" w:hanging="360"/>
      </w:pPr>
    </w:lvl>
    <w:lvl w:ilvl="1" w:tplc="325C4A76">
      <w:numFmt w:val="decimal"/>
      <w:lvlText w:val=""/>
      <w:lvlJc w:val="left"/>
    </w:lvl>
    <w:lvl w:ilvl="2" w:tplc="19C64034">
      <w:numFmt w:val="decimal"/>
      <w:lvlText w:val=""/>
      <w:lvlJc w:val="left"/>
    </w:lvl>
    <w:lvl w:ilvl="3" w:tplc="7BDC45D8">
      <w:numFmt w:val="decimal"/>
      <w:lvlText w:val=""/>
      <w:lvlJc w:val="left"/>
    </w:lvl>
    <w:lvl w:ilvl="4" w:tplc="05DC138E">
      <w:numFmt w:val="decimal"/>
      <w:lvlText w:val=""/>
      <w:lvlJc w:val="left"/>
    </w:lvl>
    <w:lvl w:ilvl="5" w:tplc="821E5196">
      <w:numFmt w:val="decimal"/>
      <w:lvlText w:val=""/>
      <w:lvlJc w:val="left"/>
    </w:lvl>
    <w:lvl w:ilvl="6" w:tplc="46AEE6CE">
      <w:numFmt w:val="decimal"/>
      <w:lvlText w:val=""/>
      <w:lvlJc w:val="left"/>
    </w:lvl>
    <w:lvl w:ilvl="7" w:tplc="2BE0B976">
      <w:numFmt w:val="decimal"/>
      <w:lvlText w:val=""/>
      <w:lvlJc w:val="left"/>
    </w:lvl>
    <w:lvl w:ilvl="8" w:tplc="8D126E74">
      <w:numFmt w:val="decimal"/>
      <w:lvlText w:val=""/>
      <w:lvlJc w:val="left"/>
    </w:lvl>
  </w:abstractNum>
  <w:abstractNum w:abstractNumId="32" w15:restartNumberingAfterBreak="0">
    <w:nsid w:val="04B9B454"/>
    <w:multiLevelType w:val="hybridMultilevel"/>
    <w:tmpl w:val="07D4CB1E"/>
    <w:lvl w:ilvl="0" w:tplc="D2E2A062">
      <w:start w:val="1"/>
      <w:numFmt w:val="bullet"/>
      <w:lvlText w:val="•"/>
      <w:lvlJc w:val="left"/>
      <w:pPr>
        <w:ind w:left="720" w:hanging="360"/>
      </w:pPr>
    </w:lvl>
    <w:lvl w:ilvl="1" w:tplc="71F0A56E">
      <w:numFmt w:val="decimal"/>
      <w:lvlText w:val=""/>
      <w:lvlJc w:val="left"/>
    </w:lvl>
    <w:lvl w:ilvl="2" w:tplc="172C5548">
      <w:numFmt w:val="decimal"/>
      <w:lvlText w:val=""/>
      <w:lvlJc w:val="left"/>
    </w:lvl>
    <w:lvl w:ilvl="3" w:tplc="247ACD80">
      <w:numFmt w:val="decimal"/>
      <w:lvlText w:val=""/>
      <w:lvlJc w:val="left"/>
    </w:lvl>
    <w:lvl w:ilvl="4" w:tplc="560CA452">
      <w:numFmt w:val="decimal"/>
      <w:lvlText w:val=""/>
      <w:lvlJc w:val="left"/>
    </w:lvl>
    <w:lvl w:ilvl="5" w:tplc="6FB035CE">
      <w:numFmt w:val="decimal"/>
      <w:lvlText w:val=""/>
      <w:lvlJc w:val="left"/>
    </w:lvl>
    <w:lvl w:ilvl="6" w:tplc="8AF2CF0E">
      <w:numFmt w:val="decimal"/>
      <w:lvlText w:val=""/>
      <w:lvlJc w:val="left"/>
    </w:lvl>
    <w:lvl w:ilvl="7" w:tplc="FBE2BBDC">
      <w:numFmt w:val="decimal"/>
      <w:lvlText w:val=""/>
      <w:lvlJc w:val="left"/>
    </w:lvl>
    <w:lvl w:ilvl="8" w:tplc="5BE4D3CC">
      <w:numFmt w:val="decimal"/>
      <w:lvlText w:val=""/>
      <w:lvlJc w:val="left"/>
    </w:lvl>
  </w:abstractNum>
  <w:abstractNum w:abstractNumId="33" w15:restartNumberingAfterBreak="0">
    <w:nsid w:val="04C9F43F"/>
    <w:multiLevelType w:val="hybridMultilevel"/>
    <w:tmpl w:val="91AAB71A"/>
    <w:lvl w:ilvl="0" w:tplc="CE24DBD4">
      <w:start w:val="1"/>
      <w:numFmt w:val="bullet"/>
      <w:lvlText w:val="•"/>
      <w:lvlJc w:val="left"/>
      <w:pPr>
        <w:ind w:left="720" w:hanging="360"/>
      </w:pPr>
    </w:lvl>
    <w:lvl w:ilvl="1" w:tplc="0928C1F8">
      <w:numFmt w:val="decimal"/>
      <w:lvlText w:val=""/>
      <w:lvlJc w:val="left"/>
    </w:lvl>
    <w:lvl w:ilvl="2" w:tplc="C6206162">
      <w:numFmt w:val="decimal"/>
      <w:lvlText w:val=""/>
      <w:lvlJc w:val="left"/>
    </w:lvl>
    <w:lvl w:ilvl="3" w:tplc="708C4722">
      <w:numFmt w:val="decimal"/>
      <w:lvlText w:val=""/>
      <w:lvlJc w:val="left"/>
    </w:lvl>
    <w:lvl w:ilvl="4" w:tplc="3600F314">
      <w:numFmt w:val="decimal"/>
      <w:lvlText w:val=""/>
      <w:lvlJc w:val="left"/>
    </w:lvl>
    <w:lvl w:ilvl="5" w:tplc="02EED532">
      <w:numFmt w:val="decimal"/>
      <w:lvlText w:val=""/>
      <w:lvlJc w:val="left"/>
    </w:lvl>
    <w:lvl w:ilvl="6" w:tplc="6B9CA1EE">
      <w:numFmt w:val="decimal"/>
      <w:lvlText w:val=""/>
      <w:lvlJc w:val="left"/>
    </w:lvl>
    <w:lvl w:ilvl="7" w:tplc="B11ADE26">
      <w:numFmt w:val="decimal"/>
      <w:lvlText w:val=""/>
      <w:lvlJc w:val="left"/>
    </w:lvl>
    <w:lvl w:ilvl="8" w:tplc="E6141784">
      <w:numFmt w:val="decimal"/>
      <w:lvlText w:val=""/>
      <w:lvlJc w:val="left"/>
    </w:lvl>
  </w:abstractNum>
  <w:abstractNum w:abstractNumId="34" w15:restartNumberingAfterBreak="0">
    <w:nsid w:val="04EA4B42"/>
    <w:multiLevelType w:val="hybridMultilevel"/>
    <w:tmpl w:val="656432EC"/>
    <w:lvl w:ilvl="0" w:tplc="FECC6FF4">
      <w:start w:val="1"/>
      <w:numFmt w:val="bullet"/>
      <w:lvlText w:val="•"/>
      <w:lvlJc w:val="left"/>
      <w:pPr>
        <w:ind w:left="720" w:hanging="360"/>
      </w:pPr>
    </w:lvl>
    <w:lvl w:ilvl="1" w:tplc="6774418E">
      <w:numFmt w:val="decimal"/>
      <w:lvlText w:val=""/>
      <w:lvlJc w:val="left"/>
    </w:lvl>
    <w:lvl w:ilvl="2" w:tplc="532049AE">
      <w:numFmt w:val="decimal"/>
      <w:lvlText w:val=""/>
      <w:lvlJc w:val="left"/>
    </w:lvl>
    <w:lvl w:ilvl="3" w:tplc="1D6E84B0">
      <w:numFmt w:val="decimal"/>
      <w:lvlText w:val=""/>
      <w:lvlJc w:val="left"/>
    </w:lvl>
    <w:lvl w:ilvl="4" w:tplc="EDEAE360">
      <w:numFmt w:val="decimal"/>
      <w:lvlText w:val=""/>
      <w:lvlJc w:val="left"/>
    </w:lvl>
    <w:lvl w:ilvl="5" w:tplc="98F8F6C4">
      <w:numFmt w:val="decimal"/>
      <w:lvlText w:val=""/>
      <w:lvlJc w:val="left"/>
    </w:lvl>
    <w:lvl w:ilvl="6" w:tplc="4C20E5F2">
      <w:numFmt w:val="decimal"/>
      <w:lvlText w:val=""/>
      <w:lvlJc w:val="left"/>
    </w:lvl>
    <w:lvl w:ilvl="7" w:tplc="0CA20464">
      <w:numFmt w:val="decimal"/>
      <w:lvlText w:val=""/>
      <w:lvlJc w:val="left"/>
    </w:lvl>
    <w:lvl w:ilvl="8" w:tplc="B5B6759C">
      <w:numFmt w:val="decimal"/>
      <w:lvlText w:val=""/>
      <w:lvlJc w:val="left"/>
    </w:lvl>
  </w:abstractNum>
  <w:abstractNum w:abstractNumId="35" w15:restartNumberingAfterBreak="0">
    <w:nsid w:val="052A0E8F"/>
    <w:multiLevelType w:val="hybridMultilevel"/>
    <w:tmpl w:val="A656E110"/>
    <w:lvl w:ilvl="0" w:tplc="CDF4BA52">
      <w:start w:val="1"/>
      <w:numFmt w:val="bullet"/>
      <w:lvlText w:val="•"/>
      <w:lvlJc w:val="left"/>
      <w:pPr>
        <w:ind w:left="720" w:hanging="360"/>
      </w:pPr>
    </w:lvl>
    <w:lvl w:ilvl="1" w:tplc="82A473AC">
      <w:numFmt w:val="decimal"/>
      <w:lvlText w:val=""/>
      <w:lvlJc w:val="left"/>
    </w:lvl>
    <w:lvl w:ilvl="2" w:tplc="2F4CFD06">
      <w:numFmt w:val="decimal"/>
      <w:lvlText w:val=""/>
      <w:lvlJc w:val="left"/>
    </w:lvl>
    <w:lvl w:ilvl="3" w:tplc="5C409374">
      <w:numFmt w:val="decimal"/>
      <w:lvlText w:val=""/>
      <w:lvlJc w:val="left"/>
    </w:lvl>
    <w:lvl w:ilvl="4" w:tplc="59D84362">
      <w:numFmt w:val="decimal"/>
      <w:lvlText w:val=""/>
      <w:lvlJc w:val="left"/>
    </w:lvl>
    <w:lvl w:ilvl="5" w:tplc="57888FE0">
      <w:numFmt w:val="decimal"/>
      <w:lvlText w:val=""/>
      <w:lvlJc w:val="left"/>
    </w:lvl>
    <w:lvl w:ilvl="6" w:tplc="1FB4BC92">
      <w:numFmt w:val="decimal"/>
      <w:lvlText w:val=""/>
      <w:lvlJc w:val="left"/>
    </w:lvl>
    <w:lvl w:ilvl="7" w:tplc="A45A9424">
      <w:numFmt w:val="decimal"/>
      <w:lvlText w:val=""/>
      <w:lvlJc w:val="left"/>
    </w:lvl>
    <w:lvl w:ilvl="8" w:tplc="C7E4179C">
      <w:numFmt w:val="decimal"/>
      <w:lvlText w:val=""/>
      <w:lvlJc w:val="left"/>
    </w:lvl>
  </w:abstractNum>
  <w:abstractNum w:abstractNumId="36" w15:restartNumberingAfterBreak="0">
    <w:nsid w:val="0530FC3F"/>
    <w:multiLevelType w:val="hybridMultilevel"/>
    <w:tmpl w:val="FDF42D32"/>
    <w:lvl w:ilvl="0" w:tplc="2546578A">
      <w:start w:val="1"/>
      <w:numFmt w:val="bullet"/>
      <w:lvlText w:val="•"/>
      <w:lvlJc w:val="left"/>
      <w:pPr>
        <w:ind w:left="720" w:hanging="360"/>
      </w:pPr>
    </w:lvl>
    <w:lvl w:ilvl="1" w:tplc="DDB89F04">
      <w:numFmt w:val="decimal"/>
      <w:lvlText w:val=""/>
      <w:lvlJc w:val="left"/>
    </w:lvl>
    <w:lvl w:ilvl="2" w:tplc="CC3EF448">
      <w:numFmt w:val="decimal"/>
      <w:lvlText w:val=""/>
      <w:lvlJc w:val="left"/>
    </w:lvl>
    <w:lvl w:ilvl="3" w:tplc="FBD26B5C">
      <w:numFmt w:val="decimal"/>
      <w:lvlText w:val=""/>
      <w:lvlJc w:val="left"/>
    </w:lvl>
    <w:lvl w:ilvl="4" w:tplc="021E9750">
      <w:numFmt w:val="decimal"/>
      <w:lvlText w:val=""/>
      <w:lvlJc w:val="left"/>
    </w:lvl>
    <w:lvl w:ilvl="5" w:tplc="6058A636">
      <w:numFmt w:val="decimal"/>
      <w:lvlText w:val=""/>
      <w:lvlJc w:val="left"/>
    </w:lvl>
    <w:lvl w:ilvl="6" w:tplc="0ECE3868">
      <w:numFmt w:val="decimal"/>
      <w:lvlText w:val=""/>
      <w:lvlJc w:val="left"/>
    </w:lvl>
    <w:lvl w:ilvl="7" w:tplc="4DE8440E">
      <w:numFmt w:val="decimal"/>
      <w:lvlText w:val=""/>
      <w:lvlJc w:val="left"/>
    </w:lvl>
    <w:lvl w:ilvl="8" w:tplc="19C4BBBC">
      <w:numFmt w:val="decimal"/>
      <w:lvlText w:val=""/>
      <w:lvlJc w:val="left"/>
    </w:lvl>
  </w:abstractNum>
  <w:abstractNum w:abstractNumId="37" w15:restartNumberingAfterBreak="0">
    <w:nsid w:val="05336F53"/>
    <w:multiLevelType w:val="hybridMultilevel"/>
    <w:tmpl w:val="8C74D176"/>
    <w:lvl w:ilvl="0" w:tplc="5C48B33C">
      <w:start w:val="1"/>
      <w:numFmt w:val="bullet"/>
      <w:lvlText w:val="•"/>
      <w:lvlJc w:val="left"/>
      <w:pPr>
        <w:ind w:left="720" w:hanging="360"/>
      </w:pPr>
    </w:lvl>
    <w:lvl w:ilvl="1" w:tplc="B72EDAD2">
      <w:numFmt w:val="decimal"/>
      <w:lvlText w:val=""/>
      <w:lvlJc w:val="left"/>
    </w:lvl>
    <w:lvl w:ilvl="2" w:tplc="444472FC">
      <w:numFmt w:val="decimal"/>
      <w:lvlText w:val=""/>
      <w:lvlJc w:val="left"/>
    </w:lvl>
    <w:lvl w:ilvl="3" w:tplc="93FA846C">
      <w:numFmt w:val="decimal"/>
      <w:lvlText w:val=""/>
      <w:lvlJc w:val="left"/>
    </w:lvl>
    <w:lvl w:ilvl="4" w:tplc="A238A598">
      <w:numFmt w:val="decimal"/>
      <w:lvlText w:val=""/>
      <w:lvlJc w:val="left"/>
    </w:lvl>
    <w:lvl w:ilvl="5" w:tplc="53BA7D80">
      <w:numFmt w:val="decimal"/>
      <w:lvlText w:val=""/>
      <w:lvlJc w:val="left"/>
    </w:lvl>
    <w:lvl w:ilvl="6" w:tplc="22C68020">
      <w:numFmt w:val="decimal"/>
      <w:lvlText w:val=""/>
      <w:lvlJc w:val="left"/>
    </w:lvl>
    <w:lvl w:ilvl="7" w:tplc="ED8249E8">
      <w:numFmt w:val="decimal"/>
      <w:lvlText w:val=""/>
      <w:lvlJc w:val="left"/>
    </w:lvl>
    <w:lvl w:ilvl="8" w:tplc="BBB8F1A8">
      <w:numFmt w:val="decimal"/>
      <w:lvlText w:val=""/>
      <w:lvlJc w:val="left"/>
    </w:lvl>
  </w:abstractNum>
  <w:abstractNum w:abstractNumId="38" w15:restartNumberingAfterBreak="0">
    <w:nsid w:val="0550AB9A"/>
    <w:multiLevelType w:val="hybridMultilevel"/>
    <w:tmpl w:val="B0E49CCE"/>
    <w:lvl w:ilvl="0" w:tplc="F8B02A1A">
      <w:start w:val="1"/>
      <w:numFmt w:val="bullet"/>
      <w:lvlText w:val="•"/>
      <w:lvlJc w:val="left"/>
      <w:pPr>
        <w:ind w:left="720" w:hanging="360"/>
      </w:pPr>
    </w:lvl>
    <w:lvl w:ilvl="1" w:tplc="79E2595A">
      <w:numFmt w:val="decimal"/>
      <w:lvlText w:val=""/>
      <w:lvlJc w:val="left"/>
    </w:lvl>
    <w:lvl w:ilvl="2" w:tplc="37BA6AB4">
      <w:numFmt w:val="decimal"/>
      <w:lvlText w:val=""/>
      <w:lvlJc w:val="left"/>
    </w:lvl>
    <w:lvl w:ilvl="3" w:tplc="198A0E80">
      <w:numFmt w:val="decimal"/>
      <w:lvlText w:val=""/>
      <w:lvlJc w:val="left"/>
    </w:lvl>
    <w:lvl w:ilvl="4" w:tplc="BA2E04E8">
      <w:numFmt w:val="decimal"/>
      <w:lvlText w:val=""/>
      <w:lvlJc w:val="left"/>
    </w:lvl>
    <w:lvl w:ilvl="5" w:tplc="A67A11AE">
      <w:numFmt w:val="decimal"/>
      <w:lvlText w:val=""/>
      <w:lvlJc w:val="left"/>
    </w:lvl>
    <w:lvl w:ilvl="6" w:tplc="95A66B22">
      <w:numFmt w:val="decimal"/>
      <w:lvlText w:val=""/>
      <w:lvlJc w:val="left"/>
    </w:lvl>
    <w:lvl w:ilvl="7" w:tplc="6F324616">
      <w:numFmt w:val="decimal"/>
      <w:lvlText w:val=""/>
      <w:lvlJc w:val="left"/>
    </w:lvl>
    <w:lvl w:ilvl="8" w:tplc="427E276C">
      <w:numFmt w:val="decimal"/>
      <w:lvlText w:val=""/>
      <w:lvlJc w:val="left"/>
    </w:lvl>
  </w:abstractNum>
  <w:abstractNum w:abstractNumId="39" w15:restartNumberingAfterBreak="0">
    <w:nsid w:val="055AF687"/>
    <w:multiLevelType w:val="hybridMultilevel"/>
    <w:tmpl w:val="F320BF2C"/>
    <w:lvl w:ilvl="0" w:tplc="7BE0DF3E">
      <w:start w:val="1"/>
      <w:numFmt w:val="bullet"/>
      <w:lvlText w:val="•"/>
      <w:lvlJc w:val="left"/>
      <w:pPr>
        <w:ind w:left="720" w:hanging="360"/>
      </w:pPr>
    </w:lvl>
    <w:lvl w:ilvl="1" w:tplc="D464AF28">
      <w:numFmt w:val="decimal"/>
      <w:lvlText w:val=""/>
      <w:lvlJc w:val="left"/>
    </w:lvl>
    <w:lvl w:ilvl="2" w:tplc="18C6E55A">
      <w:numFmt w:val="decimal"/>
      <w:lvlText w:val=""/>
      <w:lvlJc w:val="left"/>
    </w:lvl>
    <w:lvl w:ilvl="3" w:tplc="4BD46FF2">
      <w:numFmt w:val="decimal"/>
      <w:lvlText w:val=""/>
      <w:lvlJc w:val="left"/>
    </w:lvl>
    <w:lvl w:ilvl="4" w:tplc="3A343D1A">
      <w:numFmt w:val="decimal"/>
      <w:lvlText w:val=""/>
      <w:lvlJc w:val="left"/>
    </w:lvl>
    <w:lvl w:ilvl="5" w:tplc="5A062F52">
      <w:numFmt w:val="decimal"/>
      <w:lvlText w:val=""/>
      <w:lvlJc w:val="left"/>
    </w:lvl>
    <w:lvl w:ilvl="6" w:tplc="BC9AE968">
      <w:numFmt w:val="decimal"/>
      <w:lvlText w:val=""/>
      <w:lvlJc w:val="left"/>
    </w:lvl>
    <w:lvl w:ilvl="7" w:tplc="D2943794">
      <w:numFmt w:val="decimal"/>
      <w:lvlText w:val=""/>
      <w:lvlJc w:val="left"/>
    </w:lvl>
    <w:lvl w:ilvl="8" w:tplc="774C4378">
      <w:numFmt w:val="decimal"/>
      <w:lvlText w:val=""/>
      <w:lvlJc w:val="left"/>
    </w:lvl>
  </w:abstractNum>
  <w:abstractNum w:abstractNumId="40" w15:restartNumberingAfterBreak="0">
    <w:nsid w:val="05933759"/>
    <w:multiLevelType w:val="hybridMultilevel"/>
    <w:tmpl w:val="306C04D0"/>
    <w:lvl w:ilvl="0" w:tplc="186EAC36">
      <w:start w:val="1"/>
      <w:numFmt w:val="bullet"/>
      <w:lvlText w:val="•"/>
      <w:lvlJc w:val="left"/>
      <w:pPr>
        <w:ind w:left="720" w:hanging="360"/>
      </w:pPr>
    </w:lvl>
    <w:lvl w:ilvl="1" w:tplc="3E3CDCBE">
      <w:numFmt w:val="decimal"/>
      <w:lvlText w:val=""/>
      <w:lvlJc w:val="left"/>
    </w:lvl>
    <w:lvl w:ilvl="2" w:tplc="EF88DF7C">
      <w:numFmt w:val="decimal"/>
      <w:lvlText w:val=""/>
      <w:lvlJc w:val="left"/>
    </w:lvl>
    <w:lvl w:ilvl="3" w:tplc="50CACC6A">
      <w:numFmt w:val="decimal"/>
      <w:lvlText w:val=""/>
      <w:lvlJc w:val="left"/>
    </w:lvl>
    <w:lvl w:ilvl="4" w:tplc="85D6C226">
      <w:numFmt w:val="decimal"/>
      <w:lvlText w:val=""/>
      <w:lvlJc w:val="left"/>
    </w:lvl>
    <w:lvl w:ilvl="5" w:tplc="DF5A387E">
      <w:numFmt w:val="decimal"/>
      <w:lvlText w:val=""/>
      <w:lvlJc w:val="left"/>
    </w:lvl>
    <w:lvl w:ilvl="6" w:tplc="825C87E6">
      <w:numFmt w:val="decimal"/>
      <w:lvlText w:val=""/>
      <w:lvlJc w:val="left"/>
    </w:lvl>
    <w:lvl w:ilvl="7" w:tplc="EA1E257A">
      <w:numFmt w:val="decimal"/>
      <w:lvlText w:val=""/>
      <w:lvlJc w:val="left"/>
    </w:lvl>
    <w:lvl w:ilvl="8" w:tplc="43E86770">
      <w:numFmt w:val="decimal"/>
      <w:lvlText w:val=""/>
      <w:lvlJc w:val="left"/>
    </w:lvl>
  </w:abstractNum>
  <w:abstractNum w:abstractNumId="41" w15:restartNumberingAfterBreak="0">
    <w:nsid w:val="550E517D"/>
    <w:multiLevelType w:val="hybridMultilevel"/>
    <w:tmpl w:val="C51A1312"/>
    <w:lvl w:ilvl="0" w:tplc="F4D4EEE0">
      <w:start w:val="1"/>
      <w:numFmt w:val="bullet"/>
      <w:lvlText w:val="•"/>
      <w:lvlJc w:val="left"/>
      <w:pPr>
        <w:ind w:left="720" w:hanging="360"/>
      </w:pPr>
    </w:lvl>
    <w:lvl w:ilvl="1" w:tplc="99FCE2B8">
      <w:start w:val="1"/>
      <w:numFmt w:val="bullet"/>
      <w:lvlText w:val="◦"/>
      <w:lvlJc w:val="left"/>
      <w:pPr>
        <w:ind w:left="1440" w:hanging="360"/>
      </w:pPr>
    </w:lvl>
    <w:lvl w:ilvl="2" w:tplc="2CB219B2">
      <w:numFmt w:val="decimal"/>
      <w:lvlText w:val=""/>
      <w:lvlJc w:val="left"/>
    </w:lvl>
    <w:lvl w:ilvl="3" w:tplc="328EFCA8">
      <w:numFmt w:val="decimal"/>
      <w:lvlText w:val=""/>
      <w:lvlJc w:val="left"/>
    </w:lvl>
    <w:lvl w:ilvl="4" w:tplc="4C1638B2">
      <w:numFmt w:val="decimal"/>
      <w:lvlText w:val=""/>
      <w:lvlJc w:val="left"/>
    </w:lvl>
    <w:lvl w:ilvl="5" w:tplc="60E6ECDA">
      <w:numFmt w:val="decimal"/>
      <w:lvlText w:val=""/>
      <w:lvlJc w:val="left"/>
    </w:lvl>
    <w:lvl w:ilvl="6" w:tplc="EB04BD5C">
      <w:numFmt w:val="decimal"/>
      <w:lvlText w:val=""/>
      <w:lvlJc w:val="left"/>
    </w:lvl>
    <w:lvl w:ilvl="7" w:tplc="FAE82F76">
      <w:numFmt w:val="decimal"/>
      <w:lvlText w:val=""/>
      <w:lvlJc w:val="left"/>
    </w:lvl>
    <w:lvl w:ilvl="8" w:tplc="0C2E86F6">
      <w:numFmt w:val="decimal"/>
      <w:lvlText w:val=""/>
      <w:lvlJc w:val="left"/>
    </w:lvl>
  </w:abstractNum>
  <w:abstractNum w:abstractNumId="42" w15:restartNumberingAfterBreak="0">
    <w:nsid w:val="56FA7056"/>
    <w:multiLevelType w:val="hybridMultilevel"/>
    <w:tmpl w:val="B274B9D8"/>
    <w:lvl w:ilvl="0" w:tplc="2A16E506">
      <w:start w:val="1"/>
      <w:numFmt w:val="bullet"/>
      <w:lvlText w:val="●"/>
      <w:lvlJc w:val="left"/>
      <w:pPr>
        <w:ind w:left="720" w:hanging="360"/>
      </w:pPr>
    </w:lvl>
    <w:lvl w:ilvl="1" w:tplc="D76E3B22">
      <w:start w:val="1"/>
      <w:numFmt w:val="bullet"/>
      <w:lvlText w:val="○"/>
      <w:lvlJc w:val="left"/>
      <w:pPr>
        <w:ind w:left="1440" w:hanging="360"/>
      </w:pPr>
    </w:lvl>
    <w:lvl w:ilvl="2" w:tplc="0924E8CE">
      <w:start w:val="1"/>
      <w:numFmt w:val="bullet"/>
      <w:lvlText w:val="■"/>
      <w:lvlJc w:val="left"/>
      <w:pPr>
        <w:ind w:left="2160" w:hanging="360"/>
      </w:pPr>
    </w:lvl>
    <w:lvl w:ilvl="3" w:tplc="BB006812">
      <w:start w:val="1"/>
      <w:numFmt w:val="bullet"/>
      <w:lvlText w:val="●"/>
      <w:lvlJc w:val="left"/>
      <w:pPr>
        <w:ind w:left="2880" w:hanging="360"/>
      </w:pPr>
    </w:lvl>
    <w:lvl w:ilvl="4" w:tplc="06CAF1D2">
      <w:start w:val="1"/>
      <w:numFmt w:val="bullet"/>
      <w:lvlText w:val="○"/>
      <w:lvlJc w:val="left"/>
      <w:pPr>
        <w:ind w:left="3600" w:hanging="360"/>
      </w:pPr>
    </w:lvl>
    <w:lvl w:ilvl="5" w:tplc="B31496DE">
      <w:start w:val="1"/>
      <w:numFmt w:val="bullet"/>
      <w:lvlText w:val="■"/>
      <w:lvlJc w:val="left"/>
      <w:pPr>
        <w:ind w:left="4320" w:hanging="360"/>
      </w:pPr>
    </w:lvl>
    <w:lvl w:ilvl="6" w:tplc="5518DE4A">
      <w:start w:val="1"/>
      <w:numFmt w:val="bullet"/>
      <w:lvlText w:val="●"/>
      <w:lvlJc w:val="left"/>
      <w:pPr>
        <w:ind w:left="5040" w:hanging="360"/>
      </w:pPr>
    </w:lvl>
    <w:lvl w:ilvl="7" w:tplc="3A2ABCE4">
      <w:start w:val="1"/>
      <w:numFmt w:val="bullet"/>
      <w:lvlText w:val="●"/>
      <w:lvlJc w:val="left"/>
      <w:pPr>
        <w:ind w:left="5760" w:hanging="360"/>
      </w:pPr>
    </w:lvl>
    <w:lvl w:ilvl="8" w:tplc="20C82456">
      <w:start w:val="1"/>
      <w:numFmt w:val="bullet"/>
      <w:lvlText w:val="●"/>
      <w:lvlJc w:val="left"/>
      <w:pPr>
        <w:ind w:left="6480" w:hanging="360"/>
      </w:pPr>
    </w:lvl>
  </w:abstractNum>
  <w:num w:numId="1" w16cid:durableId="1379938968">
    <w:abstractNumId w:val="42"/>
    <w:lvlOverride w:ilvl="0">
      <w:startOverride w:val="1"/>
    </w:lvlOverride>
  </w:num>
  <w:num w:numId="2" w16cid:durableId="588975584">
    <w:abstractNumId w:val="1"/>
    <w:lvlOverride w:ilvl="0">
      <w:startOverride w:val="1"/>
    </w:lvlOverride>
  </w:num>
  <w:num w:numId="3" w16cid:durableId="1066607535">
    <w:abstractNumId w:val="9"/>
    <w:lvlOverride w:ilvl="0">
      <w:startOverride w:val="1"/>
    </w:lvlOverride>
  </w:num>
  <w:num w:numId="4" w16cid:durableId="525681600">
    <w:abstractNumId w:val="2"/>
    <w:lvlOverride w:ilvl="0">
      <w:startOverride w:val="1"/>
    </w:lvlOverride>
  </w:num>
  <w:num w:numId="5" w16cid:durableId="525681600">
    <w:abstractNumId w:val="2"/>
    <w:lvlOverride w:ilvl="0">
      <w:startOverride w:val="1"/>
    </w:lvlOverride>
  </w:num>
  <w:num w:numId="6" w16cid:durableId="1709454052">
    <w:abstractNumId w:val="12"/>
    <w:lvlOverride w:ilvl="0">
      <w:startOverride w:val="1"/>
    </w:lvlOverride>
  </w:num>
  <w:num w:numId="7" w16cid:durableId="966280850">
    <w:abstractNumId w:val="5"/>
    <w:lvlOverride w:ilvl="0">
      <w:startOverride w:val="1"/>
    </w:lvlOverride>
  </w:num>
  <w:num w:numId="8" w16cid:durableId="966280850">
    <w:abstractNumId w:val="5"/>
    <w:lvlOverride w:ilvl="0">
      <w:startOverride w:val="1"/>
    </w:lvlOverride>
  </w:num>
  <w:num w:numId="9" w16cid:durableId="1643849613">
    <w:abstractNumId w:val="0"/>
    <w:lvlOverride w:ilvl="0">
      <w:startOverride w:val="1"/>
    </w:lvlOverride>
  </w:num>
  <w:num w:numId="10" w16cid:durableId="256405831">
    <w:abstractNumId w:val="16"/>
    <w:lvlOverride w:ilvl="0">
      <w:startOverride w:val="1"/>
    </w:lvlOverride>
  </w:num>
  <w:num w:numId="11" w16cid:durableId="1116175797">
    <w:abstractNumId w:val="10"/>
    <w:lvlOverride w:ilvl="0">
      <w:startOverride w:val="1"/>
    </w:lvlOverride>
  </w:num>
  <w:num w:numId="12" w16cid:durableId="1902979356">
    <w:abstractNumId w:val="28"/>
    <w:lvlOverride w:ilvl="0">
      <w:startOverride w:val="1"/>
    </w:lvlOverride>
  </w:num>
  <w:num w:numId="13" w16cid:durableId="1680428049">
    <w:abstractNumId w:val="24"/>
    <w:lvlOverride w:ilvl="0">
      <w:startOverride w:val="1"/>
    </w:lvlOverride>
  </w:num>
  <w:num w:numId="14" w16cid:durableId="239950967">
    <w:abstractNumId w:val="7"/>
    <w:lvlOverride w:ilvl="0">
      <w:startOverride w:val="1"/>
    </w:lvlOverride>
  </w:num>
  <w:num w:numId="15" w16cid:durableId="334116328">
    <w:abstractNumId w:val="18"/>
    <w:lvlOverride w:ilvl="0">
      <w:startOverride w:val="1"/>
    </w:lvlOverride>
  </w:num>
  <w:num w:numId="16" w16cid:durableId="950671572">
    <w:abstractNumId w:val="8"/>
    <w:lvlOverride w:ilvl="0">
      <w:startOverride w:val="1"/>
    </w:lvlOverride>
  </w:num>
  <w:num w:numId="17" w16cid:durableId="950671572">
    <w:abstractNumId w:val="8"/>
    <w:lvlOverride w:ilvl="0">
      <w:startOverride w:val="1"/>
    </w:lvlOverride>
  </w:num>
  <w:num w:numId="18" w16cid:durableId="1665743109">
    <w:abstractNumId w:val="23"/>
    <w:lvlOverride w:ilvl="0">
      <w:startOverride w:val="1"/>
    </w:lvlOverride>
  </w:num>
  <w:num w:numId="19" w16cid:durableId="118258748">
    <w:abstractNumId w:val="26"/>
    <w:lvlOverride w:ilvl="0">
      <w:startOverride w:val="1"/>
    </w:lvlOverride>
  </w:num>
  <w:num w:numId="20" w16cid:durableId="1742172766">
    <w:abstractNumId w:val="13"/>
    <w:lvlOverride w:ilvl="0">
      <w:startOverride w:val="1"/>
    </w:lvlOverride>
  </w:num>
  <w:num w:numId="21" w16cid:durableId="1619295352">
    <w:abstractNumId w:val="34"/>
    <w:lvlOverride w:ilvl="0">
      <w:startOverride w:val="1"/>
    </w:lvlOverride>
  </w:num>
  <w:num w:numId="22" w16cid:durableId="2019427623">
    <w:abstractNumId w:val="20"/>
    <w:lvlOverride w:ilvl="0">
      <w:startOverride w:val="1"/>
    </w:lvlOverride>
  </w:num>
  <w:num w:numId="23" w16cid:durableId="2000887421">
    <w:abstractNumId w:val="17"/>
    <w:lvlOverride w:ilvl="0">
      <w:startOverride w:val="1"/>
    </w:lvlOverride>
  </w:num>
  <w:num w:numId="24" w16cid:durableId="2000887421">
    <w:abstractNumId w:val="17"/>
    <w:lvlOverride w:ilvl="0">
      <w:startOverride w:val="1"/>
    </w:lvlOverride>
  </w:num>
  <w:num w:numId="25" w16cid:durableId="1616329793">
    <w:abstractNumId w:val="27"/>
    <w:lvlOverride w:ilvl="0">
      <w:startOverride w:val="1"/>
    </w:lvlOverride>
  </w:num>
  <w:num w:numId="26" w16cid:durableId="1991397084">
    <w:abstractNumId w:val="3"/>
    <w:lvlOverride w:ilvl="0">
      <w:startOverride w:val="1"/>
    </w:lvlOverride>
  </w:num>
  <w:num w:numId="27" w16cid:durableId="2083521688">
    <w:abstractNumId w:val="6"/>
    <w:lvlOverride w:ilvl="0">
      <w:startOverride w:val="1"/>
    </w:lvlOverride>
  </w:num>
  <w:num w:numId="28" w16cid:durableId="1012219227">
    <w:abstractNumId w:val="29"/>
    <w:lvlOverride w:ilvl="0">
      <w:startOverride w:val="1"/>
    </w:lvlOverride>
  </w:num>
  <w:num w:numId="29" w16cid:durableId="578248215">
    <w:abstractNumId w:val="38"/>
    <w:lvlOverride w:ilvl="0">
      <w:startOverride w:val="1"/>
    </w:lvlOverride>
  </w:num>
  <w:num w:numId="30" w16cid:durableId="1844511254">
    <w:abstractNumId w:val="40"/>
    <w:lvlOverride w:ilvl="0">
      <w:startOverride w:val="1"/>
    </w:lvlOverride>
  </w:num>
  <w:num w:numId="31" w16cid:durableId="1947033909">
    <w:abstractNumId w:val="33"/>
    <w:lvlOverride w:ilvl="0">
      <w:startOverride w:val="1"/>
    </w:lvlOverride>
  </w:num>
  <w:num w:numId="32" w16cid:durableId="671179904">
    <w:abstractNumId w:val="32"/>
    <w:lvlOverride w:ilvl="0">
      <w:startOverride w:val="1"/>
    </w:lvlOverride>
  </w:num>
  <w:num w:numId="33" w16cid:durableId="107312983">
    <w:abstractNumId w:val="31"/>
    <w:lvlOverride w:ilvl="0">
      <w:startOverride w:val="1"/>
    </w:lvlOverride>
  </w:num>
  <w:num w:numId="34" w16cid:durableId="1810707276">
    <w:abstractNumId w:val="22"/>
    <w:lvlOverride w:ilvl="0">
      <w:startOverride w:val="1"/>
    </w:lvlOverride>
  </w:num>
  <w:num w:numId="35" w16cid:durableId="250697301">
    <w:abstractNumId w:val="11"/>
    <w:lvlOverride w:ilvl="0">
      <w:startOverride w:val="1"/>
    </w:lvlOverride>
  </w:num>
  <w:num w:numId="36" w16cid:durableId="877472019">
    <w:abstractNumId w:val="39"/>
    <w:lvlOverride w:ilvl="0">
      <w:startOverride w:val="1"/>
    </w:lvlOverride>
  </w:num>
  <w:num w:numId="37" w16cid:durableId="1307784254">
    <w:abstractNumId w:val="30"/>
    <w:lvlOverride w:ilvl="0">
      <w:startOverride w:val="1"/>
    </w:lvlOverride>
  </w:num>
  <w:num w:numId="38" w16cid:durableId="969749720">
    <w:abstractNumId w:val="36"/>
    <w:lvlOverride w:ilvl="0">
      <w:startOverride w:val="1"/>
    </w:lvlOverride>
  </w:num>
  <w:num w:numId="39" w16cid:durableId="60716626">
    <w:abstractNumId w:val="21"/>
    <w:lvlOverride w:ilvl="0">
      <w:startOverride w:val="1"/>
    </w:lvlOverride>
  </w:num>
  <w:num w:numId="40" w16cid:durableId="1744596640">
    <w:abstractNumId w:val="4"/>
    <w:lvlOverride w:ilvl="0">
      <w:startOverride w:val="1"/>
    </w:lvlOverride>
  </w:num>
  <w:num w:numId="41" w16cid:durableId="686836832">
    <w:abstractNumId w:val="15"/>
    <w:lvlOverride w:ilvl="0">
      <w:startOverride w:val="1"/>
    </w:lvlOverride>
  </w:num>
  <w:num w:numId="42" w16cid:durableId="579872485">
    <w:abstractNumId w:val="25"/>
    <w:lvlOverride w:ilvl="0">
      <w:startOverride w:val="1"/>
    </w:lvlOverride>
  </w:num>
  <w:num w:numId="43" w16cid:durableId="2109999901">
    <w:abstractNumId w:val="37"/>
    <w:lvlOverride w:ilvl="0">
      <w:startOverride w:val="1"/>
    </w:lvlOverride>
  </w:num>
  <w:num w:numId="44" w16cid:durableId="1651249171">
    <w:abstractNumId w:val="19"/>
    <w:lvlOverride w:ilvl="0">
      <w:startOverride w:val="1"/>
    </w:lvlOverride>
  </w:num>
  <w:num w:numId="45" w16cid:durableId="1109007494">
    <w:abstractNumId w:val="14"/>
    <w:lvlOverride w:ilvl="0">
      <w:startOverride w:val="1"/>
    </w:lvlOverride>
  </w:num>
  <w:num w:numId="46" w16cid:durableId="803695066">
    <w:abstractNumId w:val="35"/>
    <w:lvlOverride w:ilvl="0">
      <w:startOverride w:val="1"/>
    </w:lvlOverride>
  </w:num>
  <w:num w:numId="47" w16cid:durableId="1920016016">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354"/>
    <w:rsid w:val="000E009A"/>
    <w:rsid w:val="00111354"/>
    <w:rsid w:val="00325278"/>
    <w:rsid w:val="004C669B"/>
    <w:rsid w:val="005237CE"/>
    <w:rsid w:val="00532291"/>
    <w:rsid w:val="005C5AFC"/>
    <w:rsid w:val="006821BC"/>
    <w:rsid w:val="00812EC1"/>
    <w:rsid w:val="00CF264E"/>
    <w:rsid w:val="00D43365"/>
    <w:rsid w:val="00D719AF"/>
    <w:rsid w:val="00E7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6C7615"/>
  <w15:docId w15:val="{5810803B-28AA-BA42-8C3F-71F68A5D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6"/>
      <w:szCs w:val="36"/>
    </w:rPr>
  </w:style>
  <w:style w:type="paragraph" w:styleId="Heading2">
    <w:name w:val="heading 2"/>
    <w:uiPriority w:val="9"/>
    <w:unhideWhenUsed/>
    <w:qFormat/>
    <w:pPr>
      <w:spacing w:before="280" w:after="160"/>
      <w:outlineLvl w:val="1"/>
    </w:pPr>
    <w:rPr>
      <w:b/>
      <w:bCs/>
      <w:color w:val="333333"/>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5237CE"/>
    <w:pPr>
      <w:tabs>
        <w:tab w:val="center" w:pos="4680"/>
        <w:tab w:val="right" w:pos="9360"/>
      </w:tabs>
    </w:pPr>
  </w:style>
  <w:style w:type="character" w:customStyle="1" w:styleId="HeaderChar">
    <w:name w:val="Header Char"/>
    <w:basedOn w:val="DefaultParagraphFont"/>
    <w:link w:val="Header"/>
    <w:uiPriority w:val="99"/>
    <w:semiHidden/>
    <w:rsid w:val="005237CE"/>
  </w:style>
  <w:style w:type="paragraph" w:styleId="Footer">
    <w:name w:val="footer"/>
    <w:basedOn w:val="Normal"/>
    <w:link w:val="FooterChar"/>
    <w:uiPriority w:val="99"/>
    <w:semiHidden/>
    <w:unhideWhenUsed/>
    <w:rsid w:val="005237CE"/>
    <w:pPr>
      <w:tabs>
        <w:tab w:val="center" w:pos="4680"/>
        <w:tab w:val="right" w:pos="9360"/>
      </w:tabs>
    </w:pPr>
  </w:style>
  <w:style w:type="character" w:customStyle="1" w:styleId="FooterChar">
    <w:name w:val="Footer Char"/>
    <w:basedOn w:val="DefaultParagraphFont"/>
    <w:link w:val="Footer"/>
    <w:uiPriority w:val="99"/>
    <w:semiHidden/>
    <w:rsid w:val="00523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e7560b3-a4e2-4e36-b242-176a8bf35c62">
      <Terms xmlns="http://schemas.microsoft.com/office/infopath/2007/PartnerControls"/>
    </lcf76f155ced4ddcb4097134ff3c332f>
    <TaxCatchAll xmlns="9772800e-7776-4e03-bd02-7446f9864c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C722F27607604290577A792A3BE55C" ma:contentTypeVersion="15" ma:contentTypeDescription="Create a new document." ma:contentTypeScope="" ma:versionID="bd015e6dd98630ff1275a3394087d0ec">
  <xsd:schema xmlns:xsd="http://www.w3.org/2001/XMLSchema" xmlns:xs="http://www.w3.org/2001/XMLSchema" xmlns:p="http://schemas.microsoft.com/office/2006/metadata/properties" xmlns:ns2="ee7560b3-a4e2-4e36-b242-176a8bf35c62" xmlns:ns3="9772800e-7776-4e03-bd02-7446f9864ce8" targetNamespace="http://schemas.microsoft.com/office/2006/metadata/properties" ma:root="true" ma:fieldsID="8c28884afbf0cb23722c21cd7f136932" ns2:_="" ns3:_="">
    <xsd:import namespace="ee7560b3-a4e2-4e36-b242-176a8bf35c62"/>
    <xsd:import namespace="9772800e-7776-4e03-bd02-7446f9864c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560b3-a4e2-4e36-b242-176a8bf35c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67632f-97f3-405f-a793-3fd2459728f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72800e-7776-4e03-bd02-7446f9864c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9210eb9-8930-4dd1-b2cb-7b24e36602f7}" ma:internalName="TaxCatchAll" ma:showField="CatchAllData" ma:web="9772800e-7776-4e03-bd02-7446f9864ce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DA9BBA-8DCE-4F9A-AFF6-3E0D98A43737}">
  <ds:schemaRefs>
    <ds:schemaRef ds:uri="http://schemas.microsoft.com/office/2006/metadata/properties"/>
    <ds:schemaRef ds:uri="http://schemas.microsoft.com/office/infopath/2007/PartnerControls"/>
    <ds:schemaRef ds:uri="ee7560b3-a4e2-4e36-b242-176a8bf35c62"/>
    <ds:schemaRef ds:uri="9772800e-7776-4e03-bd02-7446f9864ce8"/>
  </ds:schemaRefs>
</ds:datastoreItem>
</file>

<file path=customXml/itemProps2.xml><?xml version="1.0" encoding="utf-8"?>
<ds:datastoreItem xmlns:ds="http://schemas.openxmlformats.org/officeDocument/2006/customXml" ds:itemID="{D467E3EF-7029-4EEB-9BE1-F76F4D622F20}">
  <ds:schemaRefs>
    <ds:schemaRef ds:uri="http://schemas.microsoft.com/sharepoint/v3/contenttype/forms"/>
  </ds:schemaRefs>
</ds:datastoreItem>
</file>

<file path=customXml/itemProps3.xml><?xml version="1.0" encoding="utf-8"?>
<ds:datastoreItem xmlns:ds="http://schemas.openxmlformats.org/officeDocument/2006/customXml" ds:itemID="{D851DD5F-67CC-429D-A77A-EFCBE0ADD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560b3-a4e2-4e36-b242-176a8bf35c62"/>
    <ds:schemaRef ds:uri="9772800e-7776-4e03-bd02-7446f9864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59</Pages>
  <Words>18623</Words>
  <Characters>105831</Characters>
  <Application>Microsoft Office Word</Application>
  <DocSecurity>0</DocSecurity>
  <Lines>2150</Lines>
  <Paragraphs>963</Paragraphs>
  <ScaleCrop>false</ScaleCrop>
  <Company/>
  <LinksUpToDate>false</LinksUpToDate>
  <CharactersWithSpaces>124082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Wellington</cp:lastModifiedBy>
  <cp:revision>7</cp:revision>
  <dcterms:created xsi:type="dcterms:W3CDTF">2026-03-30T17:13:00Z</dcterms:created>
  <dcterms:modified xsi:type="dcterms:W3CDTF">2026-03-31T20:36:00Z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0x0101007FC722F27607604290577A792A3BE55C</vt:lpwstr>
  </property>
</Properties>
</file>