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1853" w14:textId="77777777" w:rsidR="009356BA" w:rsidRDefault="00000000">
      <w:pPr>
        <w:spacing w:before="200" w:after="40"/>
      </w:pPr>
      <w:r>
        <w:rPr>
          <w:b/>
          <w:bCs/>
          <w:color w:val="2D2D2D"/>
          <w:sz w:val="40"/>
          <w:szCs w:val="40"/>
        </w:rPr>
        <w:t>The ANCHOR Assessment Framework</w:t>
      </w:r>
    </w:p>
    <w:p w14:paraId="4DE41854" w14:textId="77777777" w:rsidR="009356BA" w:rsidRDefault="00000000">
      <w:pPr>
        <w:pBdr>
          <w:bottom w:val="single" w:sz="6" w:space="4" w:color="D4A843"/>
        </w:pBdr>
        <w:spacing w:after="200"/>
      </w:pPr>
      <w:proofErr w:type="spellStart"/>
      <w:r>
        <w:rPr>
          <w:i/>
          <w:iCs/>
          <w:color w:val="666666"/>
          <w:sz w:val="22"/>
          <w:szCs w:val="22"/>
        </w:rPr>
        <w:t>Assurit’s</w:t>
      </w:r>
      <w:proofErr w:type="spellEnd"/>
      <w:r>
        <w:rPr>
          <w:i/>
          <w:iCs/>
          <w:color w:val="666666"/>
          <w:sz w:val="22"/>
          <w:szCs w:val="22"/>
        </w:rPr>
        <w:t xml:space="preserve"> Standardized Six-Phase Lifecycle for Cybersecurity Maturity Assessments</w:t>
      </w:r>
    </w:p>
    <w:p w14:paraId="4DE41855" w14:textId="77777777" w:rsidR="009356BA" w:rsidRDefault="00000000">
      <w:pPr>
        <w:pStyle w:val="Heading2"/>
      </w:pPr>
      <w:r>
        <w:rPr>
          <w:sz w:val="26"/>
          <w:szCs w:val="26"/>
        </w:rPr>
        <w:t>What is ANCHOR?</w:t>
      </w:r>
    </w:p>
    <w:p w14:paraId="4DE41856" w14:textId="4BAF10A0" w:rsidR="009356BA" w:rsidRDefault="00000000">
      <w:pPr>
        <w:spacing w:after="120"/>
      </w:pPr>
      <w:r>
        <w:t xml:space="preserve">ANCHOR is </w:t>
      </w:r>
      <w:proofErr w:type="spellStart"/>
      <w:r>
        <w:t>Assurit’s</w:t>
      </w:r>
      <w:proofErr w:type="spellEnd"/>
      <w:r>
        <w:t xml:space="preserve"> assessment framework that ensures every cybersecurity maturity assessment is scoped, executed, validated, and reported consistently — regardless of agency size, timing, or complexity. Built on NIST CSF 2.0 with CMMI-based maturity scoring (Levels 0–5), ANCHOR transforms individual assessments into comparable, enterprise-level insights that support statewide risk-informed decision-making.</w:t>
      </w:r>
    </w:p>
    <w:p w14:paraId="4DE41857" w14:textId="77777777" w:rsidR="009356BA" w:rsidRDefault="00000000">
      <w:pPr>
        <w:pStyle w:val="Heading2"/>
      </w:pPr>
      <w:r>
        <w:rPr>
          <w:sz w:val="26"/>
          <w:szCs w:val="26"/>
        </w:rPr>
        <w:t>The Six Phases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356BA" w14:paraId="4DE41864" w14:textId="77777777"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1858" w14:textId="77777777" w:rsidR="009356BA" w:rsidRDefault="00000000">
            <w:pPr>
              <w:spacing w:after="20"/>
            </w:pPr>
            <w:r>
              <w:rPr>
                <w:b/>
                <w:bCs/>
                <w:color w:val="2D2D2D"/>
              </w:rPr>
              <w:t>1. ASSESS</w:t>
            </w:r>
          </w:p>
          <w:p w14:paraId="4DE41859" w14:textId="77777777" w:rsidR="009356BA" w:rsidRDefault="00000000">
            <w:pPr>
              <w:spacing w:after="60"/>
            </w:pPr>
            <w:r>
              <w:rPr>
                <w:i/>
                <w:iCs/>
                <w:color w:val="D4A843"/>
                <w:sz w:val="16"/>
                <w:szCs w:val="16"/>
              </w:rPr>
              <w:t>Plan &amp; Execute the Review</w:t>
            </w:r>
          </w:p>
          <w:p w14:paraId="4DE4185A" w14:textId="77777777" w:rsidR="009356BA" w:rsidRDefault="00000000">
            <w:pPr>
              <w:spacing w:after="60"/>
            </w:pPr>
            <w:r>
              <w:rPr>
                <w:color w:val="444444"/>
                <w:sz w:val="16"/>
                <w:szCs w:val="16"/>
              </w:rPr>
              <w:t>Establish a clear, State-validated scope before fieldwork begins. Review agency mission, complexity tier, prior assessments, and system boundaries. Conduct a formal kickoff meeting with the assigned ISO.</w:t>
            </w:r>
          </w:p>
          <w:p w14:paraId="4DE4185B" w14:textId="77777777" w:rsidR="009356BA" w:rsidRDefault="00000000">
            <w:r>
              <w:rPr>
                <w:b/>
                <w:bCs/>
                <w:color w:val="2D2D2D"/>
                <w:sz w:val="16"/>
                <w:szCs w:val="16"/>
              </w:rPr>
              <w:t xml:space="preserve">Outcome: </w:t>
            </w:r>
            <w:r>
              <w:rPr>
                <w:color w:val="444444"/>
                <w:sz w:val="16"/>
                <w:szCs w:val="16"/>
              </w:rPr>
              <w:t>Validated assessment scope with shared expectations.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185C" w14:textId="77777777" w:rsidR="009356BA" w:rsidRDefault="00000000">
            <w:pPr>
              <w:spacing w:after="20"/>
            </w:pPr>
            <w:r>
              <w:rPr>
                <w:b/>
                <w:bCs/>
                <w:color w:val="2D2D2D"/>
              </w:rPr>
              <w:t>2. NORMALIZE</w:t>
            </w:r>
          </w:p>
          <w:p w14:paraId="4DE4185D" w14:textId="77777777" w:rsidR="009356BA" w:rsidRDefault="00000000">
            <w:pPr>
              <w:spacing w:after="60"/>
            </w:pPr>
            <w:r>
              <w:rPr>
                <w:i/>
                <w:iCs/>
                <w:color w:val="D4A843"/>
                <w:sz w:val="16"/>
                <w:szCs w:val="16"/>
              </w:rPr>
              <w:t>Consistent Scoring &amp; Standards</w:t>
            </w:r>
          </w:p>
          <w:p w14:paraId="4DE4185E" w14:textId="77777777" w:rsidR="009356BA" w:rsidRDefault="00000000">
            <w:pPr>
              <w:spacing w:after="60"/>
            </w:pPr>
            <w:r>
              <w:rPr>
                <w:color w:val="444444"/>
                <w:sz w:val="16"/>
                <w:szCs w:val="16"/>
              </w:rPr>
              <w:t>Collect and organize evidence based on how controls operate in practice. Conduct structured interviews, review policies and artifacts, evaluate evidence against NIST CSF controls, and catalog all artifacts.</w:t>
            </w:r>
          </w:p>
          <w:p w14:paraId="4DE4185F" w14:textId="77777777" w:rsidR="009356BA" w:rsidRDefault="00000000">
            <w:r>
              <w:rPr>
                <w:b/>
                <w:bCs/>
                <w:color w:val="2D2D2D"/>
                <w:sz w:val="16"/>
                <w:szCs w:val="16"/>
              </w:rPr>
              <w:t xml:space="preserve">Outcome: </w:t>
            </w:r>
            <w:r>
              <w:rPr>
                <w:color w:val="444444"/>
                <w:sz w:val="16"/>
                <w:szCs w:val="16"/>
              </w:rPr>
              <w:t>A complete, verifiable evidence set mapped to applicable controls.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1860" w14:textId="77777777" w:rsidR="009356BA" w:rsidRDefault="00000000">
            <w:pPr>
              <w:spacing w:after="20"/>
            </w:pPr>
            <w:r>
              <w:rPr>
                <w:b/>
                <w:bCs/>
                <w:color w:val="2D2D2D"/>
              </w:rPr>
              <w:t>3. CONSOLIDATE</w:t>
            </w:r>
          </w:p>
          <w:p w14:paraId="4DE41861" w14:textId="77777777" w:rsidR="009356BA" w:rsidRDefault="00000000">
            <w:pPr>
              <w:spacing w:after="60"/>
            </w:pPr>
            <w:r>
              <w:rPr>
                <w:i/>
                <w:iCs/>
                <w:color w:val="D4A843"/>
                <w:sz w:val="16"/>
                <w:szCs w:val="16"/>
              </w:rPr>
              <w:t>Manage Data &amp; Artifacts</w:t>
            </w:r>
          </w:p>
          <w:p w14:paraId="4DE41862" w14:textId="77777777" w:rsidR="009356BA" w:rsidRDefault="00000000">
            <w:pPr>
              <w:spacing w:after="60"/>
            </w:pPr>
            <w:r>
              <w:rPr>
                <w:color w:val="444444"/>
                <w:sz w:val="16"/>
                <w:szCs w:val="16"/>
              </w:rPr>
              <w:t>Apply consistent scoring using CMMI-based criteria (Levels 0–5). Organize evidence by NIST CSF function and category. Apply the Evaluation Standards Guide (ESG) for calibrated interpretation.</w:t>
            </w:r>
          </w:p>
          <w:p w14:paraId="4DE41863" w14:textId="77777777" w:rsidR="009356BA" w:rsidRDefault="00000000">
            <w:r>
              <w:rPr>
                <w:b/>
                <w:bCs/>
                <w:color w:val="2D2D2D"/>
                <w:sz w:val="16"/>
                <w:szCs w:val="16"/>
              </w:rPr>
              <w:t xml:space="preserve">Outcome: </w:t>
            </w:r>
            <w:r>
              <w:rPr>
                <w:color w:val="444444"/>
                <w:sz w:val="16"/>
                <w:szCs w:val="16"/>
              </w:rPr>
              <w:t>Objective, repeatable maturity scores supported by evidence.</w:t>
            </w:r>
          </w:p>
        </w:tc>
      </w:tr>
      <w:tr w:rsidR="009356BA" w14:paraId="4DE41871" w14:textId="77777777"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1865" w14:textId="77777777" w:rsidR="009356BA" w:rsidRDefault="00000000">
            <w:pPr>
              <w:spacing w:after="20"/>
            </w:pPr>
            <w:r>
              <w:rPr>
                <w:b/>
                <w:bCs/>
                <w:color w:val="2D2D2D"/>
              </w:rPr>
              <w:t>4. HARMONIZE</w:t>
            </w:r>
          </w:p>
          <w:p w14:paraId="4DE41866" w14:textId="77777777" w:rsidR="009356BA" w:rsidRDefault="00000000">
            <w:pPr>
              <w:spacing w:after="60"/>
            </w:pPr>
            <w:r>
              <w:rPr>
                <w:i/>
                <w:iCs/>
                <w:color w:val="D4A843"/>
                <w:sz w:val="16"/>
                <w:szCs w:val="16"/>
              </w:rPr>
              <w:t>Align to Standards</w:t>
            </w:r>
          </w:p>
          <w:p w14:paraId="4DE41867" w14:textId="77777777" w:rsidR="009356BA" w:rsidRDefault="00000000">
            <w:pPr>
              <w:spacing w:after="60"/>
            </w:pPr>
            <w:r>
              <w:rPr>
                <w:color w:val="444444"/>
                <w:sz w:val="16"/>
                <w:szCs w:val="16"/>
              </w:rPr>
              <w:t>Validate technical accuracy through the mandatory Finalization Review and Technical Assurance (FRTA) gate. Confirm maturity ratings align with ESG criteria. Verify data readiness for ServiceNow GRC import.</w:t>
            </w:r>
          </w:p>
          <w:p w14:paraId="4DE41868" w14:textId="77777777" w:rsidR="009356BA" w:rsidRDefault="00000000">
            <w:r>
              <w:rPr>
                <w:b/>
                <w:bCs/>
                <w:color w:val="2D2D2D"/>
                <w:sz w:val="16"/>
                <w:szCs w:val="16"/>
              </w:rPr>
              <w:t xml:space="preserve">Outcome: </w:t>
            </w:r>
            <w:r>
              <w:rPr>
                <w:color w:val="444444"/>
                <w:sz w:val="16"/>
                <w:szCs w:val="16"/>
              </w:rPr>
              <w:t>Technically sound, implementation-ready findings validated before State delivery.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1869" w14:textId="77777777" w:rsidR="009356BA" w:rsidRDefault="00000000">
            <w:pPr>
              <w:spacing w:after="20"/>
            </w:pPr>
            <w:r>
              <w:rPr>
                <w:b/>
                <w:bCs/>
                <w:color w:val="2D2D2D"/>
              </w:rPr>
              <w:t>5. OPTIMIZE</w:t>
            </w:r>
          </w:p>
          <w:p w14:paraId="4DE4186A" w14:textId="77777777" w:rsidR="009356BA" w:rsidRDefault="00000000">
            <w:pPr>
              <w:spacing w:after="60"/>
            </w:pPr>
            <w:r>
              <w:rPr>
                <w:i/>
                <w:iCs/>
                <w:color w:val="D4A843"/>
                <w:sz w:val="16"/>
                <w:szCs w:val="16"/>
              </w:rPr>
              <w:t>Improve Continuously</w:t>
            </w:r>
          </w:p>
          <w:p w14:paraId="4DE4186B" w14:textId="77777777" w:rsidR="009356BA" w:rsidRDefault="00000000">
            <w:pPr>
              <w:spacing w:after="60"/>
            </w:pPr>
            <w:r>
              <w:rPr>
                <w:color w:val="444444"/>
                <w:sz w:val="16"/>
                <w:szCs w:val="16"/>
              </w:rPr>
              <w:t>Convert individual assessment results into enterprise insight. Identify recurring control weaknesses across agencies, analyze trends by agency size and NIST CSF function, and inform statewide remediation priorities.</w:t>
            </w:r>
          </w:p>
          <w:p w14:paraId="4DE4186C" w14:textId="77777777" w:rsidR="009356BA" w:rsidRDefault="00000000">
            <w:r>
              <w:rPr>
                <w:b/>
                <w:bCs/>
                <w:color w:val="2D2D2D"/>
                <w:sz w:val="16"/>
                <w:szCs w:val="16"/>
              </w:rPr>
              <w:t xml:space="preserve">Outcome: </w:t>
            </w:r>
            <w:r>
              <w:rPr>
                <w:color w:val="444444"/>
                <w:sz w:val="16"/>
                <w:szCs w:val="16"/>
              </w:rPr>
              <w:t>Actionable insight that supports statewide risk-informed decision-making.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186D" w14:textId="77777777" w:rsidR="009356BA" w:rsidRDefault="00000000">
            <w:pPr>
              <w:spacing w:after="20"/>
            </w:pPr>
            <w:r>
              <w:rPr>
                <w:b/>
                <w:bCs/>
                <w:color w:val="2D2D2D"/>
              </w:rPr>
              <w:t>6. REPORT</w:t>
            </w:r>
          </w:p>
          <w:p w14:paraId="4DE4186E" w14:textId="77777777" w:rsidR="009356BA" w:rsidRDefault="00000000">
            <w:pPr>
              <w:spacing w:after="60"/>
            </w:pPr>
            <w:r>
              <w:rPr>
                <w:i/>
                <w:iCs/>
                <w:color w:val="D4A843"/>
                <w:sz w:val="16"/>
                <w:szCs w:val="16"/>
              </w:rPr>
              <w:t>Deliver Actionable Results</w:t>
            </w:r>
          </w:p>
          <w:p w14:paraId="4DE4186F" w14:textId="77777777" w:rsidR="009356BA" w:rsidRDefault="00000000">
            <w:pPr>
              <w:spacing w:after="60"/>
            </w:pPr>
            <w:r>
              <w:rPr>
                <w:color w:val="444444"/>
                <w:sz w:val="16"/>
                <w:szCs w:val="16"/>
              </w:rPr>
              <w:t>Deliver clear, usable results to agencies and OSM. Conduct closeout briefings, provide dashboards with agency-level and statewide views, enable trend analysis, and import findings into ServiceNow GRC.</w:t>
            </w:r>
          </w:p>
          <w:p w14:paraId="4DE41870" w14:textId="77777777" w:rsidR="009356BA" w:rsidRDefault="00000000">
            <w:r>
              <w:rPr>
                <w:b/>
                <w:bCs/>
                <w:color w:val="2D2D2D"/>
                <w:sz w:val="16"/>
                <w:szCs w:val="16"/>
              </w:rPr>
              <w:t xml:space="preserve">Outcome: </w:t>
            </w:r>
            <w:r>
              <w:rPr>
                <w:color w:val="444444"/>
                <w:sz w:val="16"/>
                <w:szCs w:val="16"/>
              </w:rPr>
              <w:t>Transparent, GRC-ready deliverables that support remediation and oversight.</w:t>
            </w:r>
          </w:p>
        </w:tc>
      </w:tr>
    </w:tbl>
    <w:p w14:paraId="4DE41872" w14:textId="77777777" w:rsidR="009356BA" w:rsidRDefault="009356BA">
      <w:pPr>
        <w:spacing w:before="200"/>
      </w:pPr>
    </w:p>
    <w:p w14:paraId="4DE41873" w14:textId="77777777" w:rsidR="009356BA" w:rsidRDefault="00000000">
      <w:pPr>
        <w:pStyle w:val="Heading2"/>
      </w:pPr>
      <w:r>
        <w:rPr>
          <w:sz w:val="26"/>
          <w:szCs w:val="26"/>
        </w:rPr>
        <w:t>Why ANCHOR Matters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9356BA" w14:paraId="4DE41878" w14:textId="77777777">
        <w:tc>
          <w:tcPr>
            <w:tcW w:w="5040" w:type="dxa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E41874" w14:textId="77777777" w:rsidR="009356BA" w:rsidRDefault="00000000">
            <w:pPr>
              <w:spacing w:after="40"/>
            </w:pPr>
            <w:r>
              <w:rPr>
                <w:b/>
                <w:bCs/>
                <w:color w:val="2D2D2D"/>
              </w:rPr>
              <w:t>Consistency at Scale</w:t>
            </w:r>
          </w:p>
          <w:p w14:paraId="4DE41875" w14:textId="77777777" w:rsidR="009356BA" w:rsidRDefault="00000000">
            <w:r>
              <w:rPr>
                <w:color w:val="444444"/>
                <w:sz w:val="18"/>
                <w:szCs w:val="18"/>
              </w:rPr>
              <w:t>Every assessment follows the same lifecycle, evidence standards, and scoring criteria — enabling OSM to compare results across agencies and track maturity over time.</w:t>
            </w:r>
          </w:p>
        </w:tc>
        <w:tc>
          <w:tcPr>
            <w:tcW w:w="5040" w:type="dxa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E41876" w14:textId="77777777" w:rsidR="009356BA" w:rsidRDefault="00000000">
            <w:pPr>
              <w:spacing w:after="40"/>
            </w:pPr>
            <w:r>
              <w:rPr>
                <w:b/>
                <w:bCs/>
                <w:color w:val="2D2D2D"/>
              </w:rPr>
              <w:t>Evidence-Based Rigor</w:t>
            </w:r>
          </w:p>
          <w:p w14:paraId="4DE41877" w14:textId="77777777" w:rsidR="009356BA" w:rsidRDefault="00000000">
            <w:r>
              <w:rPr>
                <w:color w:val="444444"/>
                <w:sz w:val="18"/>
                <w:szCs w:val="18"/>
              </w:rPr>
              <w:t>Scores are assigned based on documented evidence, not self-reported attestations. Every finding is linked directly to validated evidence with audit traceability.</w:t>
            </w:r>
          </w:p>
        </w:tc>
      </w:tr>
      <w:tr w:rsidR="009356BA" w14:paraId="4DE4187D" w14:textId="77777777">
        <w:tc>
          <w:tcPr>
            <w:tcW w:w="5040" w:type="dxa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E41879" w14:textId="77777777" w:rsidR="009356BA" w:rsidRDefault="00000000">
            <w:pPr>
              <w:spacing w:after="40"/>
            </w:pPr>
            <w:r>
              <w:rPr>
                <w:b/>
                <w:bCs/>
                <w:color w:val="2D2D2D"/>
              </w:rPr>
              <w:t>Independent Validation</w:t>
            </w:r>
          </w:p>
          <w:p w14:paraId="4DE4187A" w14:textId="77777777" w:rsidR="009356BA" w:rsidRDefault="00000000">
            <w:r>
              <w:rPr>
                <w:color w:val="444444"/>
                <w:sz w:val="18"/>
                <w:szCs w:val="18"/>
              </w:rPr>
              <w:t>The mandatory FRTA quality gate ensures findings are reviewed by senior specialists not involved in the original assessment before State delivery.</w:t>
            </w:r>
          </w:p>
        </w:tc>
        <w:tc>
          <w:tcPr>
            <w:tcW w:w="5040" w:type="dxa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E4187B" w14:textId="77777777" w:rsidR="009356BA" w:rsidRDefault="00000000">
            <w:pPr>
              <w:spacing w:after="40"/>
            </w:pPr>
            <w:r>
              <w:rPr>
                <w:b/>
                <w:bCs/>
                <w:color w:val="2D2D2D"/>
              </w:rPr>
              <w:t>Enterprise Visibility</w:t>
            </w:r>
          </w:p>
          <w:p w14:paraId="4DE4187C" w14:textId="77777777" w:rsidR="009356BA" w:rsidRDefault="00000000">
            <w:r>
              <w:rPr>
                <w:color w:val="444444"/>
                <w:sz w:val="18"/>
                <w:szCs w:val="18"/>
              </w:rPr>
              <w:t>The Optimize and Report phases aggregate findings across all assessments to reveal statewide patterns, recurring weaknesses, and emerging threats.</w:t>
            </w:r>
          </w:p>
        </w:tc>
      </w:tr>
    </w:tbl>
    <w:p w14:paraId="4DE4187E" w14:textId="77777777" w:rsidR="009356BA" w:rsidRDefault="009356BA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356BA" w14:paraId="4DE41880" w14:textId="77777777">
        <w:tc>
          <w:tcPr>
            <w:tcW w:w="10080" w:type="dxa"/>
            <w:shd w:val="clear" w:color="auto" w:fill="FFF8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E4187F" w14:textId="77777777" w:rsidR="009356BA" w:rsidRDefault="00000000">
            <w:pPr>
              <w:jc w:val="center"/>
            </w:pPr>
            <w:r>
              <w:rPr>
                <w:b/>
                <w:bCs/>
                <w:color w:val="2D2D2D"/>
                <w:sz w:val="18"/>
                <w:szCs w:val="18"/>
              </w:rPr>
              <w:t xml:space="preserve">Key Standards:  </w:t>
            </w:r>
            <w:r>
              <w:rPr>
                <w:color w:val="555555"/>
                <w:sz w:val="18"/>
                <w:szCs w:val="18"/>
              </w:rPr>
              <w:t xml:space="preserve">NIST CSF </w:t>
            </w:r>
            <w:proofErr w:type="gramStart"/>
            <w:r>
              <w:rPr>
                <w:color w:val="555555"/>
                <w:sz w:val="18"/>
                <w:szCs w:val="18"/>
              </w:rPr>
              <w:t>2.0  •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NIST SP 800-</w:t>
            </w:r>
            <w:proofErr w:type="gramStart"/>
            <w:r>
              <w:rPr>
                <w:color w:val="555555"/>
                <w:sz w:val="18"/>
                <w:szCs w:val="18"/>
              </w:rPr>
              <w:t>53  •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NIST SP 800-</w:t>
            </w:r>
            <w:proofErr w:type="gramStart"/>
            <w:r>
              <w:rPr>
                <w:color w:val="555555"/>
                <w:sz w:val="18"/>
                <w:szCs w:val="18"/>
              </w:rPr>
              <w:t>171  •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CMMI-Based Maturity Model (Levels 0–5</w:t>
            </w:r>
            <w:proofErr w:type="gramStart"/>
            <w:r>
              <w:rPr>
                <w:color w:val="555555"/>
                <w:sz w:val="18"/>
                <w:szCs w:val="18"/>
              </w:rPr>
              <w:t>)  •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Evaluation Standards Guide (ESG)</w:t>
            </w:r>
          </w:p>
        </w:tc>
      </w:tr>
    </w:tbl>
    <w:p w14:paraId="4DE41881" w14:textId="77777777" w:rsidR="00F839CE" w:rsidRDefault="00F839CE"/>
    <w:sectPr w:rsidR="00F839CE">
      <w:headerReference w:type="default" r:id="rId10"/>
      <w:footerReference w:type="default" r:id="rId11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D072E" w14:textId="77777777" w:rsidR="00C929C8" w:rsidRDefault="00C929C8">
      <w:r>
        <w:separator/>
      </w:r>
    </w:p>
  </w:endnote>
  <w:endnote w:type="continuationSeparator" w:id="0">
    <w:p w14:paraId="2A7A9E3C" w14:textId="77777777" w:rsidR="00C929C8" w:rsidRDefault="00C92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41883" w14:textId="4B760BEB" w:rsidR="009356BA" w:rsidRDefault="00000000">
    <w:pPr>
      <w:pBdr>
        <w:top w:val="single" w:sz="4" w:space="4" w:color="D4A843"/>
      </w:pBdr>
      <w:spacing w:before="60"/>
      <w:jc w:val="center"/>
    </w:pPr>
    <w:r>
      <w:rPr>
        <w:color w:val="888888"/>
        <w:sz w:val="14"/>
        <w:szCs w:val="14"/>
      </w:rPr>
      <w:t xml:space="preserve">Assurit Consulting Group, </w:t>
    </w:r>
    <w:proofErr w:type="gramStart"/>
    <w:r>
      <w:rPr>
        <w:color w:val="888888"/>
        <w:sz w:val="14"/>
        <w:szCs w:val="14"/>
      </w:rPr>
      <w:t>LLC  |</w:t>
    </w:r>
    <w:proofErr w:type="gramEnd"/>
    <w:r>
      <w:rPr>
        <w:color w:val="888888"/>
        <w:sz w:val="14"/>
        <w:szCs w:val="14"/>
      </w:rPr>
      <w:t xml:space="preserve">  Proprietary &amp; </w:t>
    </w:r>
    <w:proofErr w:type="gramStart"/>
    <w:r>
      <w:rPr>
        <w:color w:val="888888"/>
        <w:sz w:val="14"/>
        <w:szCs w:val="14"/>
      </w:rPr>
      <w:t>Confidential  |</w:t>
    </w:r>
    <w:proofErr w:type="gramEnd"/>
    <w:r>
      <w:rPr>
        <w:color w:val="888888"/>
        <w:sz w:val="14"/>
        <w:szCs w:val="14"/>
      </w:rPr>
      <w:t xml:space="preserve">  Page </w:t>
    </w:r>
    <w:r>
      <w:rPr>
        <w:color w:val="888888"/>
        <w:sz w:val="14"/>
        <w:szCs w:val="14"/>
      </w:rPr>
      <w:fldChar w:fldCharType="begin"/>
    </w:r>
    <w:r>
      <w:rPr>
        <w:color w:val="888888"/>
        <w:sz w:val="14"/>
        <w:szCs w:val="14"/>
      </w:rPr>
      <w:instrText>PAGE</w:instrText>
    </w:r>
    <w:r>
      <w:rPr>
        <w:color w:val="888888"/>
        <w:sz w:val="14"/>
        <w:szCs w:val="14"/>
      </w:rPr>
      <w:fldChar w:fldCharType="separate"/>
    </w:r>
    <w:r w:rsidR="00564BB6">
      <w:rPr>
        <w:noProof/>
        <w:color w:val="888888"/>
        <w:sz w:val="14"/>
        <w:szCs w:val="14"/>
      </w:rPr>
      <w:t>1</w:t>
    </w:r>
    <w:r>
      <w:rPr>
        <w:color w:val="88888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1C1D" w14:textId="77777777" w:rsidR="00C929C8" w:rsidRDefault="00C929C8">
      <w:r>
        <w:separator/>
      </w:r>
    </w:p>
  </w:footnote>
  <w:footnote w:type="continuationSeparator" w:id="0">
    <w:p w14:paraId="1CB649D3" w14:textId="77777777" w:rsidR="00C929C8" w:rsidRDefault="00C929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080"/>
    </w:tblGrid>
    <w:tr w:rsidR="009356BA" w14:paraId="4DE41882" w14:textId="77777777">
      <w:tc>
        <w:tcPr>
          <w:tcW w:w="10080" w:type="dxa"/>
          <w:shd w:val="clear" w:color="auto" w:fill="2D2D2D"/>
          <w:tcMar>
            <w:top w:w="80" w:type="dxa"/>
            <w:left w:w="200" w:type="dxa"/>
            <w:bottom w:w="80" w:type="dxa"/>
            <w:right w:w="200" w:type="dxa"/>
          </w:tcMar>
        </w:tcPr>
        <w:p w14:paraId="4DE41881" w14:textId="77777777" w:rsidR="009356BA" w:rsidRDefault="00000000">
          <w:proofErr w:type="gramStart"/>
          <w:r>
            <w:rPr>
              <w:b/>
              <w:bCs/>
              <w:color w:val="D4A843"/>
              <w:sz w:val="22"/>
              <w:szCs w:val="22"/>
            </w:rPr>
            <w:t>ASSURIT</w:t>
          </w:r>
          <w:r>
            <w:rPr>
              <w:color w:val="FFFFFF"/>
              <w:sz w:val="18"/>
              <w:szCs w:val="18"/>
            </w:rPr>
            <w:t xml:space="preserve">  |</w:t>
          </w:r>
          <w:proofErr w:type="gramEnd"/>
          <w:r>
            <w:rPr>
              <w:color w:val="FFFFFF"/>
              <w:sz w:val="18"/>
              <w:szCs w:val="18"/>
            </w:rPr>
            <w:t xml:space="preserve">  METHODOLOGY OVERVIEW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23EA"/>
    <w:multiLevelType w:val="hybridMultilevel"/>
    <w:tmpl w:val="DC4AA7FA"/>
    <w:lvl w:ilvl="0" w:tplc="B7248012">
      <w:start w:val="1"/>
      <w:numFmt w:val="bullet"/>
      <w:lvlText w:val="•"/>
      <w:lvlJc w:val="left"/>
      <w:pPr>
        <w:ind w:left="360" w:hanging="180"/>
      </w:pPr>
    </w:lvl>
    <w:lvl w:ilvl="1" w:tplc="B92C78E4">
      <w:numFmt w:val="decimal"/>
      <w:lvlText w:val=""/>
      <w:lvlJc w:val="left"/>
    </w:lvl>
    <w:lvl w:ilvl="2" w:tplc="64904752">
      <w:numFmt w:val="decimal"/>
      <w:lvlText w:val=""/>
      <w:lvlJc w:val="left"/>
    </w:lvl>
    <w:lvl w:ilvl="3" w:tplc="69F8D028">
      <w:numFmt w:val="decimal"/>
      <w:lvlText w:val=""/>
      <w:lvlJc w:val="left"/>
    </w:lvl>
    <w:lvl w:ilvl="4" w:tplc="315A9BF4">
      <w:numFmt w:val="decimal"/>
      <w:lvlText w:val=""/>
      <w:lvlJc w:val="left"/>
    </w:lvl>
    <w:lvl w:ilvl="5" w:tplc="77D4730A">
      <w:numFmt w:val="decimal"/>
      <w:lvlText w:val=""/>
      <w:lvlJc w:val="left"/>
    </w:lvl>
    <w:lvl w:ilvl="6" w:tplc="E5EAEFCC">
      <w:numFmt w:val="decimal"/>
      <w:lvlText w:val=""/>
      <w:lvlJc w:val="left"/>
    </w:lvl>
    <w:lvl w:ilvl="7" w:tplc="159A36B6">
      <w:numFmt w:val="decimal"/>
      <w:lvlText w:val=""/>
      <w:lvlJc w:val="left"/>
    </w:lvl>
    <w:lvl w:ilvl="8" w:tplc="64823944">
      <w:numFmt w:val="decimal"/>
      <w:lvlText w:val=""/>
      <w:lvlJc w:val="left"/>
    </w:lvl>
  </w:abstractNum>
  <w:abstractNum w:abstractNumId="1" w15:restartNumberingAfterBreak="0">
    <w:nsid w:val="42852B0C"/>
    <w:multiLevelType w:val="hybridMultilevel"/>
    <w:tmpl w:val="4C1A19A8"/>
    <w:lvl w:ilvl="0" w:tplc="88EAE3BE">
      <w:start w:val="1"/>
      <w:numFmt w:val="bullet"/>
      <w:lvlText w:val="●"/>
      <w:lvlJc w:val="left"/>
      <w:pPr>
        <w:ind w:left="720" w:hanging="360"/>
      </w:pPr>
    </w:lvl>
    <w:lvl w:ilvl="1" w:tplc="7BBA0A3C">
      <w:start w:val="1"/>
      <w:numFmt w:val="bullet"/>
      <w:lvlText w:val="○"/>
      <w:lvlJc w:val="left"/>
      <w:pPr>
        <w:ind w:left="1440" w:hanging="360"/>
      </w:pPr>
    </w:lvl>
    <w:lvl w:ilvl="2" w:tplc="E4A6388E">
      <w:start w:val="1"/>
      <w:numFmt w:val="bullet"/>
      <w:lvlText w:val="■"/>
      <w:lvlJc w:val="left"/>
      <w:pPr>
        <w:ind w:left="2160" w:hanging="360"/>
      </w:pPr>
    </w:lvl>
    <w:lvl w:ilvl="3" w:tplc="131C9080">
      <w:start w:val="1"/>
      <w:numFmt w:val="bullet"/>
      <w:lvlText w:val="●"/>
      <w:lvlJc w:val="left"/>
      <w:pPr>
        <w:ind w:left="2880" w:hanging="360"/>
      </w:pPr>
    </w:lvl>
    <w:lvl w:ilvl="4" w:tplc="E4308E94">
      <w:start w:val="1"/>
      <w:numFmt w:val="bullet"/>
      <w:lvlText w:val="○"/>
      <w:lvlJc w:val="left"/>
      <w:pPr>
        <w:ind w:left="3600" w:hanging="360"/>
      </w:pPr>
    </w:lvl>
    <w:lvl w:ilvl="5" w:tplc="3022DE20">
      <w:start w:val="1"/>
      <w:numFmt w:val="bullet"/>
      <w:lvlText w:val="■"/>
      <w:lvlJc w:val="left"/>
      <w:pPr>
        <w:ind w:left="4320" w:hanging="360"/>
      </w:pPr>
    </w:lvl>
    <w:lvl w:ilvl="6" w:tplc="EBC20930">
      <w:start w:val="1"/>
      <w:numFmt w:val="bullet"/>
      <w:lvlText w:val="●"/>
      <w:lvlJc w:val="left"/>
      <w:pPr>
        <w:ind w:left="5040" w:hanging="360"/>
      </w:pPr>
    </w:lvl>
    <w:lvl w:ilvl="7" w:tplc="F56CD0D2">
      <w:start w:val="1"/>
      <w:numFmt w:val="bullet"/>
      <w:lvlText w:val="●"/>
      <w:lvlJc w:val="left"/>
      <w:pPr>
        <w:ind w:left="5760" w:hanging="360"/>
      </w:pPr>
    </w:lvl>
    <w:lvl w:ilvl="8" w:tplc="83FA859C">
      <w:start w:val="1"/>
      <w:numFmt w:val="bullet"/>
      <w:lvlText w:val="●"/>
      <w:lvlJc w:val="left"/>
      <w:pPr>
        <w:ind w:left="6480" w:hanging="360"/>
      </w:pPr>
    </w:lvl>
  </w:abstractNum>
  <w:num w:numId="1" w16cid:durableId="386995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6BA"/>
    <w:rsid w:val="003966E9"/>
    <w:rsid w:val="00564BB6"/>
    <w:rsid w:val="006A7125"/>
    <w:rsid w:val="009356BA"/>
    <w:rsid w:val="00C929C8"/>
    <w:rsid w:val="00E52976"/>
    <w:rsid w:val="00F8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41853"/>
  <w15:docId w15:val="{D374691E-C05C-384E-B36A-37F696F3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2D2D2D"/>
      <w:sz w:val="36"/>
      <w:szCs w:val="3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D2D2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587C60D9F9D947B2CDB306ADEA3B78" ma:contentTypeVersion="0" ma:contentTypeDescription="Create a new document." ma:contentTypeScope="" ma:versionID="5b3becd1374cd7dc32d9c7d4bc03b59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DD73F6-62CA-4B4A-AB45-7A3BDF14CB88}"/>
</file>

<file path=customXml/itemProps2.xml><?xml version="1.0" encoding="utf-8"?>
<ds:datastoreItem xmlns:ds="http://schemas.openxmlformats.org/officeDocument/2006/customXml" ds:itemID="{B52D6FFC-2796-47EF-BBF4-AD14EECD04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7C45DF-A1EB-4E0D-BBDB-2580048B3247}">
  <ds:schemaRefs>
    <ds:schemaRef ds:uri="http://schemas.microsoft.com/office/2006/metadata/properties"/>
    <ds:schemaRef ds:uri="http://schemas.microsoft.com/office/infopath/2007/PartnerControls"/>
    <ds:schemaRef ds:uri="9772800e-7776-4e03-bd02-7446f9864ce8"/>
    <ds:schemaRef ds:uri="ee7560b3-a4e2-4e36-b242-176a8bf35c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431</Words>
  <Characters>2903</Characters>
  <Application>Microsoft Office Word</Application>
  <DocSecurity>0</DocSecurity>
  <Lines>88</Lines>
  <Paragraphs>39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Wellington</cp:lastModifiedBy>
  <cp:revision>3</cp:revision>
  <dcterms:created xsi:type="dcterms:W3CDTF">2026-03-25T14:40:00Z</dcterms:created>
  <dcterms:modified xsi:type="dcterms:W3CDTF">2026-03-27T01:11:00Z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0x0101001A587C60D9F9D947B2CDB306ADEA3B78</vt:lpwstr>
  </property>
  <property fmtid="{D5CDD505-2E9C-101B-9397-08002B2CF9AE}" pid="3" name="MediaServiceImageTags">
    <vt:lpwstr/>
  </property>
</Properties>
</file>