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rFonts w:ascii="Arial" w:cs="Arial" w:eastAsia="Arial" w:hAnsi="Arial"/>
          <w:b/>
          <w:bCs/>
          <w:i w:val="false"/>
          <w:iCs w:val="false"/>
          <w:color w:val="1F3864"/>
          <w:sz w:val="48"/>
          <w:szCs w:val="48"/>
        </w:rPr>
        <w:t xml:space="preserve">System Security Plan (SSP)</w:t>
      </w:r>
    </w:p>
    <w:p>
      <w:pPr>
        <w:spacing w:after="200"/>
        <w:jc w:val="center"/>
      </w:pPr>
      <w:r>
        <w:rPr>
          <w:rFonts w:ascii="Arial" w:cs="Arial" w:eastAsia="Arial" w:hAnsi="Arial"/>
          <w:b w:val="false"/>
          <w:bCs w:val="false"/>
          <w:i w:val="false"/>
          <w:iCs w:val="false"/>
          <w:color w:val="2E5090"/>
          <w:sz w:val="32"/>
          <w:szCs w:val="32"/>
        </w:rPr>
        <w:t xml:space="preserve">FedRAMP Moderate Baseline</w:t>
      </w:r>
    </w:p>
    <w:p>
      <w:pPr>
        <w:spacing w:after="100"/>
        <w:jc w:val="center"/>
      </w:pPr>
      <w:r>
        <w:rPr>
          <w:rFonts w:ascii="Arial" w:cs="Arial" w:eastAsia="Arial" w:hAnsi="Arial"/>
          <w:b w:val="false"/>
          <w:bCs w:val="false"/>
          <w:i w:val="false"/>
          <w:iCs w:val="false"/>
          <w:color w:val="444444"/>
          <w:sz w:val="28"/>
          <w:szCs w:val="28"/>
        </w:rPr>
        <w:t xml:space="preserve">Workshop Demo System</w:t>
      </w:r>
    </w:p>
    <w:p>
      <w:pPr>
        <w:spacing w:after="600"/>
        <w:jc w:val="center"/>
      </w:pPr>
      <w:r>
        <w:rPr>
          <w:rFonts w:ascii="Arial" w:cs="Arial" w:eastAsia="Arial" w:hAnsi="Arial"/>
          <w:b w:val="false"/>
          <w:bCs w:val="false"/>
          <w:i w:val="false"/>
          <w:iCs w:val="false"/>
          <w:color w:val="666666"/>
          <w:sz w:val="24"/>
          <w:szCs w:val="24"/>
        </w:rPr>
        <w:t xml:space="preserve">GRC Engineering Club</w:t>
      </w:r>
    </w:p>
    <w:p>
      <w:pPr>
        <w:pBdr>
          <w:top w:val="single" w:color="1F3864" w:sz="6" w:space="1"/>
        </w:pBdr>
        <w:spacing w:after="200" w:before="200"/>
        <w:jc w:val="center"/>
      </w:pPr>
    </w:p>
    <w:p>
      <w:pPr>
        <w:spacing w:after="100"/>
        <w:jc w:val="center"/>
      </w:pPr>
      <w:r>
        <w:rPr>
          <w:rFonts w:ascii="Arial" w:cs="Arial" w:eastAsia="Arial" w:hAnsi="Arial"/>
          <w:b w:val="false"/>
          <w:bCs w:val="false"/>
          <w:i w:val="false"/>
          <w:iCs w:val="false"/>
          <w:color w:val="666666"/>
          <w:sz w:val="22"/>
          <w:szCs w:val="22"/>
        </w:rPr>
        <w:t xml:space="preserve">Version 1.0  |  May 18, 2026</w:t>
      </w:r>
    </w:p>
    <w:p>
      <w:pPr>
        <w:spacing w:before="600"/>
      </w:pPr>
    </w:p>
    <w:p>
      <w:pPr>
        <w:spacing w:after="100"/>
        <w:jc w:val="center"/>
      </w:pPr>
      <w:r>
        <w:rPr>
          <w:rFonts w:ascii="Arial" w:cs="Arial" w:eastAsia="Arial" w:hAnsi="Arial"/>
          <w:b w:val="false"/>
          <w:bCs w:val="false"/>
          <w:i w:val="false"/>
          <w:iCs w:val="false"/>
          <w:color w:val="888888"/>
          <w:sz w:val="20"/>
          <w:szCs w:val="20"/>
        </w:rPr>
        <w:t xml:space="preserve">Prepared by: [Workshop Participant]</w:t>
      </w:r>
    </w:p>
    <w:p>
      <w:pPr>
        <w:spacing w:after="600"/>
        <w:jc w:val="center"/>
      </w:pPr>
      <w:r>
        <w:rPr>
          <w:rFonts w:ascii="Arial" w:cs="Arial" w:eastAsia="Arial" w:hAnsi="Arial"/>
          <w:b w:val="false"/>
          <w:bCs w:val="false"/>
          <w:i w:val="false"/>
          <w:iCs w:val="false"/>
          <w:color w:val="888888"/>
          <w:sz w:val="20"/>
          <w:szCs w:val="20"/>
        </w:rPr>
        <w:t xml:space="preserve">Prepared for: GRC Engineering Club Builder Session</w:t>
      </w:r>
    </w:p>
    <w:p>
      <w:pPr>
        <w:spacing w:before="200"/>
        <w:jc w:val="center"/>
      </w:pPr>
      <w:r>
        <w:rPr>
          <w:rFonts w:ascii="Arial" w:cs="Arial" w:eastAsia="Arial" w:hAnsi="Arial"/>
          <w:b/>
          <w:bCs/>
          <w:i w:val="false"/>
          <w:iCs w:val="false"/>
          <w:sz w:val="20"/>
          <w:szCs w:val="20"/>
        </w:rPr>
        <w:t xml:space="preserve">Document Revision History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20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0"/>
                <w:szCs w:val="20"/>
              </w:rPr>
              <w:t xml:space="preserve">Date</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0"/>
                <w:szCs w:val="20"/>
              </w:rPr>
              <w:t xml:space="preserve">Description</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0"/>
                <w:szCs w:val="20"/>
              </w:rPr>
              <w:t xml:space="preserve">Version</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0"/>
                <w:szCs w:val="20"/>
              </w:rPr>
              <w:t xml:space="preserve">Author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May 18, 2026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Initial draft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[Participant]</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r>
        <w:rPr>
          <w:rFonts w:ascii="Arial" w:cs="Arial" w:eastAsia="Arial" w:hAnsi="Arial"/>
          <w:b w:val="false"/>
          <w:bCs w:val="false"/>
          <w:i/>
          <w:iCs/>
          <w:color w:val="888888"/>
          <w:sz w:val="20"/>
          <w:szCs w:val="20"/>
        </w:rPr>
        <w:t xml:space="preserve">[Right-click &gt; Update Field after opening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00"/>
      </w:pPr>
      <w:r>
        <w:rPr>
          <w:rFonts w:ascii="Arial" w:cs="Arial" w:eastAsia="Arial" w:hAnsi="Arial"/>
          <w:b w:val="false"/>
          <w:bCs w:val="false"/>
          <w:i w:val="false"/>
          <w:iCs w:val="false"/>
          <w:sz w:val="20"/>
          <w:szCs w:val="20"/>
        </w:rPr>
        <w:t xml:space="preserve">The SSP is the security blueprint of this system. It defines the authorization boundary and describes the security controls in place to protect the confidentiality, integrity, and availability (CIA) of the system and the federal data it processes, stores, and transmits.</w:t>
      </w:r>
    </w:p>
    <w:p>
      <w:pPr>
        <w:spacing w:after="200"/>
      </w:pPr>
      <w:r>
        <w:rPr>
          <w:rFonts w:ascii="Arial" w:cs="Arial" w:eastAsia="Arial" w:hAnsi="Arial"/>
          <w:b w:val="false"/>
          <w:bCs w:val="false"/>
          <w:i w:val="false"/>
          <w:iCs w:val="false"/>
          <w:sz w:val="20"/>
          <w:szCs w:val="20"/>
        </w:rPr>
        <w:t xml:space="preserve">This document was produced as part of the GRC Engineering Club OSCAL Pipeline Builder Session. It demonstrates the starting point for automated compliance: a Word SSP that the OSCAL converter transforms into machine-readable JSON for evidence-based verification.</w:t>
      </w:r>
    </w:p>
    <w:p>
      <w:pPr>
        <w:pStyle w:val="Heading1"/>
      </w:pPr>
      <w:r>
        <w:t xml:space="preserve">2. Purpose</w:t>
      </w:r>
    </w:p>
    <w:p>
      <w:pPr>
        <w:spacing w:after="200"/>
      </w:pPr>
      <w:r>
        <w:rPr>
          <w:rFonts w:ascii="Arial" w:cs="Arial" w:eastAsia="Arial" w:hAnsi="Arial"/>
          <w:b w:val="false"/>
          <w:bCs w:val="false"/>
          <w:i w:val="false"/>
          <w:iCs w:val="false"/>
          <w:sz w:val="20"/>
          <w:szCs w:val="20"/>
        </w:rPr>
        <w:t xml:space="preserve">This SSP supports a FedRAMP Moderate agency authorization. It documents security control implementations for the Workshop Demo System and provides the baseline narratives against which the OSCAL compliance pipeline validates live evidence collected from system tools and services.</w:t>
      </w:r>
    </w:p>
    <w:p>
      <w:pPr>
        <w:pStyle w:val="Heading1"/>
      </w:pPr>
      <w:r>
        <w:t xml:space="preserve">3. System Information</w:t>
      </w:r>
    </w:p>
    <w:p>
      <w:pPr>
        <w:spacing w:after="100"/>
      </w:pPr>
      <w:r>
        <w:rPr>
          <w:rFonts w:ascii="Arial" w:cs="Arial" w:eastAsia="Arial" w:hAnsi="Arial"/>
          <w:b w:val="false"/>
          <w:bCs w:val="false"/>
          <w:i w:val="false"/>
          <w:iCs w:val="false"/>
          <w:sz w:val="20"/>
          <w:szCs w:val="20"/>
        </w:rPr>
        <w:t xml:space="preserve">Table 3.1 provides a summary of the key attributes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System Name: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Workshop Demo System</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FIPS PUB 199 Level: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Moderate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Service Model: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IaaS/SaaS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Deployment Model: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Public Cloud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Authorization Path:</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Agency Authorization</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Fully Operational: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May 18, 2026</w:t>
            </w:r>
          </w:p>
        </w:tc>
      </w:tr>
    </w:tbl>
    <w:p>
      <w:pPr>
        <w:spacing w:after="120"/>
      </w:pPr>
    </w:p>
    <w:p>
      <w:pPr>
        <w:spacing w:after="200"/>
      </w:pPr>
      <w:r>
        <w:rPr>
          <w:rFonts w:ascii="Arial" w:cs="Arial" w:eastAsia="Arial" w:hAnsi="Arial"/>
          <w:b w:val="false"/>
          <w:bCs w:val="false"/>
          <w:i w:val="false"/>
          <w:iCs w:val="false"/>
          <w:sz w:val="20"/>
          <w:szCs w:val="20"/>
        </w:rPr>
        <w:t xml:space="preserve">General System Description: The Workshop Demo System is a demonstration environment built on AWS free-tier infrastructure. It implements a realistic authorization boundary with IAM, S3, KMS, CloudTrail, and VPC services to demonstrate automated compliance verification against FedRAMP Moderate controls.</w:t>
      </w:r>
    </w:p>
    <w:p>
      <w:pPr>
        <w:pStyle w:val="Heading1"/>
      </w:pPr>
      <w:r>
        <w:t xml:space="preserve">4. System Owner</w:t>
      </w:r>
    </w:p>
    <w:p>
      <w:pPr>
        <w:spacing w:after="100"/>
      </w:pPr>
      <w:r>
        <w:rPr>
          <w:rFonts w:ascii="Arial" w:cs="Arial" w:eastAsia="Arial" w:hAnsi="Arial"/>
          <w:b w:val="false"/>
          <w:bCs w:val="false"/>
          <w:i w:val="false"/>
          <w:iCs w:val="false"/>
          <w:sz w:val="20"/>
          <w:szCs w:val="20"/>
        </w:rPr>
        <w:t xml:space="preserve">The following individual is identified as the system owner, responsible for the overall procurement, development, integration, modification, or operation and maintenance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Name: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[Workshop Participant Name]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Title: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System Owner</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Organization: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GRC Engineering Club</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Address: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[Address]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Phone: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[Phone]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Email: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[participant@email.com]</w:t>
            </w:r>
          </w:p>
        </w:tc>
      </w:tr>
    </w:tbl>
    <w:p>
      <w:pPr>
        <w:pStyle w:val="Heading1"/>
      </w:pPr>
      <w:r>
        <w:t xml:space="preserve">5. Assignment of Security Responsibility</w:t>
      </w:r>
    </w:p>
    <w:p>
      <w:pPr>
        <w:spacing w:after="100"/>
      </w:pPr>
      <w:r>
        <w:rPr>
          <w:rFonts w:ascii="Arial" w:cs="Arial" w:eastAsia="Arial" w:hAnsi="Arial"/>
          <w:b w:val="false"/>
          <w:bCs w:val="false"/>
          <w:i w:val="false"/>
          <w:iCs w:val="false"/>
          <w:sz w:val="20"/>
          <w:szCs w:val="20"/>
        </w:rPr>
        <w:t xml:space="preserve">The Information System Security Officer (ISSO) identified below has been appointed in writing and is deemed to have significant cyber security and operational 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ISSO Name: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[Workshop Participant Name]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Title: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Information System Security Officer</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Organization: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GRC Engineering Club</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Phone: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[Phone]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Email: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[participant@email.com]</w:t>
            </w:r>
          </w:p>
        </w:tc>
      </w:tr>
    </w:tbl>
    <w:p>
      <w:pPr>
        <w:pStyle w:val="Heading1"/>
      </w:pPr>
      <w:r>
        <w:t xml:space="preserve">6. Leveraged FedRAMP-Authorized Services</w:t>
      </w:r>
    </w:p>
    <w:p>
      <w:pPr>
        <w:spacing w:after="100"/>
      </w:pPr>
      <w:r>
        <w:rPr>
          <w:rFonts w:ascii="Arial" w:cs="Arial" w:eastAsia="Arial" w:hAnsi="Arial"/>
          <w:b w:val="false"/>
          <w:bCs w:val="false"/>
          <w:i w:val="false"/>
          <w:iCs w:val="false"/>
          <w:sz w:val="20"/>
          <w:szCs w:val="20"/>
        </w:rPr>
        <w:t xml:space="preserve">The Workshop Demo System leverages the FedRAMP Authorized services depicted in Table 6.1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560"/>
        <w:gridCol w:w="1500"/>
        <w:gridCol w:w="150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18"/>
                <w:szCs w:val="18"/>
              </w:rPr>
              <w:t xml:space="preserv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18"/>
                <w:szCs w:val="18"/>
              </w:rPr>
              <w:t xml:space="preserve">CSP/CSO Name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18"/>
                <w:szCs w:val="18"/>
              </w:rPr>
              <w:t xml:space="preserve">CSO Services</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18"/>
                <w:szCs w:val="18"/>
              </w:rPr>
              <w:t xml:space="preserve">Auth Type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18"/>
                <w:szCs w:val="18"/>
              </w:rPr>
              <w:t xml:space="preserve">Impact 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18"/>
                <w:szCs w:val="18"/>
              </w:rPr>
              <w:t xml:space="preserve">Data Types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Amazon Web Services (AWS)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IAM, S3, KMS, CloudTrail, VPC, EC2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JAB P-ATO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High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18"/>
                <w:szCs w:val="18"/>
              </w:rPr>
              <w:t xml:space="preserve">System data</w:t>
            </w:r>
          </w:p>
        </w:tc>
      </w:tr>
    </w:tbl>
    <w:p>
      <w:pPr>
        <w:pStyle w:val="Heading1"/>
      </w:pPr>
      <w:r>
        <w:t xml:space="preserve">7. Illustrated Architecture and Narratives</w:t>
      </w:r>
    </w:p>
    <w:p>
      <w:pPr>
        <w:spacing w:after="100"/>
      </w:pPr>
      <w:r>
        <w:rPr>
          <w:rFonts w:ascii="Arial" w:cs="Arial" w:eastAsia="Arial" w:hAnsi="Arial"/>
          <w:b w:val="false"/>
          <w:bCs w:val="false"/>
          <w:i/>
          <w:iCs/>
          <w:color w:val="888888"/>
          <w:sz w:val="20"/>
          <w:szCs w:val="20"/>
        </w:rPr>
        <w:t xml:space="preserve">[Authorization boundary diagram to be inserted here]</w:t>
      </w:r>
    </w:p>
    <w:p>
      <w:pPr>
        <w:spacing w:after="200"/>
      </w:pPr>
      <w:r>
        <w:rPr>
          <w:rFonts w:ascii="Arial" w:cs="Arial" w:eastAsia="Arial" w:hAnsi="Arial"/>
          <w:b w:val="false"/>
          <w:bCs w:val="false"/>
          <w:i w:val="false"/>
          <w:iCs w:val="false"/>
          <w:sz w:val="20"/>
          <w:szCs w:val="20"/>
        </w:rPr>
        <w:t xml:space="preserve">The diagram should depict: the AWS account boundary, VPC with public and private subnets, security groups, CloudTrail logging pipeline, S3 buckets (encrypted and unencrypted), IAM users and roles, and all tool connections within the authorization boundary. External connections should show directional arrows indicating data flow.</w:t>
      </w:r>
    </w:p>
    <w:p>
      <w:pPr>
        <w:pStyle w:val="Heading1"/>
      </w:pPr>
      <w:r>
        <w:t xml:space="preserve">8. Evidence Collection Methodology</w:t>
      </w:r>
    </w:p>
    <w:p>
      <w:pPr>
        <w:spacing w:after="100"/>
      </w:pPr>
      <w:r>
        <w:rPr>
          <w:rFonts w:ascii="Arial" w:cs="Arial" w:eastAsia="Arial" w:hAnsi="Arial"/>
          <w:b w:val="false"/>
          <w:bCs w:val="false"/>
          <w:i w:val="false"/>
          <w:iCs w:val="false"/>
          <w:sz w:val="20"/>
          <w:szCs w:val="20"/>
        </w:rPr>
        <w:t xml:space="preserve">Each control in Appendix A is classified by its evidence collection method. This classification drives how the OSCAL compliance pipeline processes the control during automated assessment:</w:t>
      </w:r>
    </w:p>
    <w:p>
      <w:pPr>
        <w:pStyle w:val="ListParagraph"/>
        <w:numPr>
          <w:ilvl w:val="0"/>
          <w:numId w:val="2"/>
        </w:numPr>
      </w:pPr>
      <w:r>
        <w:rPr>
          <w:rFonts w:ascii="Arial" w:cs="Arial" w:eastAsia="Arial" w:hAnsi="Arial"/>
          <w:b/>
          <w:bCs/>
          <w:i w:val="false"/>
          <w:iCs w:val="false"/>
          <w:sz w:val="20"/>
          <w:szCs w:val="20"/>
        </w:rPr>
        <w:t xml:space="preserve">Automated</w:t>
      </w:r>
      <w:r>
        <w:rPr>
          <w:rFonts w:ascii="Arial" w:cs="Arial" w:eastAsia="Arial" w:hAnsi="Arial"/>
          <w:b w:val="false"/>
          <w:bCs w:val="false"/>
          <w:i w:val="false"/>
          <w:iCs w:val="false"/>
          <w:sz w:val="20"/>
          <w:szCs w:val="20"/>
        </w:rPr>
        <w:t xml:space="preserve"> — Tools verify via API. The reconciler produces a CONFIRMED or CONTRADICTED finding. 31 controls.</w:t>
      </w:r>
    </w:p>
    <w:p>
      <w:pPr>
        <w:pStyle w:val="ListParagraph"/>
        <w:numPr>
          <w:ilvl w:val="0"/>
          <w:numId w:val="2"/>
        </w:numPr>
      </w:pPr>
      <w:r>
        <w:rPr>
          <w:rFonts w:ascii="Arial" w:cs="Arial" w:eastAsia="Arial" w:hAnsi="Arial"/>
          <w:b/>
          <w:bCs/>
          <w:i w:val="false"/>
          <w:iCs w:val="false"/>
          <w:sz w:val="20"/>
          <w:szCs w:val="20"/>
        </w:rPr>
        <w:t xml:space="preserve">Manual</w:t>
      </w:r>
      <w:r>
        <w:rPr>
          <w:rFonts w:ascii="Arial" w:cs="Arial" w:eastAsia="Arial" w:hAnsi="Arial"/>
          <w:b w:val="false"/>
          <w:bCs w:val="false"/>
          <w:i w:val="false"/>
          <w:iCs w:val="false"/>
          <w:sz w:val="20"/>
          <w:szCs w:val="20"/>
        </w:rPr>
        <w:t xml:space="preserve"> — Requires examiner attestation or document review. Flagged MANUAL-REVIEW. 14 controls.</w:t>
      </w:r>
    </w:p>
    <w:p>
      <w:pPr>
        <w:pStyle w:val="ListParagraph"/>
        <w:numPr>
          <w:ilvl w:val="0"/>
          <w:numId w:val="2"/>
        </w:numPr>
      </w:pPr>
      <w:r>
        <w:rPr>
          <w:rFonts w:ascii="Arial" w:cs="Arial" w:eastAsia="Arial" w:hAnsi="Arial"/>
          <w:b/>
          <w:bCs/>
          <w:i w:val="false"/>
          <w:iCs w:val="false"/>
          <w:sz w:val="20"/>
          <w:szCs w:val="20"/>
        </w:rPr>
        <w:t xml:space="preserve">Hybrid</w:t>
      </w:r>
      <w:r>
        <w:rPr>
          <w:rFonts w:ascii="Arial" w:cs="Arial" w:eastAsia="Arial" w:hAnsi="Arial"/>
          <w:b w:val="false"/>
          <w:bCs w:val="false"/>
          <w:i w:val="false"/>
          <w:iCs w:val="false"/>
          <w:sz w:val="20"/>
          <w:szCs w:val="20"/>
        </w:rPr>
        <w:t xml:space="preserve"> — Tool evidence plus human review. Produces a partial finding until attested. 9 controls.</w:t>
      </w:r>
    </w:p>
    <w:p>
      <w:pPr>
        <w:pStyle w:val="ListParagraph"/>
        <w:numPr>
          <w:ilvl w:val="0"/>
          <w:numId w:val="2"/>
        </w:numPr>
        <w:spacing w:after="200"/>
      </w:pPr>
      <w:r>
        <w:rPr>
          <w:rFonts w:ascii="Arial" w:cs="Arial" w:eastAsia="Arial" w:hAnsi="Arial"/>
          <w:b/>
          <w:bCs/>
          <w:i w:val="false"/>
          <w:iCs w:val="false"/>
          <w:sz w:val="20"/>
          <w:szCs w:val="20"/>
        </w:rPr>
        <w:t xml:space="preserve">Inherited</w:t>
      </w:r>
      <w:r>
        <w:rPr>
          <w:rFonts w:ascii="Arial" w:cs="Arial" w:eastAsia="Arial" w:hAnsi="Arial"/>
          <w:b w:val="false"/>
          <w:bCs w:val="false"/>
          <w:i w:val="false"/>
          <w:iCs w:val="false"/>
          <w:sz w:val="20"/>
          <w:szCs w:val="20"/>
        </w:rPr>
        <w:t xml:space="preserve"> — CSP responsibility via FedRAMP authorization. No system-level evidence required. 3 controls.</w:t>
      </w:r>
    </w:p>
    <w:p>
      <w:pPr>
        <w:pStyle w:val="Heading1"/>
      </w:pPr>
      <w:r>
        <w:t xml:space="preserve">9. SSP Appendices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0"/>
                <w:szCs w:val="20"/>
              </w:rPr>
              <w:t xml:space="preserve">Appendix</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0"/>
                <w:szCs w:val="20"/>
              </w:rPr>
              <w:t xml:space="preserve">Location</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A: Security Controls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This document (below)</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B: Related Acronyms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C: Security Policies and Procedures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G: Contingency Plan (ISCP)</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H: Configuration Management Plan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I: Incident Response Plan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J: CIS and CRM Workbook</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M: Integrated Inventory Workbook</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O: POA&amp;M</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oscal/poam.json (OSCAL format)</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Appendix Q: Cryptographic Modules Table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0"/>
                <w:szCs w:val="20"/>
              </w:rPr>
              <w:t xml:space="preserve">[To be provided]</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Appendix A: FedRAMP Moderate Security Controls</w:t>
      </w:r>
    </w:p>
    <w:p>
      <w:pPr>
        <w:spacing w:after="100"/>
      </w:pPr>
      <w:r>
        <w:rPr>
          <w:rFonts w:ascii="Arial" w:cs="Arial" w:eastAsia="Arial" w:hAnsi="Arial"/>
          <w:b w:val="false"/>
          <w:bCs w:val="false"/>
          <w:i w:val="false"/>
          <w:iCs w:val="false"/>
          <w:sz w:val="20"/>
          <w:szCs w:val="20"/>
        </w:rPr>
        <w:t xml:space="preserve">This appendix documents the implementation of 57 FedRAMP Moderate baseline controls across 14 control families. For each control: the NIST SP 800-53 Rev 5 requirement, implementation status, evidence collection method, and detailed implementation description are provided.</w:t>
      </w:r>
    </w:p>
    <w:p>
      <w:pPr>
        <w:spacing w:after="300"/>
      </w:pPr>
      <w:r>
        <w:rPr>
          <w:rFonts w:ascii="Arial" w:cs="Arial" w:eastAsia="Arial" w:hAnsi="Arial"/>
          <w:b w:val="false"/>
          <w:bCs w:val="false"/>
          <w:i w:val="false"/>
          <w:iCs w:val="false"/>
          <w:sz w:val="20"/>
          <w:szCs w:val="20"/>
        </w:rPr>
        <w:t xml:space="preserve">Control inheritance is claimed only from FedRAMP Authorized services (AWS). For inherited controls, the AWS FedRAMP High JAB P-ATO satisfies the control requirement. For all other controls, the system provides its own implementation as documented below.</w:t>
      </w:r>
    </w:p>
    <w:p>
      <w:pPr>
        <w:pStyle w:val="Heading2"/>
      </w:pPr>
      <w:r>
        <w:t xml:space="preserve">AC — Access Control</w:t>
      </w:r>
    </w:p>
    <w:p>
      <w:pPr>
        <w:spacing w:after="200"/>
      </w:pPr>
      <w:r>
        <w:rPr>
          <w:rFonts w:ascii="Arial" w:cs="Arial" w:eastAsia="Arial" w:hAnsi="Arial"/>
          <w:b w:val="false"/>
          <w:bCs w:val="false"/>
          <w:i w:val="false"/>
          <w:iCs w:val="false"/>
          <w:sz w:val="20"/>
          <w:szCs w:val="20"/>
        </w:rPr>
        <w:t xml:space="preserve">This section documents 10 Access Control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access control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Access control policy is documented and reviewed annually by the ISSO. The policy defines roles, responsibilities, and access control requirements. Procedures are disseminated through the document management system and acknowledged by all personnel.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AC-2</w:t>
            </w:r>
            <w:r>
              <w:rPr>
                <w:rFonts w:ascii="Arial" w:cs="Arial" w:eastAsia="Arial" w:hAnsi="Arial"/>
                <w:b w:val="false"/>
                <w:bCs w:val="false"/>
                <w:i w:val="false"/>
                <w:iCs w:val="false"/>
                <w:color w:val="FFFFFF"/>
                <w:sz w:val="22"/>
                <w:szCs w:val="22"/>
              </w:rPr>
              <w:t xml:space="preserve">  Account Management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Define and document the types of accounts allowed and specifically prohibited. Assign account managers. Require conditions for group and role membership.</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The system enforces account management through an identity governance platform. All user accounts require manager approval before provisioning. Accounts are reviewed quarterly and disabled after 90 days of inactivity. Service accounts are inventoried and rotated on schedule.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AC-2(1)</w:t>
            </w:r>
            <w:r>
              <w:rPr>
                <w:rFonts w:ascii="Arial" w:cs="Arial" w:eastAsia="Arial" w:hAnsi="Arial"/>
                <w:b w:val="false"/>
                <w:bCs w:val="false"/>
                <w:i w:val="false"/>
                <w:iCs w:val="false"/>
                <w:color w:val="FFFFFF"/>
                <w:sz w:val="22"/>
                <w:szCs w:val="22"/>
              </w:rPr>
              <w:t xml:space="preserve">  Account Management | Automated System Account Management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Support the management of system accounts using automated mechanisms.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Automated account lifecycle management is implemented through the identity governance platform. Account creation, modification, and termination workflows are automated with approval gates. Automated notifications are sent for account reviews.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AC-3</w:t>
            </w:r>
            <w:r>
              <w:rPr>
                <w:rFonts w:ascii="Arial" w:cs="Arial" w:eastAsia="Arial" w:hAnsi="Arial"/>
                <w:b w:val="false"/>
                <w:bCs w:val="false"/>
                <w:i w:val="false"/>
                <w:iCs w:val="false"/>
                <w:color w:val="FFFFFF"/>
                <w:sz w:val="22"/>
                <w:szCs w:val="22"/>
              </w:rPr>
              <w:t xml:space="preserve">  Access Enforcement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Enforce approved authorizations for logical access to information and system resources.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Access enforcement is implemented through IAM policies and role-based access controls. All resource access is mediated by the authorization service. Deny-by-default policies are enforced at the network and application layers.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AC-5</w:t>
            </w:r>
            <w:r>
              <w:rPr>
                <w:rFonts w:ascii="Arial" w:cs="Arial" w:eastAsia="Arial" w:hAnsi="Arial"/>
                <w:b w:val="false"/>
                <w:bCs w:val="false"/>
                <w:i w:val="false"/>
                <w:iCs w:val="false"/>
                <w:color w:val="FFFFFF"/>
                <w:sz w:val="22"/>
                <w:szCs w:val="22"/>
              </w:rPr>
              <w:t xml:space="preserve">  Separation of Duties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Define and document separation of duties. Implement separation of duties through assigned access authorizations.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Separation of duties is enforced through role-based access controls. No single individual can approve and execute privileged operations. Duty separation matrices are documented and reviewed annually. IAM policies prevent conflicting role assignments.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AC-6</w:t>
            </w:r>
            <w:r>
              <w:rPr>
                <w:rFonts w:ascii="Arial" w:cs="Arial" w:eastAsia="Arial" w:hAnsi="Arial"/>
                <w:b w:val="false"/>
                <w:bCs w:val="false"/>
                <w:i w:val="false"/>
                <w:iCs w:val="false"/>
                <w:color w:val="FFFFFF"/>
                <w:sz w:val="22"/>
                <w:szCs w:val="22"/>
              </w:rPr>
              <w:t xml:space="preserve">  Least Privilege</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Employ the principle of least privilege, allowing only authorized accesses for users necessary to accomplish assigned tasks.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Access is granted based on least privilege using role-based access controls. IAM policies enforce permission boundaries restricting users to only required resources. Privileged access requires additional approval and is time-limited.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AC-6(1)</w:t>
            </w:r>
            <w:r>
              <w:rPr>
                <w:rFonts w:ascii="Arial" w:cs="Arial" w:eastAsia="Arial" w:hAnsi="Arial"/>
                <w:b w:val="false"/>
                <w:bCs w:val="false"/>
                <w:i w:val="false"/>
                <w:iCs w:val="false"/>
                <w:color w:val="FFFFFF"/>
                <w:sz w:val="22"/>
                <w:szCs w:val="22"/>
              </w:rPr>
              <w:t xml:space="preserve">  Least Privilege | Authorize Access to Security Functions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Authorize access to security functions and security-relevant information for authorized personnel only.</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Access to security functions is restricted to authorized security personnel. IAM policies enforce separation between security administration and general system administration. All security function access is logged and monitored.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AC-7</w:t>
            </w:r>
            <w:r>
              <w:rPr>
                <w:rFonts w:ascii="Arial" w:cs="Arial" w:eastAsia="Arial" w:hAnsi="Arial"/>
                <w:b w:val="false"/>
                <w:bCs w:val="false"/>
                <w:i w:val="false"/>
                <w:iCs w:val="false"/>
                <w:color w:val="FFFFFF"/>
                <w:sz w:val="22"/>
                <w:szCs w:val="22"/>
              </w:rPr>
              <w:t xml:space="preserve">  Unsuccessful Logon Attempts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Enforce a limit of consecutive invalid logon attempts by a user. Automatically lock the account when the maximum number is exceeded.</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The system locks accounts after 3 consecutive failed logon attempts within a 15-minute window. Locked accounts require administrator intervention or a 30-minute automatic unlock. All failed logon attempts are logged and forwarded to the SIEM.</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AC-8</w:t>
            </w:r>
            <w:r>
              <w:rPr>
                <w:rFonts w:ascii="Arial" w:cs="Arial" w:eastAsia="Arial" w:hAnsi="Arial"/>
                <w:b w:val="false"/>
                <w:bCs w:val="false"/>
                <w:i w:val="false"/>
                <w:iCs w:val="false"/>
                <w:color w:val="FFFFFF"/>
                <w:sz w:val="22"/>
                <w:szCs w:val="22"/>
              </w:rPr>
              <w:t xml:space="preserve">  System Use Notification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Display an approved system use notification message before granting access to the system.</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 system use notification banner is displayed at all login points including web applications, SSH sessions, and console access. The banner text is reviewed annually and meets federal requirements for privacy and monitoring disclosure.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AC-17</w:t>
            </w:r>
            <w:r>
              <w:rPr>
                <w:rFonts w:ascii="Arial" w:cs="Arial" w:eastAsia="Arial" w:hAnsi="Arial"/>
                <w:b w:val="false"/>
                <w:bCs w:val="false"/>
                <w:i w:val="false"/>
                <w:iCs w:val="false"/>
                <w:color w:val="FFFFFF"/>
                <w:sz w:val="22"/>
                <w:szCs w:val="22"/>
              </w:rPr>
              <w:t xml:space="preserve">  Remote Access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Establish and document usage restrictions, configuration requirements, and implementation guidance for each type of remote access allowed.</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Remote access is restricted to VPN connections using encrypted tunnels. All remote sessions require multi-factor authentication. Remote access policies are documented and reviewed annually. Session timeouts are enforced after 30 minutes of inactivity.</w:t>
            </w:r>
          </w:p>
        </w:tc>
      </w:tr>
    </w:tbl>
    <w:p>
      <w:pPr>
        <w:spacing w:after="300"/>
      </w:pPr>
    </w:p>
    <w:p>
      <w:pPr>
        <w:pStyle w:val="Heading2"/>
      </w:pPr>
      <w:r>
        <w:t xml:space="preserve">AT — Awareness and Training</w:t>
      </w:r>
    </w:p>
    <w:p>
      <w:pPr>
        <w:spacing w:after="200"/>
      </w:pPr>
      <w:r>
        <w:rPr>
          <w:rFonts w:ascii="Arial" w:cs="Arial" w:eastAsia="Arial" w:hAnsi="Arial"/>
          <w:b w:val="false"/>
          <w:bCs w:val="false"/>
          <w:i w:val="false"/>
          <w:iCs w:val="false"/>
          <w:sz w:val="20"/>
          <w:szCs w:val="20"/>
        </w:rPr>
        <w:t xml:space="preserve">This section documents 2 Awareness and Training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AT-1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awareness and training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Security awareness and training policy is documented and reviewed annually. The policy establishes requirements for initial and annual refresher training. Training completion records are maintained in the learning management system.</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AT-2</w:t>
            </w:r>
            <w:r>
              <w:rPr>
                <w:rFonts w:ascii="Arial" w:cs="Arial" w:eastAsia="Arial" w:hAnsi="Arial"/>
                <w:b w:val="false"/>
                <w:bCs w:val="false"/>
                <w:i w:val="false"/>
                <w:iCs w:val="false"/>
                <w:color w:val="FFFFFF"/>
                <w:sz w:val="22"/>
                <w:szCs w:val="22"/>
              </w:rPr>
              <w:t xml:space="preserve">  Literacy Training and Awareness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Provide security and privacy literacy training to system users. Provide updated training when required by system changes.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personnel complete annual security awareness training within 30 days of onboarding and annually thereafter. Training covers phishing, data handling, incident reporting, and acceptable use. Completion rates are tracked and reported quarterly.</w:t>
            </w:r>
          </w:p>
        </w:tc>
      </w:tr>
    </w:tbl>
    <w:p>
      <w:pPr>
        <w:spacing w:after="300"/>
      </w:pPr>
    </w:p>
    <w:p>
      <w:pPr>
        <w:pStyle w:val="Heading2"/>
      </w:pPr>
      <w:r>
        <w:t xml:space="preserve">AU — Audit and Accountability</w:t>
      </w:r>
    </w:p>
    <w:p>
      <w:pPr>
        <w:spacing w:after="200"/>
      </w:pPr>
      <w:r>
        <w:rPr>
          <w:rFonts w:ascii="Arial" w:cs="Arial" w:eastAsia="Arial" w:hAnsi="Arial"/>
          <w:b w:val="false"/>
          <w:bCs w:val="false"/>
          <w:i w:val="false"/>
          <w:iCs w:val="false"/>
          <w:sz w:val="20"/>
          <w:szCs w:val="20"/>
        </w:rPr>
        <w:t xml:space="preserve">This section documents 6 Audit and Accountability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AU-1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audit and accountability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Audit and accountability policy is documented and reviewed annually. The policy defines auditable events, log retention requirements, and responsibilities for audit log review.</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AU-2</w:t>
            </w:r>
            <w:r>
              <w:rPr>
                <w:rFonts w:ascii="Arial" w:cs="Arial" w:eastAsia="Arial" w:hAnsi="Arial"/>
                <w:b w:val="false"/>
                <w:bCs w:val="false"/>
                <w:i w:val="false"/>
                <w:iCs w:val="false"/>
                <w:color w:val="FFFFFF"/>
                <w:sz w:val="22"/>
                <w:szCs w:val="22"/>
              </w:rPr>
              <w:t xml:space="preserve">  Event Logging</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Identify the types of events that the system is capable of logging. Coordinate the event logging function. Specify event types for logging.</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The system logs all authentication events, authorization decisions, administrative actions, data access events, and system events. Logs are forwarded to a centralized SIEM. Log retention meets the minimum 90-day active and 1-year archive requirement.</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AU-3</w:t>
            </w:r>
            <w:r>
              <w:rPr>
                <w:rFonts w:ascii="Arial" w:cs="Arial" w:eastAsia="Arial" w:hAnsi="Arial"/>
                <w:b w:val="false"/>
                <w:bCs w:val="false"/>
                <w:i w:val="false"/>
                <w:iCs w:val="false"/>
                <w:color w:val="FFFFFF"/>
                <w:sz w:val="22"/>
                <w:szCs w:val="22"/>
              </w:rPr>
              <w:t xml:space="preserve">  Content of Audit Records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Ensure audit records contain information establishing what type of event occurred, when, where, the source, outcome, and associated identity.</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Audit records include: event type, timestamp, source IP, user identity, resource accessed, action performed, and outcome. CloudTrail records include AWS API call details, caller identity, and request parameters.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AU-6</w:t>
            </w:r>
            <w:r>
              <w:rPr>
                <w:rFonts w:ascii="Arial" w:cs="Arial" w:eastAsia="Arial" w:hAnsi="Arial"/>
                <w:b w:val="false"/>
                <w:bCs w:val="false"/>
                <w:i w:val="false"/>
                <w:iCs w:val="false"/>
                <w:color w:val="FFFFFF"/>
                <w:sz w:val="22"/>
                <w:szCs w:val="22"/>
              </w:rPr>
              <w:t xml:space="preserve">  Audit Record Review, Analysis, and Reporting</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Review and analyze system audit records for indications of inappropriate or unusual activity. Report findings to designated officials.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Audit records are reviewed weekly by security operations. Automated SIEM correlation rules detect anomalous patterns. Monthly audit review reports are generated and distributed to the ISSO. Critical findings trigger immediate incident response.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AU-9</w:t>
            </w:r>
            <w:r>
              <w:rPr>
                <w:rFonts w:ascii="Arial" w:cs="Arial" w:eastAsia="Arial" w:hAnsi="Arial"/>
                <w:b w:val="false"/>
                <w:bCs w:val="false"/>
                <w:i w:val="false"/>
                <w:iCs w:val="false"/>
                <w:color w:val="FFFFFF"/>
                <w:sz w:val="22"/>
                <w:szCs w:val="22"/>
              </w:rPr>
              <w:t xml:space="preserve">  Protection of Audit Information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Protect audit information and audit logging tools from unauthorized access, modification, and deletion.</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Audit logs are stored in a dedicated logging bucket with write-once policies. Access to audit logs is restricted to security personnel. Log integrity is verified through hash validation. Deletion requires multi-person authorization.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AU-12</w:t>
            </w:r>
            <w:r>
              <w:rPr>
                <w:rFonts w:ascii="Arial" w:cs="Arial" w:eastAsia="Arial" w:hAnsi="Arial"/>
                <w:b w:val="false"/>
                <w:bCs w:val="false"/>
                <w:i w:val="false"/>
                <w:iCs w:val="false"/>
                <w:color w:val="FFFFFF"/>
                <w:sz w:val="22"/>
                <w:szCs w:val="22"/>
              </w:rPr>
              <w:t xml:space="preserve">  Audit Record Generation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Provide audit record generation capability for the event types the system is capable of auditing.</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CloudTrail provides audit record generation for all AWS API calls. Application-level logging captures user actions, data access, and administrative operations. Event type selection is configured by security administrators.</w:t>
            </w:r>
          </w:p>
        </w:tc>
      </w:tr>
    </w:tbl>
    <w:p>
      <w:pPr>
        <w:spacing w:after="300"/>
      </w:pPr>
    </w:p>
    <w:p>
      <w:pPr>
        <w:pStyle w:val="Heading2"/>
      </w:pPr>
      <w:r>
        <w:t xml:space="preserve">CM — Configuration Management</w:t>
      </w:r>
    </w:p>
    <w:p>
      <w:pPr>
        <w:spacing w:after="200"/>
      </w:pPr>
      <w:r>
        <w:rPr>
          <w:rFonts w:ascii="Arial" w:cs="Arial" w:eastAsia="Arial" w:hAnsi="Arial"/>
          <w:b w:val="false"/>
          <w:bCs w:val="false"/>
          <w:i w:val="false"/>
          <w:iCs w:val="false"/>
          <w:sz w:val="20"/>
          <w:szCs w:val="20"/>
        </w:rPr>
        <w:t xml:space="preserve">This section documents 8 Configuration Management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configuration management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Configuration management policy is documented and reviewed annually. The policy defines baseline configurations, change control processes, and roles responsible for configuration management.</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CM-2</w:t>
            </w:r>
            <w:r>
              <w:rPr>
                <w:rFonts w:ascii="Arial" w:cs="Arial" w:eastAsia="Arial" w:hAnsi="Arial"/>
                <w:b w:val="false"/>
                <w:bCs w:val="false"/>
                <w:i w:val="false"/>
                <w:iCs w:val="false"/>
                <w:color w:val="FFFFFF"/>
                <w:sz w:val="22"/>
                <w:szCs w:val="22"/>
              </w:rPr>
              <w:t xml:space="preserve">  Baseline Configuration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maintain a current baseline configuration of the system under configuration control.</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Baseline configurations are maintained as infrastructure-as-code in source control. All infrastructure changes are tracked through version control with full audit history. Configuration drift is detected through automated scanning.</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CM-3</w:t>
            </w:r>
            <w:r>
              <w:rPr>
                <w:rFonts w:ascii="Arial" w:cs="Arial" w:eastAsia="Arial" w:hAnsi="Arial"/>
                <w:b w:val="false"/>
                <w:bCs w:val="false"/>
                <w:i w:val="false"/>
                <w:iCs w:val="false"/>
                <w:color w:val="FFFFFF"/>
                <w:sz w:val="22"/>
                <w:szCs w:val="22"/>
              </w:rPr>
              <w:t xml:space="preserve">  Configuration Change Control</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Determine and document the types of changes that are configuration-controlled. Review proposed changes and approve or disapprove.</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changes to production require a change request ticket with justification, security impact analysis, and approval. Changes are tested in staging before production. Emergency changes follow an expedited process with post-implementation review.</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CM-4</w:t>
            </w:r>
            <w:r>
              <w:rPr>
                <w:rFonts w:ascii="Arial" w:cs="Arial" w:eastAsia="Arial" w:hAnsi="Arial"/>
                <w:b w:val="false"/>
                <w:bCs w:val="false"/>
                <w:i w:val="false"/>
                <w:iCs w:val="false"/>
                <w:color w:val="FFFFFF"/>
                <w:sz w:val="22"/>
                <w:szCs w:val="22"/>
              </w:rPr>
              <w:t xml:space="preserve">  Impact Analyses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Analyze changes to the system to determine potential security and privacy impacts prior to change implementation.</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Security impact analyses are conducted for all proposed changes through the change advisory board. Automated security scans run in the CI/CD pipeline. Results are reviewed by security personnel before approval.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CM-5</w:t>
            </w:r>
            <w:r>
              <w:rPr>
                <w:rFonts w:ascii="Arial" w:cs="Arial" w:eastAsia="Arial" w:hAnsi="Arial"/>
                <w:b w:val="false"/>
                <w:bCs w:val="false"/>
                <w:i w:val="false"/>
                <w:iCs w:val="false"/>
                <w:color w:val="FFFFFF"/>
                <w:sz w:val="22"/>
                <w:szCs w:val="22"/>
              </w:rPr>
              <w:t xml:space="preserve">  Access Restrictions for Change</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Define, document, approve, and enforce physical and logical access restrictions associated with changes to the system.</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Access to production for changes is restricted through branch protection rules and PR requirements. Direct commits to production branches are prohibited. All code changes require peer review and approval before merge.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CM-6</w:t>
            </w:r>
            <w:r>
              <w:rPr>
                <w:rFonts w:ascii="Arial" w:cs="Arial" w:eastAsia="Arial" w:hAnsi="Arial"/>
                <w:b w:val="false"/>
                <w:bCs w:val="false"/>
                <w:i w:val="false"/>
                <w:iCs w:val="false"/>
                <w:color w:val="FFFFFF"/>
                <w:sz w:val="22"/>
                <w:szCs w:val="22"/>
              </w:rPr>
              <w:t xml:space="preserve">  Configuration Settings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Establish and document configuration settings for components. Identify, document, and approve deviations from established settings.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Configuration settings follow CIS benchmarks and STIG guidelines. Automated compliance scanning identifies deviations from approved baselines. Non-compliant configurations are flagged for remediation.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CM-7</w:t>
            </w:r>
            <w:r>
              <w:rPr>
                <w:rFonts w:ascii="Arial" w:cs="Arial" w:eastAsia="Arial" w:hAnsi="Arial"/>
                <w:b w:val="false"/>
                <w:bCs w:val="false"/>
                <w:i w:val="false"/>
                <w:iCs w:val="false"/>
                <w:color w:val="FFFFFF"/>
                <w:sz w:val="22"/>
                <w:szCs w:val="22"/>
              </w:rPr>
              <w:t xml:space="preserve">  Least Functionality</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Configure the system to provide only mission-essential capabilities. Prohibit or restrict non-essential functions, ports, protocols, and services.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Systems are deployed with minimal installed services. Unnecessary ports and protocols are disabled. Container images use minimal base images. Security groups enforce allow-list rules.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CM-8</w:t>
            </w:r>
            <w:r>
              <w:rPr>
                <w:rFonts w:ascii="Arial" w:cs="Arial" w:eastAsia="Arial" w:hAnsi="Arial"/>
                <w:b w:val="false"/>
                <w:bCs w:val="false"/>
                <w:i w:val="false"/>
                <w:iCs w:val="false"/>
                <w:color w:val="FFFFFF"/>
                <w:sz w:val="22"/>
                <w:szCs w:val="22"/>
              </w:rPr>
              <w:t xml:space="preserve">  System Component Inventory</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and document an inventory of system components that accurately reflects the system.</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System component inventory is maintained through automated discovery and cloud service APIs. Inventory includes all compute instances, containers, storage resources, and network components. Reconciled weekly.</w:t>
            </w:r>
          </w:p>
        </w:tc>
      </w:tr>
    </w:tbl>
    <w:p>
      <w:pPr>
        <w:spacing w:after="300"/>
      </w:pPr>
    </w:p>
    <w:p>
      <w:pPr>
        <w:pStyle w:val="Heading2"/>
      </w:pPr>
      <w:r>
        <w:t xml:space="preserve">CP — Contingency Planning</w:t>
      </w:r>
    </w:p>
    <w:p>
      <w:pPr>
        <w:spacing w:after="200"/>
      </w:pPr>
      <w:r>
        <w:rPr>
          <w:rFonts w:ascii="Arial" w:cs="Arial" w:eastAsia="Arial" w:hAnsi="Arial"/>
          <w:b w:val="false"/>
          <w:bCs w:val="false"/>
          <w:i w:val="false"/>
          <w:iCs w:val="false"/>
          <w:sz w:val="20"/>
          <w:szCs w:val="20"/>
        </w:rPr>
        <w:t xml:space="preserve">This section documents 2 Contingency Planning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CP-1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contingency planning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Contingency planning policy is documented and reviewed annually. The policy defines RTOs, RPOs, and roles responsible for contingency operations.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CP-9</w:t>
            </w:r>
            <w:r>
              <w:rPr>
                <w:rFonts w:ascii="Arial" w:cs="Arial" w:eastAsia="Arial" w:hAnsi="Arial"/>
                <w:b w:val="false"/>
                <w:bCs w:val="false"/>
                <w:i w:val="false"/>
                <w:iCs w:val="false"/>
                <w:color w:val="FFFFFF"/>
                <w:sz w:val="22"/>
                <w:szCs w:val="22"/>
              </w:rPr>
              <w:t xml:space="preserve">  System Backup</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Conduct backups of user-level information, system-level information, and system documentation. Protect backup information at storage locations.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Automated backups are performed daily for all system data. Backups are encrypted at rest and stored in a separate availability zone. Backup integrity is verified through automated restoration tests monthly.</w:t>
            </w:r>
          </w:p>
        </w:tc>
      </w:tr>
    </w:tbl>
    <w:p>
      <w:pPr>
        <w:spacing w:after="300"/>
      </w:pPr>
    </w:p>
    <w:p>
      <w:pPr>
        <w:pStyle w:val="Heading2"/>
      </w:pPr>
      <w:r>
        <w:t xml:space="preserve">IA — Identification and Authentication</w:t>
      </w:r>
    </w:p>
    <w:p>
      <w:pPr>
        <w:spacing w:after="200"/>
      </w:pPr>
      <w:r>
        <w:rPr>
          <w:rFonts w:ascii="Arial" w:cs="Arial" w:eastAsia="Arial" w:hAnsi="Arial"/>
          <w:b w:val="false"/>
          <w:bCs w:val="false"/>
          <w:i w:val="false"/>
          <w:iCs w:val="false"/>
          <w:sz w:val="20"/>
          <w:szCs w:val="20"/>
        </w:rPr>
        <w:t xml:space="preserve">This section documents 6 Identification and Authentication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IA-1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identification and authentication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Identification and authentication policy is documented and reviewed annually. The policy defines authentication requirements including MFA enforcement, password complexity, and authenticator management.</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IA-2</w:t>
            </w:r>
            <w:r>
              <w:rPr>
                <w:rFonts w:ascii="Arial" w:cs="Arial" w:eastAsia="Arial" w:hAnsi="Arial"/>
                <w:b w:val="false"/>
                <w:bCs w:val="false"/>
                <w:i w:val="false"/>
                <w:iCs w:val="false"/>
                <w:color w:val="FFFFFF"/>
                <w:sz w:val="22"/>
                <w:szCs w:val="22"/>
              </w:rPr>
              <w:t xml:space="preserve">  Identification and Authentication (Organizational Users)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Uniquely identify and authenticate organizational users and associate that unique identification with processes acting on behalf of those users.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organizational users are uniquely identified with a user ID. Authentication requires multi-factor authentication for all interactive access. MFA is enforced at the identity provider level for console access and at the API level for programmatic access.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IA-2(1)</w:t>
            </w:r>
            <w:r>
              <w:rPr>
                <w:rFonts w:ascii="Arial" w:cs="Arial" w:eastAsia="Arial" w:hAnsi="Arial"/>
                <w:b w:val="false"/>
                <w:bCs w:val="false"/>
                <w:i w:val="false"/>
                <w:iCs w:val="false"/>
                <w:color w:val="FFFFFF"/>
                <w:sz w:val="22"/>
                <w:szCs w:val="22"/>
              </w:rPr>
              <w:t xml:space="preserve">  Identification and Authentication | MFA to Privileged Accounts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Implement multi-factor authentication for access to privileged accounts.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Multi-factor authentication is required for all privileged account access including system administrators, security administrators, and database administrators. MFA is enforced through the identity provider and cannot be bypassed.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IA-4</w:t>
            </w:r>
            <w:r>
              <w:rPr>
                <w:rFonts w:ascii="Arial" w:cs="Arial" w:eastAsia="Arial" w:hAnsi="Arial"/>
                <w:b w:val="false"/>
                <w:bCs w:val="false"/>
                <w:i w:val="false"/>
                <w:iCs w:val="false"/>
                <w:color w:val="FFFFFF"/>
                <w:sz w:val="22"/>
                <w:szCs w:val="22"/>
              </w:rPr>
              <w:t xml:space="preserve">  Identifier Management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Manage system identifiers by receiving authorization, selecting and assigning identifiers, preventing reuse, and disabling after inactivity.</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Unique identifiers are assigned through the identity governance platform with manager approval. Identifiers are not reused. Identifiers for terminated personnel are disabled within 24 hours. Procedures reviewed annually.</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IA-5</w:t>
            </w:r>
            <w:r>
              <w:rPr>
                <w:rFonts w:ascii="Arial" w:cs="Arial" w:eastAsia="Arial" w:hAnsi="Arial"/>
                <w:b w:val="false"/>
                <w:bCs w:val="false"/>
                <w:i w:val="false"/>
                <w:iCs w:val="false"/>
                <w:color w:val="FFFFFF"/>
                <w:sz w:val="22"/>
                <w:szCs w:val="22"/>
              </w:rPr>
              <w:t xml:space="preserve">  Authenticator Management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Manage system authenticators by verifying identity, establishing initial content, ensuring sufficient strength, and establishing procedures for distribution and revocation.</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Password policy enforces minimum 12-character passwords with complexity. Passwords expire every 90 days and the last 24 are remembered. API access keys are rotated every 90 days. Compromised authenticators revoked within 24 hours.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IA-5(1)</w:t>
            </w:r>
            <w:r>
              <w:rPr>
                <w:rFonts w:ascii="Arial" w:cs="Arial" w:eastAsia="Arial" w:hAnsi="Arial"/>
                <w:b w:val="false"/>
                <w:bCs w:val="false"/>
                <w:i w:val="false"/>
                <w:iCs w:val="false"/>
                <w:color w:val="FFFFFF"/>
                <w:sz w:val="22"/>
                <w:szCs w:val="22"/>
              </w:rPr>
              <w:t xml:space="preserve">  Authenticator Management | Password-Based Authentication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For password-based authentication, enforce minimum password complexity and change requirements.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Password policy enforces: minimum 12 characters, at least one uppercase, one lowercase, one number, and one special character. Cannot match previous 24 passwords. Account lockout after 3 failed attempts.</w:t>
            </w:r>
          </w:p>
        </w:tc>
      </w:tr>
    </w:tbl>
    <w:p>
      <w:pPr>
        <w:spacing w:after="300"/>
      </w:pPr>
    </w:p>
    <w:p>
      <w:pPr>
        <w:pStyle w:val="Heading2"/>
      </w:pPr>
      <w:r>
        <w:t xml:space="preserve">IR — Incident Response</w:t>
      </w:r>
    </w:p>
    <w:p>
      <w:pPr>
        <w:spacing w:after="200"/>
      </w:pPr>
      <w:r>
        <w:rPr>
          <w:rFonts w:ascii="Arial" w:cs="Arial" w:eastAsia="Arial" w:hAnsi="Arial"/>
          <w:b w:val="false"/>
          <w:bCs w:val="false"/>
          <w:i w:val="false"/>
          <w:iCs w:val="false"/>
          <w:sz w:val="20"/>
          <w:szCs w:val="20"/>
        </w:rPr>
        <w:t xml:space="preserve">This section documents 3 Incident Response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IR-1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incident response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Incident response policy is documented and reviewed annually. The policy defines incident categories, severity levels, escalation procedures, and reporting timelines.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IR-4</w:t>
            </w:r>
            <w:r>
              <w:rPr>
                <w:rFonts w:ascii="Arial" w:cs="Arial" w:eastAsia="Arial" w:hAnsi="Arial"/>
                <w:b w:val="false"/>
                <w:bCs w:val="false"/>
                <w:i w:val="false"/>
                <w:iCs w:val="false"/>
                <w:color w:val="FFFFFF"/>
                <w:sz w:val="22"/>
                <w:szCs w:val="22"/>
              </w:rPr>
              <w:t xml:space="preserve">  Incident Handling</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Implement an incident handling capability that includes preparation, detection and analysis, containment, eradication, and recovery.</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Incident handling follows documented procedures with defined roles. Automated alerting from SIEM triggers the process. Incident tickets are tracked through resolution. Post-incident reviews within 5 business days of closure.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IR-6</w:t>
            </w:r>
            <w:r>
              <w:rPr>
                <w:rFonts w:ascii="Arial" w:cs="Arial" w:eastAsia="Arial" w:hAnsi="Arial"/>
                <w:b w:val="false"/>
                <w:bCs w:val="false"/>
                <w:i w:val="false"/>
                <w:iCs w:val="false"/>
                <w:color w:val="FFFFFF"/>
                <w:sz w:val="22"/>
                <w:szCs w:val="22"/>
              </w:rPr>
              <w:t xml:space="preserve">  Incident Reporting</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Require personnel to report suspected incidents. Report incidents to designated authorities.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personnel report suspected incidents within 1 hour. Incidents are reported through the ticketing system and escalated per severity matrix. US-CERT reporting completed within required timeframes.</w:t>
            </w:r>
          </w:p>
        </w:tc>
      </w:tr>
    </w:tbl>
    <w:p>
      <w:pPr>
        <w:spacing w:after="300"/>
      </w:pPr>
    </w:p>
    <w:p>
      <w:pPr>
        <w:pStyle w:val="Heading2"/>
      </w:pPr>
      <w:r>
        <w:t xml:space="preserve">MA — Maintenance</w:t>
      </w:r>
    </w:p>
    <w:p>
      <w:pPr>
        <w:spacing w:after="200"/>
      </w:pPr>
      <w:r>
        <w:rPr>
          <w:rFonts w:ascii="Arial" w:cs="Arial" w:eastAsia="Arial" w:hAnsi="Arial"/>
          <w:b w:val="false"/>
          <w:bCs w:val="false"/>
          <w:i w:val="false"/>
          <w:iCs w:val="false"/>
          <w:sz w:val="20"/>
          <w:szCs w:val="20"/>
        </w:rPr>
        <w:t xml:space="preserve">This section documents 1 Maintenance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MA-1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system maintenance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System maintenance policy is documented and reviewed annually. The policy defines scheduled and unscheduled maintenance procedures, remote maintenance requirements, and personnel authorization.</w:t>
            </w:r>
          </w:p>
        </w:tc>
      </w:tr>
    </w:tbl>
    <w:p>
      <w:pPr>
        <w:spacing w:after="300"/>
      </w:pPr>
    </w:p>
    <w:p>
      <w:pPr>
        <w:pStyle w:val="Heading2"/>
      </w:pPr>
      <w:r>
        <w:t xml:space="preserve">PE — Physical and Environmental Protection</w:t>
      </w:r>
    </w:p>
    <w:p>
      <w:pPr>
        <w:spacing w:after="200"/>
      </w:pPr>
      <w:r>
        <w:rPr>
          <w:rFonts w:ascii="Arial" w:cs="Arial" w:eastAsia="Arial" w:hAnsi="Arial"/>
          <w:b w:val="false"/>
          <w:bCs w:val="false"/>
          <w:i w:val="false"/>
          <w:iCs w:val="false"/>
          <w:sz w:val="20"/>
          <w:szCs w:val="20"/>
        </w:rPr>
        <w:t xml:space="preserve">This section documents 3 Physical and Environmental Protection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PE-1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physical and environmental protection policy and procedures.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shd w:fill="E1D5E7"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E1D5E7"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Inherited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Corporate</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Physical and environmental protection is inherited from the cloud service provider (AWS). AWS maintains SOC 2 Type II and FedRAMP High authorization for physical security controls.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PE-2</w:t>
            </w:r>
            <w:r>
              <w:rPr>
                <w:rFonts w:ascii="Arial" w:cs="Arial" w:eastAsia="Arial" w:hAnsi="Arial"/>
                <w:b w:val="false"/>
                <w:bCs w:val="false"/>
                <w:i w:val="false"/>
                <w:iCs w:val="false"/>
                <w:color w:val="FFFFFF"/>
                <w:sz w:val="22"/>
                <w:szCs w:val="22"/>
              </w:rPr>
              <w:t xml:space="preserve">  Physical Access Authorizations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approve, and maintain a list of individuals with authorized access to the facility.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shd w:fill="E1D5E7"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E1D5E7"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Inherited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Corporate</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Physical access authorizations are inherited from AWS. AWS controls physical access through multi-factor authentication, biometric scanners, and security personnel.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PE-3</w:t>
            </w:r>
            <w:r>
              <w:rPr>
                <w:rFonts w:ascii="Arial" w:cs="Arial" w:eastAsia="Arial" w:hAnsi="Arial"/>
                <w:b w:val="false"/>
                <w:bCs w:val="false"/>
                <w:i w:val="false"/>
                <w:iCs w:val="false"/>
                <w:color w:val="FFFFFF"/>
                <w:sz w:val="22"/>
                <w:szCs w:val="22"/>
              </w:rPr>
              <w:t xml:space="preserve">  Physical Access Control</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Enforce physical access authorizations at entry and exit points to the facility.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shd w:fill="E1D5E7"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E1D5E7"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Inherited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Corporate</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Physical access controls at data center facilities are inherited from AWS. Entry points require badge access with biometric verification. Visitor escorts required in all secure areas.</w:t>
            </w:r>
          </w:p>
        </w:tc>
      </w:tr>
    </w:tbl>
    <w:p>
      <w:pPr>
        <w:spacing w:after="300"/>
      </w:pPr>
    </w:p>
    <w:p>
      <w:pPr>
        <w:pStyle w:val="Heading2"/>
      </w:pPr>
      <w:r>
        <w:t xml:space="preserve">PL — Planning</w:t>
      </w:r>
    </w:p>
    <w:p>
      <w:pPr>
        <w:spacing w:after="200"/>
      </w:pPr>
      <w:r>
        <w:rPr>
          <w:rFonts w:ascii="Arial" w:cs="Arial" w:eastAsia="Arial" w:hAnsi="Arial"/>
          <w:b w:val="false"/>
          <w:bCs w:val="false"/>
          <w:i w:val="false"/>
          <w:iCs w:val="false"/>
          <w:sz w:val="20"/>
          <w:szCs w:val="20"/>
        </w:rPr>
        <w:t xml:space="preserve">This section documents 1 Planning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PL-1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planning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Security planning policy is documented and reviewed annually. The policy establishes requirements for system security plans, rules of behavior, and security planning activities.</w:t>
            </w:r>
          </w:p>
        </w:tc>
      </w:tr>
    </w:tbl>
    <w:p>
      <w:pPr>
        <w:spacing w:after="300"/>
      </w:pPr>
    </w:p>
    <w:p>
      <w:pPr>
        <w:pStyle w:val="Heading2"/>
      </w:pPr>
      <w:r>
        <w:t xml:space="preserve">RA — Risk Assessment</w:t>
      </w:r>
    </w:p>
    <w:p>
      <w:pPr>
        <w:spacing w:after="200"/>
      </w:pPr>
      <w:r>
        <w:rPr>
          <w:rFonts w:ascii="Arial" w:cs="Arial" w:eastAsia="Arial" w:hAnsi="Arial"/>
          <w:b w:val="false"/>
          <w:bCs w:val="false"/>
          <w:i w:val="false"/>
          <w:iCs w:val="false"/>
          <w:sz w:val="20"/>
          <w:szCs w:val="20"/>
        </w:rPr>
        <w:t xml:space="preserve">This section documents 2 Risk Assessment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RA-1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risk assessment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Risk assessment policy is documented and reviewed annually. The policy defines risk assessment methodologies, frequency requirements, and risk acceptance criteria.</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RA-5</w:t>
            </w:r>
            <w:r>
              <w:rPr>
                <w:rFonts w:ascii="Arial" w:cs="Arial" w:eastAsia="Arial" w:hAnsi="Arial"/>
                <w:b w:val="false"/>
                <w:bCs w:val="false"/>
                <w:i w:val="false"/>
                <w:iCs w:val="false"/>
                <w:color w:val="FFFFFF"/>
                <w:sz w:val="22"/>
                <w:szCs w:val="22"/>
              </w:rPr>
              <w:t xml:space="preserve">  Vulnerability Monitoring and Scanning</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Monitor and scan for vulnerabilities in the system and hosted applications. Employ vulnerability monitoring tools and techniques.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Vulnerability scans are performed continuously against all system components. Critical vulnerabilities remediated within 15 days, high within 30 days. Scan results correlated with asset inventory for complete coverage.</w:t>
            </w:r>
          </w:p>
        </w:tc>
      </w:tr>
    </w:tbl>
    <w:p>
      <w:pPr>
        <w:spacing w:after="300"/>
      </w:pPr>
    </w:p>
    <w:p>
      <w:pPr>
        <w:pStyle w:val="Heading2"/>
      </w:pPr>
      <w:r>
        <w:t xml:space="preserve">SC — System and Communications Protection</w:t>
      </w:r>
    </w:p>
    <w:p>
      <w:pPr>
        <w:spacing w:after="200"/>
      </w:pPr>
      <w:r>
        <w:rPr>
          <w:rFonts w:ascii="Arial" w:cs="Arial" w:eastAsia="Arial" w:hAnsi="Arial"/>
          <w:b w:val="false"/>
          <w:bCs w:val="false"/>
          <w:i w:val="false"/>
          <w:iCs w:val="false"/>
          <w:sz w:val="20"/>
          <w:szCs w:val="20"/>
        </w:rPr>
        <w:t xml:space="preserve">This section documents 6 System and Communications Protection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SC-1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system and communications protection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System and communications protection policy is documented and reviewed annually. The policy defines encryption requirements, boundary protection, and network security controls.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SC-7</w:t>
            </w:r>
            <w:r>
              <w:rPr>
                <w:rFonts w:ascii="Arial" w:cs="Arial" w:eastAsia="Arial" w:hAnsi="Arial"/>
                <w:b w:val="false"/>
                <w:bCs w:val="false"/>
                <w:i w:val="false"/>
                <w:iCs w:val="false"/>
                <w:color w:val="FFFFFF"/>
                <w:sz w:val="22"/>
                <w:szCs w:val="22"/>
              </w:rPr>
              <w:t xml:space="preserve">  Boundary Protection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Monitor and control communications at external managed interfaces and key internal managed interfaces within the system.</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The system boundary is protected by network security controls that inspect and filter all traffic. Public-facing components are isolated in separate subnets. Security groups enforce allow-list rules.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SC-8</w:t>
            </w:r>
            <w:r>
              <w:rPr>
                <w:rFonts w:ascii="Arial" w:cs="Arial" w:eastAsia="Arial" w:hAnsi="Arial"/>
                <w:b w:val="false"/>
                <w:bCs w:val="false"/>
                <w:i w:val="false"/>
                <w:iCs w:val="false"/>
                <w:color w:val="FFFFFF"/>
                <w:sz w:val="22"/>
                <w:szCs w:val="22"/>
              </w:rPr>
              <w:t xml:space="preserve">  Transmission Confidentiality and Integrity</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Protect the confidentiality and integrity of transmitted information.</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data in transit is encrypted using TLS 1.2 or higher. Internal service-to-service communication uses mutual TLS. Certificate management is automated. Unencrypted protocols are blocked.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SC-12</w:t>
            </w:r>
            <w:r>
              <w:rPr>
                <w:rFonts w:ascii="Arial" w:cs="Arial" w:eastAsia="Arial" w:hAnsi="Arial"/>
                <w:b w:val="false"/>
                <w:bCs w:val="false"/>
                <w:i w:val="false"/>
                <w:iCs w:val="false"/>
                <w:color w:val="FFFFFF"/>
                <w:sz w:val="22"/>
                <w:szCs w:val="22"/>
              </w:rPr>
              <w:t xml:space="preserve">  Cryptographic Key Establishment and Management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Establish and manage cryptographic keys when cryptography is employed within the system.</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Cryptographic keys are managed through the cloud key management service. Key rotation is automated annually. Key access is restricted to authorized services through IAM policies. Key usage is logged.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SC-13</w:t>
            </w:r>
            <w:r>
              <w:rPr>
                <w:rFonts w:ascii="Arial" w:cs="Arial" w:eastAsia="Arial" w:hAnsi="Arial"/>
                <w:b w:val="false"/>
                <w:bCs w:val="false"/>
                <w:i w:val="false"/>
                <w:iCs w:val="false"/>
                <w:color w:val="FFFFFF"/>
                <w:sz w:val="22"/>
                <w:szCs w:val="22"/>
              </w:rPr>
              <w:t xml:space="preserve">  Cryptographic Protection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Implement FIPS-validated cryptography in accordance with applicable laws, regulations, and policies.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cryptographic modules use FIPS 140-2 validated algorithms. AES-256 for data at rest. TLS 1.2+ with FIPS-approved cipher suites for data in transit. Non-FIPS implementations are prohibited.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SC-28</w:t>
            </w:r>
            <w:r>
              <w:rPr>
                <w:rFonts w:ascii="Arial" w:cs="Arial" w:eastAsia="Arial" w:hAnsi="Arial"/>
                <w:b w:val="false"/>
                <w:bCs w:val="false"/>
                <w:i w:val="false"/>
                <w:iCs w:val="false"/>
                <w:color w:val="FFFFFF"/>
                <w:sz w:val="22"/>
                <w:szCs w:val="22"/>
              </w:rPr>
              <w:t xml:space="preserve">  Protection of Information at Rest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Protect the confidentiality and integrity of information at rest.</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data at rest is encrypted using AES-256 managed through the key management service. Encryption is enforced at the storage layer. Unencrypted storage resources are flagged as non-compliant.</w:t>
            </w:r>
          </w:p>
        </w:tc>
      </w:tr>
    </w:tbl>
    <w:p>
      <w:pPr>
        <w:spacing w:after="300"/>
      </w:pPr>
    </w:p>
    <w:p>
      <w:pPr>
        <w:pStyle w:val="Heading2"/>
      </w:pPr>
      <w:r>
        <w:t xml:space="preserve">SI — System and Information Integrity</w:t>
      </w:r>
    </w:p>
    <w:p>
      <w:pPr>
        <w:spacing w:after="200"/>
      </w:pPr>
      <w:r>
        <w:rPr>
          <w:rFonts w:ascii="Arial" w:cs="Arial" w:eastAsia="Arial" w:hAnsi="Arial"/>
          <w:b w:val="false"/>
          <w:bCs w:val="false"/>
          <w:i w:val="false"/>
          <w:iCs w:val="false"/>
          <w:sz w:val="20"/>
          <w:szCs w:val="20"/>
        </w:rPr>
        <w:t xml:space="preserve">This section documents 5 System and Information Integrity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SI-1</w:t>
            </w:r>
            <w:r>
              <w:rPr>
                <w:rFonts w:ascii="Arial" w:cs="Arial" w:eastAsia="Arial" w:hAnsi="Arial"/>
                <w:b w:val="false"/>
                <w:bCs w:val="false"/>
                <w:i w:val="false"/>
                <w:iCs w:val="false"/>
                <w:color w:val="FFFFFF"/>
                <w:sz w:val="22"/>
                <w:szCs w:val="22"/>
              </w:rPr>
              <w:t xml:space="preserve">  Policy and Procedures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Develop, document, and disseminate system and information integrity policy and procedures.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Manual</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System and information integrity policy is documented and reviewed annually. The policy defines flaw remediation timelines, malware protection requirements, and monitoring expectations.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SI-2</w:t>
            </w:r>
            <w:r>
              <w:rPr>
                <w:rFonts w:ascii="Arial" w:cs="Arial" w:eastAsia="Arial" w:hAnsi="Arial"/>
                <w:b w:val="false"/>
                <w:bCs w:val="false"/>
                <w:i w:val="false"/>
                <w:iCs w:val="false"/>
                <w:color w:val="FFFFFF"/>
                <w:sz w:val="22"/>
                <w:szCs w:val="22"/>
              </w:rPr>
              <w:t xml:space="preserve">  Flaw Remediation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Identify, report, and correct system flaws. Install security-relevant updates within defined time periods.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Critical patches applied within 15 days. High within 30 days. Moderate within 90 days. Automated patch management deploys updates through the CI/CD pipeline with testing.</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SI-3</w:t>
            </w:r>
            <w:r>
              <w:rPr>
                <w:rFonts w:ascii="Arial" w:cs="Arial" w:eastAsia="Arial" w:hAnsi="Arial"/>
                <w:b w:val="false"/>
                <w:bCs w:val="false"/>
                <w:i w:val="false"/>
                <w:iCs w:val="false"/>
                <w:color w:val="FFFFFF"/>
                <w:sz w:val="22"/>
                <w:szCs w:val="22"/>
              </w:rPr>
              <w:t xml:space="preserve">  Malicious Code Protection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Implement malicious code protection mechanisms at system entry and exit points. Update mechanisms when new releases are available.</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Endpoint protection deployed on all compute instances. Malware signatures updated automatically. Container images scanned before deployment. Email and web traffic inspected at the network boundary.</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SI-4</w:t>
            </w:r>
            <w:r>
              <w:rPr>
                <w:rFonts w:ascii="Arial" w:cs="Arial" w:eastAsia="Arial" w:hAnsi="Arial"/>
                <w:b w:val="false"/>
                <w:bCs w:val="false"/>
                <w:i w:val="false"/>
                <w:iCs w:val="false"/>
                <w:color w:val="FFFFFF"/>
                <w:sz w:val="22"/>
                <w:szCs w:val="22"/>
              </w:rPr>
              <w:t xml:space="preserve">  System Monitoring</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Monitor the system to detect attacks and indicators of potential attacks. Monitor inbound and outbound communications for unusual activities.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Continuous monitoring through SIEM integration. Network traffic analysis detects anomalous patterns. Security operations reviews alerts daily. Critical alerts trigger automated incident creation.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SI-5</w:t>
            </w:r>
            <w:r>
              <w:rPr>
                <w:rFonts w:ascii="Arial" w:cs="Arial" w:eastAsia="Arial" w:hAnsi="Arial"/>
                <w:b w:val="false"/>
                <w:bCs w:val="false"/>
                <w:i w:val="false"/>
                <w:iCs w:val="false"/>
                <w:color w:val="FFFFFF"/>
                <w:sz w:val="22"/>
                <w:szCs w:val="22"/>
              </w:rPr>
              <w:t xml:space="preserve">  Security Alerts, Advisories, and Directives</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Receive system security alerts, advisories, and directives from external organizations. Generate internal alerts and directives.</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AE8FC"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Hybrid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Security alerts from US-CERT, CISA, and vendor advisories monitored daily. Critical advisories trigger immediate assessment. Internal bulletins distributed within 24 hours. Advisory tracking maintained in ticketing system.</w:t>
            </w:r>
          </w:p>
        </w:tc>
      </w:tr>
    </w:tbl>
    <w:p>
      <w:pPr>
        <w:spacing w:after="300"/>
      </w:pPr>
    </w:p>
    <w:p>
      <w:pPr>
        <w:pStyle w:val="Heading2"/>
      </w:pPr>
      <w:r>
        <w:t xml:space="preserve">SA — System and Services Acquisition</w:t>
      </w:r>
    </w:p>
    <w:p>
      <w:pPr>
        <w:spacing w:after="200"/>
      </w:pPr>
      <w:r>
        <w:rPr>
          <w:rFonts w:ascii="Arial" w:cs="Arial" w:eastAsia="Arial" w:hAnsi="Arial"/>
          <w:b w:val="false"/>
          <w:bCs w:val="false"/>
          <w:i w:val="false"/>
          <w:iCs w:val="false"/>
          <w:sz w:val="20"/>
          <w:szCs w:val="20"/>
        </w:rPr>
        <w:t xml:space="preserve">This section documents 2 System and Services Acquisition controls within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SA-10</w:t>
            </w:r>
            <w:r>
              <w:rPr>
                <w:rFonts w:ascii="Arial" w:cs="Arial" w:eastAsia="Arial" w:hAnsi="Arial"/>
                <w:b w:val="false"/>
                <w:bCs w:val="false"/>
                <w:i w:val="false"/>
                <w:iCs w:val="false"/>
                <w:color w:val="FFFFFF"/>
                <w:sz w:val="22"/>
                <w:szCs w:val="22"/>
              </w:rPr>
              <w:t xml:space="preserve">  Developer Configuration Management</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Require the developer to perform configuration management during development, implementation, and operation.</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All source code is in version control with enforced branch protection. Code changes require PR approval from at least one reviewer. Build artifacts produced through automated CI/CD pipelines. Configuration-as-code enforced.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i w:val="false"/>
                <w:iCs w:val="false"/>
                <w:color w:val="FFFFFF"/>
                <w:sz w:val="22"/>
                <w:szCs w:val="22"/>
              </w:rPr>
              <w:t xml:space="preserve">SA-11</w:t>
            </w:r>
            <w:r>
              <w:rPr>
                <w:rFonts w:ascii="Arial" w:cs="Arial" w:eastAsia="Arial" w:hAnsi="Arial"/>
                <w:b w:val="false"/>
                <w:bCs w:val="false"/>
                <w:i w:val="false"/>
                <w:iCs w:val="false"/>
                <w:color w:val="FFFFFF"/>
                <w:sz w:val="22"/>
                <w:szCs w:val="22"/>
              </w:rPr>
              <w:t xml:space="preserve">  Developer Testing and Evaluation</w:t>
            </w:r>
          </w:p>
        </w:tc>
      </w:tr>
      <w:tr>
        <w:tc>
          <w:tcPr>
            <w:tcW w:type="dxa" w:w="9360"/>
            <w:gridSpan w:val="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Requirement:</w:t>
            </w:r>
          </w:p>
          <w:p>
            <w:r>
              <w:rPr>
                <w:rFonts w:ascii="Arial" w:cs="Arial" w:eastAsia="Arial" w:hAnsi="Arial"/>
                <w:b w:val="false"/>
                <w:bCs w:val="false"/>
                <w:i/>
                <w:iCs/>
                <w:sz w:val="20"/>
                <w:szCs w:val="20"/>
              </w:rPr>
              <w:t xml:space="preserve">Require the developer to create and implement a security assessment plan. Perform unit, integration, system, and regression testing.</w:t>
            </w:r>
          </w:p>
        </w:tc>
      </w:tr>
      <w:tr>
        <w:tc>
          <w:tcPr>
            <w:tcW w:type="dxa" w:w="2340"/>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Implemented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Planned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Not Applicable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0"/>
                <w:szCs w:val="20"/>
              </w:rPr>
              <w:t xml:space="preserve"> Inherited</w:t>
            </w:r>
          </w:p>
        </w:tc>
      </w:tr>
      <w:tr>
        <w:tc>
          <w:tcPr>
            <w:tcW w:type="dxa" w:w="4680"/>
            <w:gridSpan w:val="2"/>
            <w:tcBorders>
              <w:top w:val="single" w:color="BBBBBB" w:sz="1"/>
              <w:left w:val="single" w:color="BBBBBB" w:sz="1"/>
              <w:bottom w:val="single" w:color="BBBBBB" w:sz="1"/>
              <w:right w:val="single" w:color="BBBBBB" w:sz="1"/>
            </w:tcBorders>
            <w:shd w:fill="D5E8D4" w:val="clear"/>
            <w:tcMar>
              <w:top w:type="dxa" w:w="60"/>
              <w:left w:type="dxa" w:w="100"/>
              <w:bottom w:type="dxa" w:w="60"/>
              <w:right w:type="dxa" w:w="100"/>
            </w:tcMar>
            <w:vAlign w:val="center"/>
          </w:tcPr>
          <w:p>
            <w:r>
              <w:rPr>
                <w:rFonts w:ascii="Arial" w:cs="Arial" w:eastAsia="Arial" w:hAnsi="Arial"/>
                <w:b/>
                <w:bCs/>
                <w:i w:val="false"/>
                <w:iCs w:val="false"/>
                <w:sz w:val="20"/>
                <w:szCs w:val="20"/>
              </w:rPr>
              <w:t xml:space="preserve">Evidence Method: </w:t>
            </w:r>
            <w:r>
              <w:rPr>
                <w:rFonts w:ascii="Arial" w:cs="Arial" w:eastAsia="Arial" w:hAnsi="Arial"/>
                <w:b w:val="false"/>
                <w:bCs w:val="false"/>
                <w:i w:val="false"/>
                <w:iCs w:val="false"/>
                <w:sz w:val="20"/>
                <w:szCs w:val="20"/>
              </w:rPr>
              <w:t xml:space="preserve">Automated</w:t>
            </w:r>
          </w:p>
        </w:tc>
        <w:tc>
          <w:tcPr>
            <w:tcW w:type="dxa" w:w="4680"/>
            <w:gridSpan w:val="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i w:val="false"/>
                <w:iCs w:val="false"/>
                <w:sz w:val="20"/>
                <w:szCs w:val="20"/>
              </w:rPr>
              <w:t xml:space="preserve">Origination: </w:t>
            </w:r>
            <w:r>
              <w:rPr>
                <w:rFonts w:ascii="Arial" w:cs="Arial" w:eastAsia="Arial" w:hAnsi="Arial"/>
                <w:b w:val="false"/>
                <w:bCs w:val="false"/>
                <w:i w:val="false"/>
                <w:iCs w:val="false"/>
                <w:sz w:val="20"/>
                <w:szCs w:val="20"/>
              </w:rPr>
              <w:t xml:space="preserve">Service Provider System Specific</w:t>
            </w:r>
          </w:p>
        </w:tc>
      </w:tr>
      <w:tr>
        <w:tc>
          <w:tcPr>
            <w:tcW w:type="dxa" w:w="9360"/>
            <w:gridSpan w:val="4"/>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r>
              <w:rPr>
                <w:rFonts w:ascii="Arial" w:cs="Arial" w:eastAsia="Arial" w:hAnsi="Arial"/>
                <w:b/>
                <w:bCs/>
                <w:i w:val="false"/>
                <w:iCs w:val="false"/>
                <w:color w:val="1F3864"/>
                <w:sz w:val="20"/>
                <w:szCs w:val="20"/>
              </w:rPr>
              <w:t xml:space="preserve">Implementation Description</w:t>
            </w:r>
          </w:p>
        </w:tc>
      </w:tr>
      <w:tr>
        <w:tc>
          <w:tcPr>
            <w:tcW w:type="dxa" w:w="9360"/>
            <w:gridSpan w:val="4"/>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80"/>
            </w:pPr>
            <w:r>
              <w:rPr>
                <w:rFonts w:ascii="Arial" w:cs="Arial" w:eastAsia="Arial" w:hAnsi="Arial"/>
                <w:b w:val="false"/>
                <w:bCs w:val="false"/>
                <w:i w:val="false"/>
                <w:iCs w:val="false"/>
                <w:sz w:val="20"/>
                <w:szCs w:val="20"/>
              </w:rPr>
              <w:t xml:space="preserve">Security testing integrated into CI/CD. SAST runs on every commit. Dynamic testing runs against staging. Vulnerability scan results gate production deployments — critical findings block the build.</w:t>
            </w:r>
          </w:p>
        </w:tc>
      </w:tr>
    </w:tbl>
    <w:p>
      <w:pPr>
        <w:spacing w:after="300"/>
      </w:pP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val="false"/>
        <w:bCs w:val="false"/>
        <w:i/>
        <w:iCs/>
        <w:color w:val="888888"/>
        <w:sz w:val="16"/>
        <w:szCs w:val="16"/>
      </w:rPr>
      <w:t xml:space="preserve">System Security Plan — FedRAMP Moderate — Workshop Demo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val="false"/>
        <w:bCs w:val="false"/>
        <w:i/>
        <w:iCs/>
        <w:color w:val="888888"/>
        <w:sz w:val="16"/>
        <w:szCs w:val="16"/>
      </w:rPr>
      <w:t xml:space="preserve">System Security Plan — FedRAMP Moderate — Workshop Demo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2026-05-18T02:34:34.644Z</dcterms:created>
  <dcterms:modified xsi:type="dcterms:W3CDTF">2026-05-18T02:34:34.645Z</dcterms:modified>
</cp:coreProperties>
</file>

<file path=docProps/custom.xml><?xml version="1.0" encoding="utf-8"?>
<Properties xmlns="http://schemas.openxmlformats.org/officeDocument/2006/custom-properties" xmlns:vt="http://schemas.openxmlformats.org/officeDocument/2006/docPropsVTypes"/>
</file>