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РАСЧЕТ СТОИМОСТИ РАЗРАБОТКИ ПРОГРАММНОГО ПРОДУКТА</w:t>
      </w:r>
    </w:p>
    <w:p>
      <w:pPr>
        <w:pStyle w:val="Heading1"/>
        <w:spacing w:lineRule="auto" w:line="360" w:before="0" w:after="0"/>
        <w:ind w:firstLine="709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</w:r>
    </w:p>
    <w:p>
      <w:pPr>
        <w:pStyle w:val="Heading1"/>
        <w:spacing w:lineRule="auto" w:line="360" w:before="0" w:after="0"/>
        <w:ind w:firstLine="709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1 МЕТОДИКА PERT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Для расчета стоимости разработки программного продукта данный метод предполагает расчет трудоемкости, которая с большой вероятностью (95%) не будет превышена. Она рассчитывается по формуле: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95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СКО</m:t>
        </m:r>
      </m:oMath>
      <w:r>
        <w:rPr>
          <w:rFonts w:cs="Times New Roman" w:ascii="Times New Roman" w:hAnsi="Times New Roman"/>
          <w:color w:val="000000" w:themeColor="text1"/>
          <w:sz w:val="28"/>
          <w:szCs w:val="28"/>
        </w:rPr>
        <w:t>, где Е - суммарная трудоемкость проекта, СКО - среднеквадратичное отклонение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Для их расчета используем следующие формулы: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  <m:subHide m:val="1"/>
            <m:supHide m:val="1"/>
          </m:naryPr>
          <m:sub/>
          <m:sup/>
          <m:e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</m:oMath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CKO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nary>
              <m:naryPr>
                <m:chr m:val="∑"/>
                <m:subHide m:val="1"/>
                <m:supHide m:val="1"/>
              </m:naryPr>
              <m:sub/>
              <m:sup/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CKO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e>
            </m:nary>
          </m:e>
        </m:rad>
      </m:oMath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Для расчета значений каждой задачи используем формулы: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∗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СКО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cs="Times New Roman" w:ascii="Times New Roman" w:hAnsi="Times New Roman"/>
          <w:color w:val="000000" w:themeColor="text1"/>
          <w:sz w:val="28"/>
          <w:szCs w:val="28"/>
        </w:rPr>
        <w:t>, где Оi, Рi и Mi – оптимистичная, пессимистичная и наиболее вероятная оценки трудозатрат соответственно.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В таблице 1 представлена оценка трудозатрат в человеко-часах, трудозатраты на конкретном этапе и среднеквадратичное отклонение для каждого этапа разработки.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Ниже представлена таблица с оценками трудозатрат, а также трудозатраты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и среднеквадратичное отклонение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СКО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по каждой задаче.</w:t>
      </w:r>
    </w:p>
    <w:p>
      <w:pPr>
        <w:pStyle w:val="Normal"/>
        <w:spacing w:lineRule="auto" w:line="360" w:before="0" w:after="0"/>
        <w:ind w:firstLine="709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5516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Таблица 1 – Оценка трудозатрат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Таким образом, суммарная трудоемкость проекта Е равна 651.38 человеко-часов, среднеквадратичное отклонение CKO = 6.19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Общая трудоемкость нашего проекта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E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95 = 651.38 + 2 * 6.19 = 651.38 чел./час. Исходя из статистических данных, полученных путем анализа сайтов по поиску работы и сотрудников, средняя заработная плата каждого сотрудника, необходимого для реализации такого проекта, составляет 30 000 рублей в месяц или 30 000 / 160 = 187.5 рублей в час, где 160 - количество проработанных сотрудником часов в месяц.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Используем это значение для расчета стоимости разработки такого проекта: 651.38 * 187.5 = 122 133 рублей.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Необходимо учесть налоги, оплата которых входит в стоимость разработки проекта. Тип нашей организации — ООО. Прибыль нашего проекта не будет исчисляться сотнями миллионов рублей в год, поэтому наша организация будет применять упрощенную систему налогообложения (УСН).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Поскольку средняя заработная плата сотрудников превышает МРОТ, размер страховых взносов равен 15%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(10% - ПФР, 5% - медицинское страхование)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. Таким образом, налогообложение составит 122 133 *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0.15 =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18 320.</w:t>
      </w:r>
    </w:p>
    <w:p>
      <w:pPr>
        <w:pStyle w:val="Normal"/>
        <w:spacing w:lineRule="auto" w:line="360" w:before="0" w:after="0"/>
        <w:ind w:firstLine="709"/>
        <w:jc w:val="both"/>
        <w:rPr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Стоимость разработки с учетом налогообложение составит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122 133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+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18 320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>= 140 453 рублей.</w:t>
      </w:r>
    </w:p>
    <w:p>
      <w:pPr>
        <w:pStyle w:val="Heading1"/>
        <w:spacing w:lineRule="auto" w:line="360" w:before="0" w:after="0"/>
        <w:ind w:firstLine="709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</w:r>
      <w:r>
        <w:br w:type="page"/>
      </w:r>
    </w:p>
    <w:p>
      <w:pPr>
        <w:pStyle w:val="Heading1"/>
        <w:spacing w:lineRule="auto" w:line="360" w:before="0" w:after="0"/>
        <w:ind w:firstLine="709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2 МЕТОД COCOMO II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Heading2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Для расчета по методу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COCOMO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II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необходимо рассчитать количество строк программного продукта. Используем для этого метод функциональных точек.</w:t>
      </w:r>
    </w:p>
    <w:p>
      <w:pPr>
        <w:pStyle w:val="Heading2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Метод функциональных точек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u w:val="single"/>
        </w:rPr>
        <w:t>1. Определение типа оценки.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Проект разработки – оценивается первый релиз продукта.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u w:val="single"/>
        </w:rPr>
        <w:t>2. Определение области оценки.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Область продукта: все разрабатываемые функции.</w:t>
      </w:r>
    </w:p>
    <w:p>
      <w:pPr>
        <w:pStyle w:val="Normal"/>
        <w:tabs>
          <w:tab w:val="clear" w:pos="708"/>
          <w:tab w:val="left" w:pos="8064" w:leader="none"/>
        </w:tabs>
        <w:spacing w:lineRule="auto" w:line="360" w:before="0" w:after="0"/>
        <w:ind w:firstLine="709"/>
        <w:rPr>
          <w:u w:val="single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u w:val="single"/>
        </w:rPr>
        <w:t>3.Подсчет функциональных точек, связанных с данными.</w:t>
      </w:r>
    </w:p>
    <w:p>
      <w:pPr>
        <w:pStyle w:val="Normal"/>
        <w:tabs>
          <w:tab w:val="clear" w:pos="708"/>
          <w:tab w:val="left" w:pos="8064" w:leader="none"/>
        </w:tabs>
        <w:spacing w:lineRule="auto" w:line="360" w:before="0"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В таблице ниже представлен подсчет функциональных точек, связанных с данными.</w:t>
        <w:tab/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tbl>
      <w:tblPr>
        <w:tblW w:w="942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1"/>
        <w:gridCol w:w="1281"/>
        <w:gridCol w:w="1540"/>
        <w:gridCol w:w="1557"/>
        <w:gridCol w:w="1532"/>
        <w:gridCol w:w="1533"/>
      </w:tblGrid>
      <w:tr>
        <w:trPr>
          <w:trHeight w:val="396" w:hRule="atLeast"/>
        </w:trPr>
        <w:tc>
          <w:tcPr>
            <w:tcW w:w="198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128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RET</w:t>
            </w:r>
          </w:p>
        </w:tc>
        <w:tc>
          <w:tcPr>
            <w:tcW w:w="15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DET</w:t>
            </w:r>
          </w:p>
        </w:tc>
        <w:tc>
          <w:tcPr>
            <w:tcW w:w="155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Уровень</w:t>
            </w:r>
          </w:p>
        </w:tc>
        <w:tc>
          <w:tcPr>
            <w:tcW w:w="153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ILF</w:t>
            </w:r>
          </w:p>
        </w:tc>
        <w:tc>
          <w:tcPr>
            <w:tcW w:w="153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EIF</w:t>
            </w:r>
          </w:p>
        </w:tc>
      </w:tr>
      <w:tr>
        <w:trPr>
          <w:trHeight w:val="396" w:hRule="atLeast"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Пользователь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Low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>
        <w:trPr>
          <w:trHeight w:val="396" w:hRule="atLeast"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Шаблон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Low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5</w:t>
            </w:r>
          </w:p>
        </w:tc>
      </w:tr>
    </w:tbl>
    <w:p>
      <w:pPr>
        <w:pStyle w:val="Normal"/>
        <w:spacing w:lineRule="auto" w:line="360" w:before="0" w:after="0"/>
        <w:ind w:firstLine="709"/>
        <w:jc w:val="center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Подсчет функциональных точек ILF и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E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IF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Для этого используются следующие значения: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DET (data element type) — неповторяемое уникальное поле данных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RET (record element type) — логическая группа данных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ILF — Внутренние логические файлы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EIF — Внешние интерфейсные файлы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Таким образом, получаем количество функциональных точек, связанных с данными: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UFP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1 = </w:t>
      </w:r>
      <w:r>
        <w:rPr/>
      </w:r>
      <m:oMath xmlns:m="http://schemas.openxmlformats.org/officeDocument/2006/math">
        <m:nary>
          <m:naryPr>
            <m:chr m:val="∑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ILF</m:t>
            </m:r>
          </m:e>
        </m:nary>
        <m:r>
          <w:rPr>
            <w:rFonts w:ascii="Cambria Math" w:hAnsi="Cambria Math"/>
          </w:rPr>
          <m:t xml:space="preserve">+</m:t>
        </m:r>
        <m:nary>
          <m:naryPr>
            <m:chr m:val="∑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EIF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14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10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24</m:t>
            </m:r>
          </m:e>
        </m:nary>
      </m:oMath>
    </w:p>
    <w:p>
      <w:pPr>
        <w:pStyle w:val="Normal"/>
        <w:spacing w:lineRule="auto" w:line="360" w:before="0" w:after="0"/>
        <w:ind w:firstLine="709"/>
        <w:rPr>
          <w:u w:val="single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u w:val="single"/>
        </w:rPr>
        <w:t>4. Подсчет функциональных точек, связанных с транзакциями.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tbl>
      <w:tblPr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W w:w="186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18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FTR</w:t>
            </w:r>
          </w:p>
        </w:tc>
        <w:tc>
          <w:tcPr>
            <w:tcW w:w="18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DET</w:t>
            </w:r>
          </w:p>
        </w:tc>
        <w:tc>
          <w:tcPr>
            <w:tcW w:w="18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Уровень</w:t>
            </w:r>
          </w:p>
        </w:tc>
        <w:tc>
          <w:tcPr>
            <w:tcW w:w="18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EI</w:t>
            </w:r>
          </w:p>
        </w:tc>
      </w:tr>
      <w:tr>
        <w:trPr/>
        <w:tc>
          <w:tcPr>
            <w:tcW w:w="18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Пользователь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Low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186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Шаблон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Average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</w:tr>
    </w:tbl>
    <w:p>
      <w:pPr>
        <w:pStyle w:val="Normal"/>
        <w:spacing w:lineRule="auto" w:line="360" w:before="0" w:after="0"/>
        <w:ind w:firstLine="709"/>
        <w:jc w:val="center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Подсчет функциональных точек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EI</w:t>
      </w:r>
    </w:p>
    <w:tbl>
      <w:tblPr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W w:w="186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18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FTR</w:t>
            </w:r>
          </w:p>
        </w:tc>
        <w:tc>
          <w:tcPr>
            <w:tcW w:w="18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DET</w:t>
            </w:r>
          </w:p>
        </w:tc>
        <w:tc>
          <w:tcPr>
            <w:tcW w:w="18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Уровень</w:t>
            </w:r>
          </w:p>
        </w:tc>
        <w:tc>
          <w:tcPr>
            <w:tcW w:w="18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EO</w:t>
            </w:r>
          </w:p>
        </w:tc>
      </w:tr>
      <w:tr>
        <w:trPr/>
        <w:tc>
          <w:tcPr>
            <w:tcW w:w="18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Пользователь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Low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186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Шаблон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Low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</w:tr>
    </w:tbl>
    <w:p>
      <w:pPr>
        <w:pStyle w:val="Normal"/>
        <w:spacing w:lineRule="auto" w:line="360" w:before="0" w:after="0"/>
        <w:ind w:firstLine="709"/>
        <w:jc w:val="center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Подсчет функциональных точек EO</w:t>
      </w:r>
    </w:p>
    <w:tbl>
      <w:tblPr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W w:w="186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18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FTR</w:t>
            </w:r>
          </w:p>
        </w:tc>
        <w:tc>
          <w:tcPr>
            <w:tcW w:w="18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DET</w:t>
            </w:r>
          </w:p>
        </w:tc>
        <w:tc>
          <w:tcPr>
            <w:tcW w:w="18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Уровень</w:t>
            </w:r>
          </w:p>
        </w:tc>
        <w:tc>
          <w:tcPr>
            <w:tcW w:w="18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EQ</w:t>
            </w:r>
          </w:p>
        </w:tc>
      </w:tr>
      <w:tr>
        <w:trPr/>
        <w:tc>
          <w:tcPr>
            <w:tcW w:w="18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Пользователь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Low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186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Шаблон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Low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10</w:t>
            </w:r>
          </w:p>
        </w:tc>
      </w:tr>
    </w:tbl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Подсчет функциональных точек EQ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В таблицах используются следующие обозначения: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FTR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(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file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type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referenced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) — различные информационные объекты типа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ILF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и/или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EIF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модифицируемых или считываемых в транзакции.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DET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(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data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element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type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) — неповторяемое уникальное поле данных.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EI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(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external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inputs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) — внешние входные транзакции, элементарная операция по обработке данных или управляющей информации, поступающих в систему из вне.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EO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(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external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outputs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) — внешние выходные транзакции, элементарная операция по генерации данных или управляющей информации, которые выходят за пределы системы. Предполагает определенную логику обработки или вычислений информации из одного или более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ILF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EQ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(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external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inquiries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) — внешние запросы, элементарная операция, которая в ответ на внешний запрос извлекает данные или управляющую информацию из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ILF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или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EIF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Таким образом получаем количество функциональных точек, связанных с транзакциями: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UFP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2= </w:t>
      </w:r>
      <w:r>
        <w:rPr/>
      </w:r>
      <m:oMath xmlns:m="http://schemas.openxmlformats.org/officeDocument/2006/math">
        <m:nary>
          <m:naryPr>
            <m:chr m:val="∑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EI</m:t>
            </m:r>
          </m:e>
        </m:nary>
        <m:r>
          <w:rPr>
            <w:rFonts w:ascii="Cambria Math" w:hAnsi="Cambria Math"/>
          </w:rPr>
          <m:t xml:space="preserve">+</m:t>
        </m:r>
        <m:nary>
          <m:naryPr>
            <m:chr m:val="∑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EO</m:t>
            </m:r>
            <m:r>
              <w:rPr>
                <w:rFonts w:ascii="Cambria Math" w:hAnsi="Cambria Math"/>
              </w:rPr>
              <m:t xml:space="preserve">+</m:t>
            </m:r>
            <m:nary>
              <m:naryPr>
                <m:chr m:val="∑"/>
                <m:subHide m:val="1"/>
                <m:supHide m:val="1"/>
              </m:naryPr>
              <m:sub/>
              <m:sup/>
              <m:e>
                <m:r>
                  <w:rPr>
                    <w:rFonts w:ascii="Cambria Math" w:hAnsi="Cambria Math"/>
                  </w:rPr>
                  <m:t xml:space="preserve">EQ</m:t>
                </m:r>
              </m:e>
            </m:nary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12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18</m:t>
            </m:r>
          </m:e>
        </m:nary>
      </m:oMath>
    </w:p>
    <w:p>
      <w:pPr>
        <w:pStyle w:val="Normal"/>
        <w:spacing w:lineRule="auto" w:line="360" w:before="0" w:after="0"/>
        <w:ind w:firstLine="709"/>
        <w:jc w:val="both"/>
        <w:rPr>
          <w:u w:val="single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u w:val="single"/>
        </w:rPr>
        <w:t>5. Определение суммарного количества не выровненных функциональных точек (UFP).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UFP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=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UFP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1+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UFP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2 = 24+18= 42</w:t>
      </w:r>
    </w:p>
    <w:p>
      <w:pPr>
        <w:pStyle w:val="Normal"/>
        <w:spacing w:lineRule="auto" w:line="360" w:before="0" w:after="0"/>
        <w:ind w:firstLine="709"/>
        <w:jc w:val="both"/>
        <w:rPr>
          <w:u w:val="single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u w:val="single"/>
        </w:rPr>
        <w:t>6. Определение значения фактора выравнивания (FAV).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В таблице ниже представлена оценка системных характеристик по 5-бальной шкале.</w:t>
      </w:r>
    </w:p>
    <w:tbl>
      <w:tblPr>
        <w:tblpPr w:vertAnchor="text" w:horzAnchor="margin" w:leftFromText="180" w:rightFromText="180" w:tblpX="1" w:tblpY="-2"/>
        <w:tblW w:w="9351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088"/>
        <w:gridCol w:w="2262"/>
      </w:tblGrid>
      <w:tr>
        <w:trPr/>
        <w:tc>
          <w:tcPr>
            <w:tcW w:w="708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226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t>DI</w:t>
            </w:r>
          </w:p>
        </w:tc>
      </w:tr>
      <w:tr>
        <w:trPr/>
        <w:tc>
          <w:tcPr>
            <w:tcW w:w="70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Обмен данными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70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Распределённая обработка данных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70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Производительность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70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Ограничения по аппаратным ресурсам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70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Транзакционная нагрузка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70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Интенсивность взаимодействия с пользователем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70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Эргономика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70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Интенсивность изменения данных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70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Сложность обработки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70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Повторное использование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70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Удобство инсталляции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>
        <w:trPr/>
        <w:tc>
          <w:tcPr>
            <w:tcW w:w="70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Удобство администрирования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70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Портируемость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>
        <w:trPr/>
        <w:tc>
          <w:tcPr>
            <w:tcW w:w="708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Гибкость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5</w:t>
            </w:r>
          </w:p>
        </w:tc>
      </w:tr>
    </w:tbl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center"/>
        <w:rPr/>
      </w:pPr>
      <w:r/>
      <w:r>
        <w:rPr>
          <w:rFonts w:cs="Times New Roman" w:ascii="Times New Roman" w:hAnsi="Times New Roman"/>
          <w:color w:val="000000" w:themeColor="text1"/>
          <w:sz w:val="28"/>
          <w:szCs w:val="28"/>
        </w:rPr>
        <w:t>Оценка системных характеристик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Расчет суммарного эффекта 14 системных характеристик: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TDI = </w:t>
      </w:r>
      <w:r>
        <w:rPr/>
      </w:r>
      <m:oMath xmlns:m="http://schemas.openxmlformats.org/officeDocument/2006/math">
        <m:nary>
          <m:naryPr>
            <m:chr m:val="∑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EI</m:t>
            </m:r>
            <m:r>
              <w:rPr>
                <w:rFonts w:ascii="Cambria Math" w:hAnsi="Cambria Math"/>
              </w:rPr>
              <m:t xml:space="preserve">=</m:t>
            </m:r>
          </m:e>
        </m:nary>
      </m:oMath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21, где DI – оценка системных параметров.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Таким образом значение фактора выравнивания FAV = (TDI *0.01) + 0.65 = (21*0.01) + 0.65 = 0.86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u w:val="single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u w:val="single"/>
        </w:rPr>
        <w:t>7. Расчет количества выровненных функциональных точек (AFP).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AFP = UFP * VAF = 32 * 0.86 = 36.12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Метод функциональных точек не рассчитывает трудоемкость. Для этого необходимо воспользоваться методикой COCOMO II. Язык разработки С#, следовательно, мы получаем количество строк: 36.12 * 59 = 2131,08. Полученный результат не учитывает манипуляцию данных в программе и архитектуру, поэтому будем считать размер программного продукта равным 4000 строк.</w:t>
      </w:r>
      <w:r>
        <w:br w:type="page"/>
      </w:r>
    </w:p>
    <w:p>
      <w:pPr>
        <w:pStyle w:val="Heading2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Метод COCOMO II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Трудоемкость (в чел.*мес.) проекта можно посчитать по формуле: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∗</m:t>
        </m:r>
        <m:nary>
          <m:naryPr>
            <m:chr m:val="∏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EM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</m:oMath>
      <w:r>
        <w:rPr>
          <w:rFonts w:cs="Times New Roman" w:ascii="Times New Roman" w:hAnsi="Times New Roman"/>
          <w:color w:val="000000" w:themeColor="text1"/>
          <w:sz w:val="28"/>
          <w:szCs w:val="28"/>
        </w:rPr>
        <w:t>,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А = 2.94;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SIZE — размер продукта в KSLOC (тысяча строк исходного кода);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E – постоянный коэффициент предварительной оценки;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EMi — множители трудоемкости; 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n=7 — для предварительной оценки.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В нашем проекте будет 4 000 строк исходного кода, следовательно, SIZE = 4.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Для расчета постоянного коэффициента оценки воспользуемся формулой: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0,01</m:t>
        </m:r>
        <m:r>
          <w:rPr>
            <w:rFonts w:ascii="Cambria Math" w:hAnsi="Cambria Math"/>
          </w:rPr>
          <m:t xml:space="preserve">∗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5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SF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</m:oMath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, 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В = 0.91;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SFj — факторы масштаба. 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Перейдем к рассмотрению факторов масштаба, которые представлены в таблице 7.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tbl>
      <w:tblPr>
        <w:tblStyle w:val="ab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800"/>
        <w:gridCol w:w="2544"/>
      </w:tblGrid>
      <w:tr>
        <w:trPr/>
        <w:tc>
          <w:tcPr>
            <w:tcW w:w="680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Название</w:t>
            </w:r>
          </w:p>
        </w:tc>
        <w:tc>
          <w:tcPr>
            <w:tcW w:w="25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Оценка</w:t>
            </w:r>
          </w:p>
        </w:tc>
      </w:tr>
      <w:tr>
        <w:trPr/>
        <w:tc>
          <w:tcPr>
            <w:tcW w:w="680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PREC (прецедентность, наличие опыта аналогичных разработок)</w:t>
            </w:r>
          </w:p>
        </w:tc>
        <w:tc>
          <w:tcPr>
            <w:tcW w:w="25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1.24 (Nominal)</w:t>
            </w:r>
          </w:p>
        </w:tc>
      </w:tr>
      <w:tr>
        <w:trPr/>
        <w:tc>
          <w:tcPr>
            <w:tcW w:w="680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FLEX (гибкость процесса разработки)</w:t>
            </w:r>
          </w:p>
        </w:tc>
        <w:tc>
          <w:tcPr>
            <w:tcW w:w="25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1.01 (High)</w:t>
            </w:r>
          </w:p>
        </w:tc>
      </w:tr>
      <w:tr>
        <w:trPr/>
        <w:tc>
          <w:tcPr>
            <w:tcW w:w="680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RESL (архитектура и разрешение рисков)</w:t>
            </w:r>
          </w:p>
        </w:tc>
        <w:tc>
          <w:tcPr>
            <w:tcW w:w="25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1.41 (Very High)</w:t>
            </w:r>
          </w:p>
        </w:tc>
      </w:tr>
      <w:tr>
        <w:trPr/>
        <w:tc>
          <w:tcPr>
            <w:tcW w:w="680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TEAM (сработанность команды)</w:t>
            </w:r>
          </w:p>
        </w:tc>
        <w:tc>
          <w:tcPr>
            <w:tcW w:w="25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0 (Nominal)</w:t>
            </w:r>
          </w:p>
        </w:tc>
      </w:tr>
      <w:tr>
        <w:trPr/>
        <w:tc>
          <w:tcPr>
            <w:tcW w:w="680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PMAT (зрелость процессов)</w:t>
            </w:r>
          </w:p>
        </w:tc>
        <w:tc>
          <w:tcPr>
            <w:tcW w:w="25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4.68 (Nominal)</w:t>
            </w:r>
          </w:p>
        </w:tc>
      </w:tr>
    </w:tbl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center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Таблица 7 – Факторы масштаба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</m:oMath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= 0.91 + 0.01 * (1.24+1.01+1.41+0+4.68) = 0.9934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Следующим этапом рассмотрим множители трудоемкости, представление в таблице 8.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tbl>
      <w:tblPr>
        <w:tblStyle w:val="ab"/>
        <w:tblW w:w="935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523"/>
        <w:gridCol w:w="2832"/>
      </w:tblGrid>
      <w:tr>
        <w:trPr/>
        <w:tc>
          <w:tcPr>
            <w:tcW w:w="652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Название</w:t>
            </w:r>
          </w:p>
        </w:tc>
        <w:tc>
          <w:tcPr>
            <w:tcW w:w="283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Оценка</w:t>
            </w:r>
          </w:p>
        </w:tc>
      </w:tr>
      <w:tr>
        <w:trPr/>
        <w:tc>
          <w:tcPr>
            <w:tcW w:w="652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PERS (квалификация персонала)</w:t>
            </w:r>
          </w:p>
        </w:tc>
        <w:tc>
          <w:tcPr>
            <w:tcW w:w="283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0.83 (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High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</w:tc>
      </w:tr>
      <w:tr>
        <w:trPr/>
        <w:tc>
          <w:tcPr>
            <w:tcW w:w="652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RCPX (сложность и надежность продукта)</w:t>
            </w:r>
          </w:p>
        </w:tc>
        <w:tc>
          <w:tcPr>
            <w:tcW w:w="283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1 (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Nominal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</w:tc>
      </w:tr>
      <w:tr>
        <w:trPr/>
        <w:tc>
          <w:tcPr>
            <w:tcW w:w="652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RUSE (разработка для повторного использования)</w:t>
            </w:r>
          </w:p>
        </w:tc>
        <w:tc>
          <w:tcPr>
            <w:tcW w:w="283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0.95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 xml:space="preserve"> (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Low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</w:tc>
      </w:tr>
      <w:tr>
        <w:trPr/>
        <w:tc>
          <w:tcPr>
            <w:tcW w:w="652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PDIF (сложность платформы разработки)</w:t>
            </w:r>
          </w:p>
        </w:tc>
        <w:tc>
          <w:tcPr>
            <w:tcW w:w="283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1.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00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 xml:space="preserve"> (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Nominal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</w:tc>
      </w:tr>
      <w:tr>
        <w:trPr/>
        <w:tc>
          <w:tcPr>
            <w:tcW w:w="652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PREX  (опыт персонала)</w:t>
            </w:r>
          </w:p>
        </w:tc>
        <w:tc>
          <w:tcPr>
            <w:tcW w:w="283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1.22 (Low)</w:t>
            </w:r>
          </w:p>
        </w:tc>
      </w:tr>
      <w:tr>
        <w:trPr/>
        <w:tc>
          <w:tcPr>
            <w:tcW w:w="652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FCIL (оборудование)</w:t>
            </w:r>
          </w:p>
        </w:tc>
        <w:tc>
          <w:tcPr>
            <w:tcW w:w="283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1.00 (Nominal)</w:t>
            </w:r>
          </w:p>
        </w:tc>
      </w:tr>
      <w:tr>
        <w:trPr/>
        <w:tc>
          <w:tcPr>
            <w:tcW w:w="652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SCED (сжатие расписания)</w:t>
            </w:r>
          </w:p>
        </w:tc>
        <w:tc>
          <w:tcPr>
            <w:tcW w:w="283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1.00 (Nominal)</w:t>
            </w:r>
          </w:p>
        </w:tc>
      </w:tr>
    </w:tbl>
    <w:p>
      <w:pPr>
        <w:pStyle w:val="Normal"/>
        <w:spacing w:lineRule="auto" w:line="360" w:before="0" w:after="0"/>
        <w:ind w:firstLine="709"/>
        <w:jc w:val="center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Таблица 8 – Множители трудоемкости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</w:r>
      <m:oMath xmlns:m="http://schemas.openxmlformats.org/officeDocument/2006/math">
        <m:nary>
          <m:naryPr>
            <m:chr m:val="∏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7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EM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</m:oMath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=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0.83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*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1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*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0.95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*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1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* 1.22 *1.00*1.00=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0.96197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Таким образом получаем трудоемкость проекта в человеко-месяцах: PM = 2,94 * 4 ^ (0.9934) * 0.96197 = 2.913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Исходя из статистических данных, полученных путем анализа сайтов по поиску работы и сотрудников, средняя заработная плата каждого сотрудника, необходимого для реализации такого проекта, составляет 30 000 рублей в месяц.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Стоимость разработки проекта: 30 000 * 2.913 = 87 390 рублей.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Необходимо учесть налоги, оплата которых входит в стоимость разработки проекта. Тип нашей организации — ООО. Прибыль нашего проекта не будет исчисляться сотнями миллионов рублей в год, поэтому наша организация будет применять упрощенную систему налогообложения (УСН).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Поскольку средняя заработная плата сотрудников превышает МРОТ, размер страховых взносов равен 15%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(10% - ПФР, 5% - медицинское страхование)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. Таким образом, налогообложение составит 87 390 *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0.15 =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>13 108 рублей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.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Стоимость разработки с учетом налогообложение составит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87 390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>+ 13 108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>= 100 498 рублей.</w:t>
      </w:r>
    </w:p>
    <w:p>
      <w:pPr>
        <w:pStyle w:val="Heading1"/>
        <w:spacing w:lineRule="auto" w:line="360" w:before="0" w:after="0"/>
        <w:ind w:firstLine="709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СРАВНИТЕЛЬНЫЙ АНАЛИЗ МЕТОДИК РАСЧЕТА СТОИМОСТИ ПРОГРАММНОГО ПРОДУКТА</w:t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В ходе расчета стоимости программного продукта были использованы методы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PERT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и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COCOMO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II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. При расчете по методу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PERT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в результате была получена сумма 174 895 рублей. При расчете по методу C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OCOMA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II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в результате была получена сумма 125 142 рублей. 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Метод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PERT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для расчета стоимости использует оценки трудоемкости по этапам разработки. Метод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COCOMA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II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для расчета стоимости использует количество строк программного кода, в нашем случае полученное с помощью метода функциональных точек. На основе количества строк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COCOMA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II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позволяет проанализировать программный продукт и рассчитать его стоимость.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Разница в результатах расчетов по разным методам небольшая (не превышает 50 000 рублей), значит мы правильно рассчитали стоимость продукта.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Исходя из произведенных расчетов можно сделать вывод, что стоимость программного продукта примерно равна 150 000 рублей.</w:t>
      </w:r>
    </w:p>
    <w:sectPr>
      <w:headerReference w:type="default" r:id="rId3"/>
      <w:type w:val="nextPage"/>
      <w:pgSz w:w="11906" w:h="16838"/>
      <w:pgMar w:left="1701" w:right="850" w:gutter="0" w:header="708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348256266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d7182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5b223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5b223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5b223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5b223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rnetLink">
    <w:name w:val="Hyperlink"/>
    <w:basedOn w:val="DefaultParagraphFont"/>
    <w:uiPriority w:val="99"/>
    <w:semiHidden/>
    <w:unhideWhenUsed/>
    <w:rsid w:val="00ff084a"/>
    <w:rPr>
      <w:color w:val="0000FF"/>
      <w:u w:val="single"/>
    </w:rPr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9e2518"/>
    <w:rPr/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9e2518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Formattext" w:customStyle="1">
    <w:name w:val="formattext"/>
    <w:basedOn w:val="Normal"/>
    <w:qFormat/>
    <w:rsid w:val="005b223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9e251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3"/>
    <w:uiPriority w:val="99"/>
    <w:unhideWhenUsed/>
    <w:rsid w:val="009e251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39"/>
    <w:rsid w:val="008c2d8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68E81-8E8E-4B47-9317-24014A285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Application>LibreOffice/7.3.2.2$Windows_X86_64 LibreOffice_project/49f2b1bff42cfccbd8f788c8dc32c1c309559be0</Application>
  <AppVersion>15.0000</AppVersion>
  <Pages>9</Pages>
  <Words>1203</Words>
  <Characters>7514</Characters>
  <CharactersWithSpaces>8557</CharactersWithSpaces>
  <Paragraphs>205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2022-04-20T06:09:00Z</dcterms:created>
  <dc:creator>user</dc:creator>
  <dc:description/>
  <dc:language>en-US</dc:language>
  <cp:lastModifiedBy/>
  <cp:lastPrinted>2022-05-17T13:35:00Z</cp:lastPrinted>
  <dcterms:modified xsi:type="dcterms:W3CDTF">2022-05-17T21:10:23Z</dcterms:modified>
  <cp:revision>190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