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РАСЧЕТ СТОИМОСТИ РАЗРАБОТКИ ПРОГРАММНОГО ПРОДУКТА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1 МЕТОДИКА PERT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стоимости разработки программного продукта данный метод предполагает расчет трудоемкости, которая с большой вероятностью (95%) не будет превышена. Она расчитывается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95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СКО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Е - суммарная трудоемкость проекта, СКО - среднеквадратичное отклонение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их расчета используем следующие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  <m:subHide m:val="1"/>
            <m:supHide m:val="1"/>
          </m:naryPr>
          <m:sub/>
          <m:sup/>
          <m:e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CKO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nary>
              <m:naryPr>
                <m:chr m:val="∑"/>
                <m:subHide m:val="1"/>
                <m:supHide m:val="1"/>
              </m:naryPr>
              <m:sub/>
              <m:sup/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CKO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</m:e>
            </m:nary>
          </m:e>
        </m:rad>
      </m:oMath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значений каждой задачи используем формулы: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 где Оi, Рi и Mi – оптимистичная, пессимистичная и наиболее вероятная оценки трудозатрат соответственно.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 1 представлена оценка трудозатрат в человеко-часах, трудозатраты на конкретном этапе и среднеквадратичное отклонение для каждого этапа разработки.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Ниже представлена таблица с оценками трудозатрат, а также трудозатраты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  среднеквадратичное отклонение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СКО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по каждой задаче.</w:t>
      </w:r>
    </w:p>
    <w:p>
      <w:pPr>
        <w:pStyle w:val="Normal"/>
        <w:spacing w:lineRule="auto" w:line="360" w:before="0" w:after="0"/>
        <w:ind w:firstLine="709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1 – Оценка трудозатрат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образом, суммарная трудоемкость проекта Е равна 651.38 человеко-часов, среднеквадратичное отклонение CKO = 6.19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Общая трудоемкость нашего проекта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95 = 651.38 + 2 * 6.19 = 651.38 чел./час.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00" w:val="clear"/>
        </w:rPr>
        <w:t>Предположим, что заработная плата каждого сотрудника, необходимого для реализации такого проекта, составляет 30 000 рублей в месяц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или 30 000 / 160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187.5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рублей в час, где 160 - количество проработанных сотрудником часов в месяц.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Используем это значение для расчета стоимости разработки такого проекта: 651.38 * 187.5 = 122 133.75 рублей.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Необходимо учесть налоги, оплата которых входит в стоимость разработки проекта.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На этапе разработки организация платит ежемесячно 13% подоходного налога с зарплаты физических лиц и 30,2% налога с фонда заработной платы компании, где 22% -  ПФР, 5.1 -  медицинская страховка, 2.9% - Временная нетрудоспособность (социальное страхование), 0.2% - травматизм (социальное страхование). Таким образом налогообложение составит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122 133.75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43.2% = 52 761.78.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Стоимость разработки продукта с учётом налогообложения составит: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122 133.75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+ 52 761.78= 174 895 рублей.</w:t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2 МЕТОД COCOMO II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Для расчета по методу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en-US"/>
        </w:rPr>
        <w:t xml:space="preserve">COCOMO II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  <w:lang w:val="ru-RU"/>
        </w:rPr>
        <w:t>необходимо рассчитать количество строк программного продукта. Используем для этого метод функциональных точек.</w:t>
      </w:r>
    </w:p>
    <w:p>
      <w:pPr>
        <w:pStyle w:val="Heading2"/>
        <w:spacing w:lineRule="auto" w:line="36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функциональных точек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1. Определение типа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Проект разработки – оценивается первый релиз продукта.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2. Определение области оценки.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Область продукта: все разрабатываемые функции.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3.Подсчет функциональных точек, связанных с данными.</w:t>
      </w:r>
    </w:p>
    <w:p>
      <w:pPr>
        <w:pStyle w:val="Normal"/>
        <w:tabs>
          <w:tab w:val="clear" w:pos="708"/>
          <w:tab w:val="left" w:pos="8064" w:leader="none"/>
        </w:tabs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таблице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ниже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представлен подсчет функциональных точек, связанных с данными.</w:t>
        <w:tab/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</w:p>
    <w:tbl>
      <w:tblPr>
        <w:tblStyle w:val="ab"/>
        <w:tblW w:w="942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283"/>
        <w:gridCol w:w="1539"/>
        <w:gridCol w:w="1557"/>
        <w:gridCol w:w="1532"/>
        <w:gridCol w:w="1533"/>
      </w:tblGrid>
      <w:tr>
        <w:trPr>
          <w:trHeight w:val="396" w:hRule="atLeast"/>
        </w:trPr>
        <w:tc>
          <w:tcPr>
            <w:tcW w:w="19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RET</w:t>
            </w:r>
          </w:p>
        </w:tc>
        <w:tc>
          <w:tcPr>
            <w:tcW w:w="15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DET</w:t>
            </w:r>
          </w:p>
        </w:tc>
        <w:tc>
          <w:tcPr>
            <w:tcW w:w="15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Уровень</w:t>
            </w:r>
          </w:p>
        </w:tc>
        <w:tc>
          <w:tcPr>
            <w:tcW w:w="15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ILF</w:t>
            </w:r>
          </w:p>
        </w:tc>
        <w:tc>
          <w:tcPr>
            <w:tcW w:w="153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EIF</w:t>
            </w:r>
          </w:p>
        </w:tc>
      </w:tr>
      <w:tr>
        <w:trPr>
          <w:trHeight w:val="396" w:hRule="atLeast"/>
        </w:trPr>
        <w:tc>
          <w:tcPr>
            <w:tcW w:w="19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Пользователь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5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5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Low</w:t>
            </w:r>
          </w:p>
        </w:tc>
        <w:tc>
          <w:tcPr>
            <w:tcW w:w="15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53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>
          <w:trHeight w:val="396" w:hRule="atLeast"/>
        </w:trPr>
        <w:tc>
          <w:tcPr>
            <w:tcW w:w="198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Шаблон</w:t>
            </w:r>
          </w:p>
        </w:tc>
        <w:tc>
          <w:tcPr>
            <w:tcW w:w="128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53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1557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Low</w:t>
            </w:r>
          </w:p>
        </w:tc>
        <w:tc>
          <w:tcPr>
            <w:tcW w:w="15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7</w:t>
            </w:r>
          </w:p>
        </w:tc>
        <w:tc>
          <w:tcPr>
            <w:tcW w:w="1533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Подсчет функциональных точек ILF 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IF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этого используются следующие 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DET (data element type) — неповторяемое уникальное поле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RET (record element type) — логическая группа данных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ILF — Внутренние логические файлы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EIF — Внешние интерфейсные файлы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образом, получаем количество функциональных точек, связанных с данными: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1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ILF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EIF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24</m:t>
            </m:r>
          </m:e>
        </m:nary>
      </m:oMath>
    </w:p>
    <w:p>
      <w:pPr>
        <w:pStyle w:val="Normal"/>
        <w:spacing w:lineRule="auto" w:line="360" w:before="0" w:after="0"/>
        <w:ind w:firstLine="709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4. Подсчет функциональных точек, связанных с транзакциями.</w:t>
      </w:r>
    </w:p>
    <w:p>
      <w:pPr>
        <w:pStyle w:val="Normal"/>
        <w:spacing w:lineRule="auto" w:line="360" w:before="0" w:after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/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FTR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DET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Уровень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EI</w:t>
            </w:r>
          </w:p>
        </w:tc>
      </w:tr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Пользователь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Low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Шаблон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Average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EI</w:t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FTR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DET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Уровень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EO</w:t>
            </w:r>
          </w:p>
        </w:tc>
      </w:tr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Пользователь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Low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Шаблон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Low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EO</w:t>
      </w:r>
    </w:p>
    <w:tbl>
      <w:tblPr>
        <w:tblStyle w:val="ab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FTR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DET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Уровень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EQ</w:t>
            </w:r>
          </w:p>
        </w:tc>
      </w:tr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Пользователь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Low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Шаблон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Low</w:t>
            </w:r>
          </w:p>
        </w:tc>
        <w:tc>
          <w:tcPr>
            <w:tcW w:w="186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10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Подсчет функциональных точек EQ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В таблицах используются следующие обозначения: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FTR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file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referenced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различные информационные объекты типа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и/или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модифицируемых или считываемых в транзакции.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DET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data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element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type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неповторяемое уникальное поле данных.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) — внешние входные транзакции, элементарная операция по обработке данных или управляющей информации, поступающих в систему из вне.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EO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outputs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выходные транзакции, элементарная операция по генерации данных или управляющей информации, которые выходят за пределы системы. Предполагает определенную логику обработки или вычислений информации из одного или более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EQ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(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external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inquiries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) — внешние запросы, элементарная операция, которая в ответ на внешний запрос извлекает данные или управляющую информацию из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ILF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или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EIF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количество функциональных точек, связанных с транзакциями: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2=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</m:e>
        </m:nary>
        <m:r>
          <w:rPr>
            <w:rFonts w:ascii="Cambria Math" w:hAnsi="Cambria Math"/>
          </w:rPr>
          <m:t xml:space="preserve">+</m:t>
        </m:r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EO</m:t>
            </m:r>
            <m:r>
              <w:rPr>
                <w:rFonts w:ascii="Cambria Math" w:hAnsi="Cambria Math"/>
              </w:rPr>
              <m:t xml:space="preserve">+</m:t>
            </m:r>
            <m:nary>
              <m:naryPr>
                <m:chr m:val="∑"/>
                <m:subHide m:val="1"/>
                <m:supHide m:val="1"/>
              </m:naryPr>
              <m:sub/>
              <m:sup/>
              <m:e>
                <m:r>
                  <w:rPr>
                    <w:rFonts w:ascii="Cambria Math" w:hAnsi="Cambria Math"/>
                  </w:rPr>
                  <m:t xml:space="preserve">EQ</m:t>
                </m:r>
              </m:e>
            </m:nary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12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8</m:t>
            </m:r>
          </m:e>
        </m:nary>
      </m:oMath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5. Определение суммарного количества не выровненных функциональных точек (UFP).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1+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UFP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2 = 24+18= 42</w:t>
      </w:r>
    </w:p>
    <w:p>
      <w:pPr>
        <w:pStyle w:val="Normal"/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6. Определение значения фактора выравнивания (FAV).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таблице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ниже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представлена оценка системных характеристик по 5-бальной шкале.</w:t>
      </w:r>
    </w:p>
    <w:tbl>
      <w:tblPr>
        <w:tblStyle w:val="ab"/>
        <w:tblpPr w:vertAnchor="text" w:horzAnchor="margin" w:leftFromText="180" w:rightFromText="180" w:tblpX="0" w:tblpY="-2"/>
        <w:tblW w:w="9351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88"/>
        <w:gridCol w:w="2262"/>
      </w:tblGrid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DI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Обмен данными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2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Распределённая обработка данных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Производительность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Ограничения по аппаратным ресурсам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Транзакционная нагрузка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Интенсивность взаимодействия с пользователем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Эргономика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Интенсивность изменения данных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Сложность обработки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Повторное использование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Удобство инсталляции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Удобство администрирования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Портируемость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  <w:tr>
        <w:trPr/>
        <w:tc>
          <w:tcPr>
            <w:tcW w:w="7088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Гибкость</w:t>
            </w:r>
          </w:p>
        </w:tc>
        <w:tc>
          <w:tcPr>
            <w:tcW w:w="226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5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/>
      <w:r>
        <w:rPr>
          <w:rFonts w:cs="Times New Roman" w:ascii="Times New Roman" w:hAnsi="Times New Roman"/>
          <w:color w:val="000000" w:themeColor="text1"/>
          <w:sz w:val="28"/>
          <w:szCs w:val="28"/>
        </w:rPr>
        <w:t>Оценка системных характеристик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Расчет суммарного эффекта 14 системных характеристик: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TDI = </w:t>
      </w:r>
      <w:r>
        <w:rPr/>
      </w:r>
      <m:oMath xmlns:m="http://schemas.openxmlformats.org/officeDocument/2006/math">
        <m:nary>
          <m:naryPr>
            <m:chr m:val="∑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EI</m:t>
            </m:r>
            <m:r>
              <w:rPr>
                <w:rFonts w:ascii="Cambria Math" w:hAnsi="Cambria Math"/>
              </w:rPr>
              <m:t xml:space="preserve">=</m:t>
            </m:r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21, где DI – оценка системных параметров.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Таким образом значение фактора выравнивания FAV = (TDI *0.01) + 0.65 = (21*0.01) + 0.65 = 0.86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u w:val="single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u w:val="single"/>
        </w:rPr>
        <w:t>7. Расчет количества выровненных функциональных точек (AFP).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AFP = UFP * VAF = 32 * 0.86 = 36.12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 xml:space="preserve">Метод функциональных точек не рассчитывает трудоемкость. Для этого необходимо воспользоваться методикой COCOMO II. Язык разработки С#, следовательно, мы получаем количество строк: 36.12 * 59 = 2131,08. </w:t>
      </w:r>
      <w:r>
        <w:rPr>
          <w:rFonts w:cs="Times New Roman" w:ascii="Times New Roman" w:hAnsi="Times New Roman"/>
          <w:b w:val="false"/>
          <w:bCs w:val="false"/>
          <w:color w:val="000000" w:themeColor="text1"/>
          <w:sz w:val="28"/>
          <w:szCs w:val="28"/>
        </w:rPr>
        <w:t>Полученный результат не учитывает манипуляцию данных в программе и архитектуру, поэтому будем считать размер программного продукта равным 4000 строк.</w:t>
      </w:r>
      <w:r>
        <w:br w:type="page"/>
      </w:r>
    </w:p>
    <w:p>
      <w:pPr>
        <w:pStyle w:val="Heading2"/>
        <w:spacing w:lineRule="auto" w:line="360" w:before="0" w:after="0"/>
        <w:ind w:firstLine="709"/>
        <w:jc w:val="both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 COCOMO II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Трудоемкость (в чел.*мес.) проекта можно посчитать по формуле: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∗</m:t>
        </m:r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>,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А = 2.94;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SIZE — размер продукта в KSLOC (тысяча строк исходного кода);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E – постоянный коэффициент предварительной оценки;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EMi — множители трудоемкости;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n=7 — для предварительной оценки.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нашем проекте будет 4 000 строк исходного кода, следовательно, SIZE = 4.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Для расчета постоянного коэффициента оценки воспользуемся формулой: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0,01</m:t>
        </m:r>
        <m:r>
          <w:rPr>
            <w:rFonts w:ascii="Cambria Math" w:hAnsi="Cambria Math"/>
          </w:rPr>
          <m:t xml:space="preserve">∗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5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SF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,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В = 0.91;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SFj — факторы масштаба.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Перейдем к рассмотрению факторов масштаба, которые представлены в таблице 7.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8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99"/>
        <w:gridCol w:w="2545"/>
      </w:tblGrid>
      <w:tr>
        <w:trPr/>
        <w:tc>
          <w:tcPr>
            <w:tcW w:w="679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5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PREC (прецедентность, наличие опыта аналогичных разработок)</w:t>
            </w:r>
          </w:p>
        </w:tc>
        <w:tc>
          <w:tcPr>
            <w:tcW w:w="25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1.24 (Nominal)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FLEX (гибкость процесса разработки)</w:t>
            </w:r>
          </w:p>
        </w:tc>
        <w:tc>
          <w:tcPr>
            <w:tcW w:w="25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1.01 (High)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RESL (архитектура и разрешение рисков)</w:t>
            </w:r>
          </w:p>
        </w:tc>
        <w:tc>
          <w:tcPr>
            <w:tcW w:w="25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1.41 (Very High)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TEAM (сработанность команды)</w:t>
            </w:r>
          </w:p>
        </w:tc>
        <w:tc>
          <w:tcPr>
            <w:tcW w:w="25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 (Nominal)</w:t>
            </w:r>
          </w:p>
        </w:tc>
      </w:tr>
      <w:tr>
        <w:trPr/>
        <w:tc>
          <w:tcPr>
            <w:tcW w:w="679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PMAT (зрелость процессов)</w:t>
            </w:r>
          </w:p>
        </w:tc>
        <w:tc>
          <w:tcPr>
            <w:tcW w:w="25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4.68 (Nominal)</w:t>
            </w:r>
          </w:p>
        </w:tc>
      </w:tr>
    </w:tbl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7 – Факторы масштаба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>= 0.91 + 0.01 * (1.24+1.01+1.41+0+4.68) = 0.9934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Следующим этапом рассмотрим множители трудоемкости, представление в таблице 8.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8"/>
        <w:tblW w:w="935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3"/>
        <w:gridCol w:w="2832"/>
      </w:tblGrid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Название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b/>
                <w:b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Оценка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PERS (квалификация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0.83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High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RCPX (сложность и надежность продукта)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RUSE (разработка для повторного использования)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0.95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Low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PDIF (сложность платформы разработки)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00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 xml:space="preserve"> (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en-US" w:bidi="ar-SA"/>
              </w:rPr>
              <w:t>Nominal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PREX  (опыт персонала)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1.22 (Low)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FCIL (оборудование)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  <w:tr>
        <w:trPr/>
        <w:tc>
          <w:tcPr>
            <w:tcW w:w="6523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SCED (сжатие расписания)</w:t>
            </w:r>
          </w:p>
        </w:tc>
        <w:tc>
          <w:tcPr>
            <w:tcW w:w="283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2412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en-US" w:bidi="ar-SA"/>
              </w:rPr>
              <w:t>1.00 (Nominal)</w:t>
            </w:r>
          </w:p>
        </w:tc>
      </w:tr>
    </w:tbl>
    <w:p>
      <w:pPr>
        <w:pStyle w:val="Normal"/>
        <w:spacing w:lineRule="auto" w:line="360" w:before="0" w:after="0"/>
        <w:ind w:firstLine="709"/>
        <w:jc w:val="center"/>
        <w:rPr/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Таблица 8 – Множители трудоемкости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/>
      </w:r>
      <m:oMath xmlns:m="http://schemas.openxmlformats.org/officeDocument/2006/math">
        <m:nary>
          <m:naryPr>
            <m:chr m:val="∏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7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EM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nary>
      </m:oMath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0.83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0.95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* 1.22 *1.00*1.00=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0.96197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Таким образом получаем трудоемкость проекта в человеко-месяцах: PM = 2,94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4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^ (0.9934) *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0.96197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=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>2.913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Заработная плата каждого сотрудника составляет 25 000 рублей за 160 часов в месяц. Таким образом получаем себестоимость разработки продукта: 25 000 * 212.381 = 5 309 525 рублей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shd w:fill="FFFF00" w:val="clear"/>
          <w:lang w:val="ru-RU"/>
        </w:rPr>
        <w:t>З</w:t>
      </w:r>
      <w:r>
        <w:rPr>
          <w:rFonts w:cs="Times New Roman" w:ascii="Times New Roman" w:hAnsi="Times New Roman"/>
          <w:color w:val="000000" w:themeColor="text1"/>
          <w:sz w:val="28"/>
          <w:szCs w:val="28"/>
          <w:shd w:fill="FFFF00" w:val="clear"/>
        </w:rPr>
        <w:t>аработная плата каждого сотрудника, необходимого для реализации такого проекта, составляет</w:t>
      </w: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30 000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рублей в месяц.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Стоимость разработки проекта: 30 000 * 2.913 = 87 390 рублей.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На этапе разработки организация платит ежемесячно 13% подоходного налога с зарплаты физических лиц и 30,2% налога с фонда заработной платы компании, где 22% -  ПФР, 5.1 -  медицинская страховка, 2.9% - Временная нетрудоспособность (социальное страхование), 0.2% - травматизм (социальное страхование). Таким образом налогообложение составит 87 390 * 43.2% = 37 752.48.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Стоимость разработки продукта с учётом налогообложения составит: 87 390 + 37 752.48 = 125 142 рублей.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" w:cs="Times New Roman" w:eastAsiaTheme="majorEastAsia"/>
          <w:b/>
          <w:b/>
          <w:bCs/>
          <w:sz w:val="28"/>
          <w:szCs w:val="28"/>
        </w:rPr>
      </w:pPr>
      <w:r>
        <w:rPr>
          <w:rFonts w:eastAsia="" w:cs="Times New Roman" w:eastAsiaTheme="majorEastAsia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Heading1"/>
        <w:spacing w:lineRule="auto" w:line="360" w:before="0" w:after="0"/>
        <w:ind w:firstLine="709"/>
        <w:jc w:val="center"/>
        <w:rPr>
          <w:rFonts w:ascii="Times New Roman" w:hAnsi="Times New Roman" w:cs="Times New Roman"/>
          <w:b/>
          <w:b/>
          <w:bCs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 xml:space="preserve">СРАВНИТЕЛЬНЫЙ АНАЛИЗ </w:t>
      </w:r>
      <w:bookmarkStart w:id="0" w:name="_GoBack"/>
      <w:bookmarkEnd w:id="0"/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МЕТОДИК РАСЧЕТА СТОИМОСТИ ПРОГРАММНОГО ПРОДУКТА</w:t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 xml:space="preserve">В ходе расчета стоимости программного продукта были использованы методы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PERT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COCOMO II.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При расчете по методу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PERT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в результате была получена сумма 174 895 рублей. При расчете по методу C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OCOMA II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в результате была получена сумма 125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142 рублей. 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PERT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для расчета стоимости использует оценки трудоемкости по этапам разработки. Метод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COCOMA II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 xml:space="preserve">для расчета стоимости использует количество строк программного кода, в нашем случае полученное с помощью метода функциональных точек. На основе количества строк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en-US"/>
        </w:rPr>
        <w:t xml:space="preserve">COCOMA II </w:t>
      </w: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позволяет проанализировать программный продукт и рассчитать его стоимость.</w:t>
      </w:r>
    </w:p>
    <w:p>
      <w:pPr>
        <w:pStyle w:val="Normal"/>
        <w:tabs>
          <w:tab w:val="clear" w:pos="708"/>
          <w:tab w:val="left" w:pos="2412" w:leader="none"/>
        </w:tabs>
        <w:spacing w:lineRule="auto" w:line="360" w:before="0" w:after="0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Исходя из произведенных расчетов можно сделать вывод, что стоимость программного продукта примерно равна 150 000 рублей.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81850467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d718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5b223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b223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b223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rnetLink">
    <w:name w:val="Hyperlink"/>
    <w:basedOn w:val="DefaultParagraphFont"/>
    <w:uiPriority w:val="99"/>
    <w:semiHidden/>
    <w:unhideWhenUsed/>
    <w:rsid w:val="00ff084a"/>
    <w:rPr>
      <w:color w:val="0000FF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9e2518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9e251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Formattext" w:customStyle="1">
    <w:name w:val="formattext"/>
    <w:basedOn w:val="Normal"/>
    <w:qFormat/>
    <w:rsid w:val="005b223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9e251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c2d8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68E81-8E8E-4B47-9317-24014A285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1919</TotalTime>
  <Application>LibreOffice/7.3.2.2$Windows_X86_64 LibreOffice_project/49f2b1bff42cfccbd8f788c8dc32c1c309559be0</Application>
  <AppVersion>15.0000</AppVersion>
  <Pages>9</Pages>
  <Words>1170</Words>
  <Characters>7285</Characters>
  <CharactersWithSpaces>8296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2022-04-20T06:09:00Z</dcterms:created>
  <dc:creator>user</dc:creator>
  <dc:description/>
  <dc:language>en-US</dc:language>
  <cp:lastModifiedBy/>
  <dcterms:modified xsi:type="dcterms:W3CDTF">2022-05-16T19:35:40Z</dcterms:modified>
  <cp:revision>156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