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5CBC" w14:textId="77777777" w:rsidR="00DB57C9" w:rsidRDefault="005A148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СТОИМОСТИ РАЗРАБОТКИ ПРОГРАММНОГО ПРОДУКТА</w:t>
      </w:r>
    </w:p>
    <w:p w14:paraId="63F94A32" w14:textId="77777777" w:rsidR="00DB57C9" w:rsidRDefault="00DB57C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DA05F51" w14:textId="77777777" w:rsidR="00DB57C9" w:rsidRDefault="005A148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 МЕТОДИКА PERT</w:t>
      </w:r>
    </w:p>
    <w:p w14:paraId="3C7589A2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расчета стоимости разработки программного продукта данный метод предполагает расчет трудоемкости, которая с большой вероятностью (95%) не будет превышена. Она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расчитывается по формуле:</w:t>
      </w:r>
    </w:p>
    <w:p w14:paraId="042DD237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95</m:t>
        </m:r>
        <m:r>
          <m:rPr>
            <m:lit/>
            <m:nor/>
          </m:rPr>
          <w:rPr>
            <w:rFonts w:ascii="Cambria Math" w:hAnsi="Cambria Math"/>
          </w:rPr>
          <m:t>%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+2*СКО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Е - суммарная трудоемкость проекта, СКО - среднеквадратичное отклонение</w:t>
      </w:r>
    </w:p>
    <w:p w14:paraId="6CE62A98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их расчета используем следующие формулы:</w:t>
      </w:r>
    </w:p>
    <w:p w14:paraId="54FD0646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r>
          <w:rPr>
            <w:rFonts w:ascii="Cambria Math" w:hAnsi="Cambria Math"/>
          </w:rPr>
          <m:t>CKO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CKO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</w:p>
    <w:p w14:paraId="09E68B6B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расчета значений каждой задачи используем формулы:</w:t>
      </w:r>
    </w:p>
    <w:p w14:paraId="6C7F2F22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СКО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Оi, Рi и Mi – оптимистичная, пессимистичная и наиболее вероятная оценки трудозатрат соответственно.</w:t>
      </w:r>
    </w:p>
    <w:p w14:paraId="66400C15" w14:textId="77777777" w:rsidR="00DB57C9" w:rsidRDefault="005A148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1 представлена оценка трудозатрат в человеко-часах, трудозатраты на конкретном этапе и среднеквадратичное откл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онение для каждого этапа разработки.</w:t>
      </w:r>
    </w:p>
    <w:p w14:paraId="421C6EA6" w14:textId="77777777" w:rsidR="00DB57C9" w:rsidRDefault="005A148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Ниже представлена таблица с оценками трудозатрат, а также трудозатраты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  среднеквадратичное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отклонение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СКО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каждой задаче.</w:t>
      </w:r>
    </w:p>
    <w:p w14:paraId="57CDBB28" w14:textId="77777777" w:rsidR="00DB57C9" w:rsidRDefault="005A1483">
      <w:pPr>
        <w:spacing w:after="0" w:line="360" w:lineRule="auto"/>
        <w:ind w:firstLine="709"/>
        <w:jc w:val="center"/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1DE700BA" wp14:editId="42138FF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1 – Оценка трудозатрат</w:t>
      </w:r>
    </w:p>
    <w:p w14:paraId="0A91DA1B" w14:textId="77777777" w:rsidR="00DB57C9" w:rsidRDefault="005A148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суммарная трудоемкость проекта Е равна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651.38 человеко-часов, среднеквадратичное отклонение CKO = 6.19</w:t>
      </w:r>
    </w:p>
    <w:p w14:paraId="1868F8DB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Общая трудоемкость нашего проекта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95 = 651.38 + 2 * 6.19 = 651.38 чел./час. </w:t>
      </w:r>
    </w:p>
    <w:p w14:paraId="0E1FA222" w14:textId="2DD3D58F" w:rsidR="00DB57C9" w:rsidRDefault="00DD16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Предположим, что заработная плата каждого сотрудника, необходимая для реализации такого проекта, составляет 30 000 рублей в месяц </w:t>
      </w:r>
      <w:r w:rsidR="005A14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30 000 / 160 = </w:t>
      </w:r>
      <w:r w:rsidR="005A1483" w:rsidRPr="00C702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187.5 </w:t>
      </w:r>
      <w:r w:rsidR="005A1483">
        <w:rPr>
          <w:rFonts w:ascii="Times New Roman" w:hAnsi="Times New Roman" w:cs="Times New Roman"/>
          <w:color w:val="000000" w:themeColor="text1"/>
          <w:sz w:val="28"/>
          <w:szCs w:val="28"/>
        </w:rPr>
        <w:t>рублей в час, где 160 - количество проработанных сотрудником часов в месяц.</w:t>
      </w:r>
    </w:p>
    <w:p w14:paraId="6E9BAB25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 это значение для расчета стоимости разработки такого проекта: 651.38 * 187.5 = 122 133.75 рублей.</w:t>
      </w:r>
    </w:p>
    <w:p w14:paraId="65019E81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учесть налоги, оплата которых входит в стоимость разработки проекта.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этапе разработки организация платит ежемесячно 13% подоходного налога с зарплаты физических лиц и 30,2% налога с фонда заработной платы компании, где 22%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 ПФР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5.1 -  меди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цинская страховка,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2.9% - Временная нетрудоспособность (социальное страхование), 0.2% - травматизм (социальное страхование). Таким образом налогообложение составит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122 133.75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43.2% = 52 761.78.</w:t>
      </w:r>
    </w:p>
    <w:p w14:paraId="0A2AA2A4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 разработки продукта с учётом налогообложения соста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вит: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122 133.75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+ 52 761.78= 174 895 рублей.</w:t>
      </w:r>
    </w:p>
    <w:p w14:paraId="20AE3703" w14:textId="77777777" w:rsidR="00DB57C9" w:rsidRDefault="005A148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</w:p>
    <w:p w14:paraId="568121DD" w14:textId="77777777" w:rsidR="00DB57C9" w:rsidRDefault="005A148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МЕТОД ФУНКЦИОНАЛЬНЫХ ТОЧЕК И МЕТОДИКА COCOMO II</w:t>
      </w:r>
    </w:p>
    <w:p w14:paraId="32FD08D5" w14:textId="77777777" w:rsidR="00DB57C9" w:rsidRDefault="00DB57C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89C49" w14:textId="77777777" w:rsidR="00DB57C9" w:rsidRDefault="005A148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 функциональных точек</w:t>
      </w:r>
    </w:p>
    <w:p w14:paraId="6CA06C3E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этого необходимо выполнить следующие действия:</w:t>
      </w:r>
    </w:p>
    <w:p w14:paraId="61656A8D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Определение типа оценки. </w:t>
      </w:r>
    </w:p>
    <w:p w14:paraId="0AB58FF2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Проект разработки – оценивается первый релиз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продукта.</w:t>
      </w:r>
    </w:p>
    <w:p w14:paraId="725FFFE4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Определение области оценки. </w:t>
      </w:r>
    </w:p>
    <w:p w14:paraId="67E8CAE2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Область продукта: все разрабатываемые функции.</w:t>
      </w:r>
    </w:p>
    <w:p w14:paraId="68BC2015" w14:textId="77777777" w:rsidR="00DB57C9" w:rsidRDefault="005A1483">
      <w:pPr>
        <w:tabs>
          <w:tab w:val="left" w:pos="8064"/>
        </w:tabs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3.Подсчет функциональных точек, связанных с данными.</w:t>
      </w:r>
    </w:p>
    <w:p w14:paraId="1427B99F" w14:textId="77777777" w:rsidR="00DB57C9" w:rsidRDefault="005A1483">
      <w:pPr>
        <w:tabs>
          <w:tab w:val="left" w:pos="8064"/>
        </w:tabs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2 представлен подсчет функциональных точек, связанных с данными.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5308C321" w14:textId="77777777" w:rsidR="00DB57C9" w:rsidRDefault="005A148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2 – Подсчет функциональных точ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ек ILF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</w:p>
    <w:tbl>
      <w:tblPr>
        <w:tblStyle w:val="ab"/>
        <w:tblW w:w="942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980"/>
        <w:gridCol w:w="1284"/>
        <w:gridCol w:w="1539"/>
        <w:gridCol w:w="1557"/>
        <w:gridCol w:w="1532"/>
        <w:gridCol w:w="1533"/>
      </w:tblGrid>
      <w:tr w:rsidR="00DB57C9" w14:paraId="2727003A" w14:textId="77777777" w:rsidTr="00C702E4">
        <w:trPr>
          <w:trHeight w:val="396"/>
        </w:trPr>
        <w:tc>
          <w:tcPr>
            <w:tcW w:w="1980" w:type="dxa"/>
            <w:vAlign w:val="bottom"/>
          </w:tcPr>
          <w:p w14:paraId="1232B5F0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284" w:type="dxa"/>
            <w:vAlign w:val="bottom"/>
          </w:tcPr>
          <w:p w14:paraId="3E7A6FB6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RET</w:t>
            </w:r>
          </w:p>
        </w:tc>
        <w:tc>
          <w:tcPr>
            <w:tcW w:w="1539" w:type="dxa"/>
            <w:vAlign w:val="bottom"/>
          </w:tcPr>
          <w:p w14:paraId="7A1C6371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557" w:type="dxa"/>
            <w:vAlign w:val="bottom"/>
          </w:tcPr>
          <w:p w14:paraId="2E1FED73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532" w:type="dxa"/>
            <w:vAlign w:val="bottom"/>
          </w:tcPr>
          <w:p w14:paraId="19E510F3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ILF</w:t>
            </w:r>
          </w:p>
        </w:tc>
        <w:tc>
          <w:tcPr>
            <w:tcW w:w="1533" w:type="dxa"/>
            <w:vAlign w:val="bottom"/>
          </w:tcPr>
          <w:p w14:paraId="03C7E84A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EIF</w:t>
            </w:r>
          </w:p>
        </w:tc>
      </w:tr>
      <w:tr w:rsidR="00DB57C9" w14:paraId="02440575" w14:textId="77777777" w:rsidTr="00C702E4">
        <w:trPr>
          <w:trHeight w:val="396"/>
        </w:trPr>
        <w:tc>
          <w:tcPr>
            <w:tcW w:w="1980" w:type="dxa"/>
            <w:vAlign w:val="bottom"/>
          </w:tcPr>
          <w:p w14:paraId="1E408465" w14:textId="5E22A91B" w:rsidR="00DB57C9" w:rsidRDefault="00C702E4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284" w:type="dxa"/>
            <w:vAlign w:val="bottom"/>
          </w:tcPr>
          <w:p w14:paraId="2C23C992" w14:textId="76A5C23B" w:rsidR="00DB57C9" w:rsidRDefault="005301F9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9" w:type="dxa"/>
            <w:vAlign w:val="bottom"/>
          </w:tcPr>
          <w:p w14:paraId="73F8A653" w14:textId="7007EE0A" w:rsidR="00DB57C9" w:rsidRDefault="005301F9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557" w:type="dxa"/>
            <w:vAlign w:val="bottom"/>
          </w:tcPr>
          <w:p w14:paraId="2511B883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532" w:type="dxa"/>
            <w:vAlign w:val="bottom"/>
          </w:tcPr>
          <w:p w14:paraId="33E044E5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33" w:type="dxa"/>
            <w:vAlign w:val="bottom"/>
          </w:tcPr>
          <w:p w14:paraId="3DBFCDB9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DB57C9" w14:paraId="47745790" w14:textId="77777777" w:rsidTr="00C702E4">
        <w:trPr>
          <w:trHeight w:val="396"/>
        </w:trPr>
        <w:tc>
          <w:tcPr>
            <w:tcW w:w="1980" w:type="dxa"/>
            <w:vAlign w:val="bottom"/>
          </w:tcPr>
          <w:p w14:paraId="0692056A" w14:textId="53ABE884" w:rsidR="00DB57C9" w:rsidRDefault="00C702E4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284" w:type="dxa"/>
            <w:vAlign w:val="bottom"/>
          </w:tcPr>
          <w:p w14:paraId="2AE677EC" w14:textId="75AB73FA" w:rsidR="00DB57C9" w:rsidRDefault="005301F9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539" w:type="dxa"/>
            <w:vAlign w:val="bottom"/>
          </w:tcPr>
          <w:p w14:paraId="66935CFC" w14:textId="17A5C691" w:rsidR="00DB57C9" w:rsidRDefault="005301F9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557" w:type="dxa"/>
            <w:vAlign w:val="bottom"/>
          </w:tcPr>
          <w:p w14:paraId="3E630C59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532" w:type="dxa"/>
            <w:vAlign w:val="bottom"/>
          </w:tcPr>
          <w:p w14:paraId="78DD7790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533" w:type="dxa"/>
            <w:vAlign w:val="bottom"/>
          </w:tcPr>
          <w:p w14:paraId="6340C938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441EE4C8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этого используются следующие значения:</w:t>
      </w:r>
    </w:p>
    <w:p w14:paraId="703B9542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DET (data element type) — неповторяемое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уникальное поле данных</w:t>
      </w:r>
    </w:p>
    <w:p w14:paraId="38DA058E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RET (record element type) — логическая группа данных</w:t>
      </w:r>
    </w:p>
    <w:p w14:paraId="1F13E6BD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ILF — Внутренние логические файлы </w:t>
      </w:r>
    </w:p>
    <w:p w14:paraId="5987A571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EIF — Внешние интерфейсные файлы</w:t>
      </w:r>
    </w:p>
    <w:p w14:paraId="43E2D683" w14:textId="19A620D8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получаем количество функциональных точек, связанных с данными: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UFP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=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ILF</m:t>
            </m: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EIF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14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24</m:t>
            </m:r>
          </m:e>
        </m:nary>
      </m:oMath>
    </w:p>
    <w:p w14:paraId="704C4018" w14:textId="77777777" w:rsidR="00DB57C9" w:rsidRDefault="005A148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4.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одсчет функциональных точек, связанных с транзакциями.</w:t>
      </w:r>
    </w:p>
    <w:p w14:paraId="3843D720" w14:textId="77777777" w:rsidR="00DB57C9" w:rsidRDefault="005A148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3 – Подсчет функциональных точек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EI</w:t>
      </w:r>
    </w:p>
    <w:tbl>
      <w:tblPr>
        <w:tblStyle w:val="ab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B57C9" w14:paraId="4BC33691" w14:textId="77777777">
        <w:tc>
          <w:tcPr>
            <w:tcW w:w="1869" w:type="dxa"/>
            <w:vAlign w:val="bottom"/>
          </w:tcPr>
          <w:p w14:paraId="1DA0AA96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vAlign w:val="bottom"/>
          </w:tcPr>
          <w:p w14:paraId="37BD0CAB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vAlign w:val="bottom"/>
          </w:tcPr>
          <w:p w14:paraId="6A9BBD3B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vAlign w:val="bottom"/>
          </w:tcPr>
          <w:p w14:paraId="73B77AB7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vAlign w:val="bottom"/>
          </w:tcPr>
          <w:p w14:paraId="60EBA91A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EI</w:t>
            </w:r>
          </w:p>
        </w:tc>
      </w:tr>
      <w:tr w:rsidR="00DB57C9" w14:paraId="7511090F" w14:textId="77777777">
        <w:tc>
          <w:tcPr>
            <w:tcW w:w="1869" w:type="dxa"/>
            <w:vAlign w:val="bottom"/>
          </w:tcPr>
          <w:p w14:paraId="1B1136A3" w14:textId="01DF2D57" w:rsidR="00DB57C9" w:rsidRDefault="005301F9" w:rsidP="005301F9">
            <w:pPr>
              <w:widowControl w:val="0"/>
              <w:tabs>
                <w:tab w:val="left" w:pos="2412"/>
              </w:tabs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vAlign w:val="bottom"/>
          </w:tcPr>
          <w:p w14:paraId="7E69DC82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bottom"/>
          </w:tcPr>
          <w:p w14:paraId="3E3D6A80" w14:textId="4493EA71" w:rsidR="00DB57C9" w:rsidRDefault="00F52A6A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69" w:type="dxa"/>
            <w:vAlign w:val="bottom"/>
          </w:tcPr>
          <w:p w14:paraId="552B9354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vAlign w:val="bottom"/>
          </w:tcPr>
          <w:p w14:paraId="03BFEDC3" w14:textId="0A378C73" w:rsidR="00DB57C9" w:rsidRDefault="00613AC7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DB57C9" w14:paraId="47F0E4E1" w14:textId="77777777">
        <w:tc>
          <w:tcPr>
            <w:tcW w:w="1869" w:type="dxa"/>
            <w:vAlign w:val="bottom"/>
          </w:tcPr>
          <w:p w14:paraId="29957FA2" w14:textId="049A87D1" w:rsidR="00DB57C9" w:rsidRDefault="005301F9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vAlign w:val="bottom"/>
          </w:tcPr>
          <w:p w14:paraId="674E3501" w14:textId="023F2262" w:rsidR="00DB57C9" w:rsidRDefault="00F52A6A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bottom"/>
          </w:tcPr>
          <w:p w14:paraId="3E544852" w14:textId="0FE788C6" w:rsidR="00DB57C9" w:rsidRDefault="00F52A6A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869" w:type="dxa"/>
            <w:vAlign w:val="bottom"/>
          </w:tcPr>
          <w:p w14:paraId="42674D47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Average</w:t>
            </w:r>
          </w:p>
        </w:tc>
        <w:tc>
          <w:tcPr>
            <w:tcW w:w="1869" w:type="dxa"/>
            <w:vAlign w:val="bottom"/>
          </w:tcPr>
          <w:p w14:paraId="100C6E51" w14:textId="5C9C3F8B" w:rsidR="00DB57C9" w:rsidRDefault="00613AC7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 w14:paraId="5F3AFDDF" w14:textId="77777777" w:rsidR="00DB57C9" w:rsidRPr="00F52A6A" w:rsidRDefault="005A148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Таблица 4 – Подсчет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функциональных точек</w:t>
      </w:r>
      <w:r w:rsidRPr="00F52A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EO</w:t>
      </w:r>
    </w:p>
    <w:tbl>
      <w:tblPr>
        <w:tblStyle w:val="ab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B57C9" w14:paraId="6052B93C" w14:textId="77777777">
        <w:tc>
          <w:tcPr>
            <w:tcW w:w="1869" w:type="dxa"/>
            <w:vAlign w:val="bottom"/>
          </w:tcPr>
          <w:p w14:paraId="752A3D82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1869" w:type="dxa"/>
            <w:vAlign w:val="bottom"/>
          </w:tcPr>
          <w:p w14:paraId="70869AD6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vAlign w:val="bottom"/>
          </w:tcPr>
          <w:p w14:paraId="76EEF242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vAlign w:val="bottom"/>
          </w:tcPr>
          <w:p w14:paraId="47D0CB2E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vAlign w:val="bottom"/>
          </w:tcPr>
          <w:p w14:paraId="300F91A2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EO</w:t>
            </w:r>
          </w:p>
        </w:tc>
      </w:tr>
      <w:tr w:rsidR="00DB57C9" w14:paraId="71236E40" w14:textId="77777777">
        <w:tc>
          <w:tcPr>
            <w:tcW w:w="1869" w:type="dxa"/>
            <w:vAlign w:val="bottom"/>
          </w:tcPr>
          <w:p w14:paraId="60991447" w14:textId="48D35549" w:rsidR="00DB57C9" w:rsidRDefault="00F52A6A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vAlign w:val="bottom"/>
          </w:tcPr>
          <w:p w14:paraId="6BABCDB1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bottom"/>
          </w:tcPr>
          <w:p w14:paraId="38FF00B4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bottom"/>
          </w:tcPr>
          <w:p w14:paraId="29CAC78B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vAlign w:val="bottom"/>
          </w:tcPr>
          <w:p w14:paraId="6355E447" w14:textId="3B831F3B" w:rsidR="00DB57C9" w:rsidRDefault="00F52A6A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DB57C9" w14:paraId="180C6C04" w14:textId="77777777">
        <w:tc>
          <w:tcPr>
            <w:tcW w:w="1869" w:type="dxa"/>
            <w:vAlign w:val="bottom"/>
          </w:tcPr>
          <w:p w14:paraId="7749941E" w14:textId="10296CA6" w:rsidR="00DB57C9" w:rsidRDefault="00F52A6A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vAlign w:val="bottom"/>
          </w:tcPr>
          <w:p w14:paraId="5CC4414D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bottom"/>
          </w:tcPr>
          <w:p w14:paraId="700A114B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bottom"/>
          </w:tcPr>
          <w:p w14:paraId="4D4660C8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vAlign w:val="bottom"/>
          </w:tcPr>
          <w:p w14:paraId="1FFBC049" w14:textId="537C6E72" w:rsidR="00DB57C9" w:rsidRDefault="00F52A6A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6E9E2940" w14:textId="77777777" w:rsidR="00DB57C9" w:rsidRPr="00F52A6A" w:rsidRDefault="005A148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5 – Подсчет функциональных точек</w:t>
      </w:r>
      <w:r w:rsidRPr="00F52A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EQ</w:t>
      </w:r>
    </w:p>
    <w:tbl>
      <w:tblPr>
        <w:tblStyle w:val="ab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B57C9" w14:paraId="22DD1FBB" w14:textId="77777777">
        <w:tc>
          <w:tcPr>
            <w:tcW w:w="1869" w:type="dxa"/>
            <w:vAlign w:val="bottom"/>
          </w:tcPr>
          <w:p w14:paraId="44A162AD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  <w:vAlign w:val="bottom"/>
          </w:tcPr>
          <w:p w14:paraId="7E536C5F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FTR</w:t>
            </w:r>
          </w:p>
        </w:tc>
        <w:tc>
          <w:tcPr>
            <w:tcW w:w="1869" w:type="dxa"/>
            <w:vAlign w:val="bottom"/>
          </w:tcPr>
          <w:p w14:paraId="61717D6F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DET</w:t>
            </w:r>
          </w:p>
        </w:tc>
        <w:tc>
          <w:tcPr>
            <w:tcW w:w="1869" w:type="dxa"/>
            <w:vAlign w:val="bottom"/>
          </w:tcPr>
          <w:p w14:paraId="59E5EE27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Уровень</w:t>
            </w:r>
          </w:p>
        </w:tc>
        <w:tc>
          <w:tcPr>
            <w:tcW w:w="1869" w:type="dxa"/>
            <w:vAlign w:val="bottom"/>
          </w:tcPr>
          <w:p w14:paraId="64EE3E69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EQ</w:t>
            </w:r>
          </w:p>
        </w:tc>
      </w:tr>
      <w:tr w:rsidR="00DB57C9" w14:paraId="1E210B95" w14:textId="77777777">
        <w:tc>
          <w:tcPr>
            <w:tcW w:w="1869" w:type="dxa"/>
            <w:vAlign w:val="bottom"/>
          </w:tcPr>
          <w:p w14:paraId="18171DC1" w14:textId="7C7F4C65" w:rsidR="00DB57C9" w:rsidRDefault="00F52A6A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Пользователь</w:t>
            </w:r>
          </w:p>
        </w:tc>
        <w:tc>
          <w:tcPr>
            <w:tcW w:w="1869" w:type="dxa"/>
            <w:vAlign w:val="bottom"/>
          </w:tcPr>
          <w:p w14:paraId="49DD4044" w14:textId="3B353BFF" w:rsidR="00DB57C9" w:rsidRDefault="00D4323A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bottom"/>
          </w:tcPr>
          <w:p w14:paraId="47F751A9" w14:textId="785A775A" w:rsidR="00DB57C9" w:rsidRDefault="00D4323A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869" w:type="dxa"/>
            <w:vAlign w:val="bottom"/>
          </w:tcPr>
          <w:p w14:paraId="76049BE1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vAlign w:val="bottom"/>
          </w:tcPr>
          <w:p w14:paraId="29DCFEA0" w14:textId="73319CB0" w:rsidR="00DB57C9" w:rsidRDefault="001050ED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DB57C9" w14:paraId="757CDDCD" w14:textId="77777777">
        <w:tc>
          <w:tcPr>
            <w:tcW w:w="1869" w:type="dxa"/>
            <w:vAlign w:val="bottom"/>
          </w:tcPr>
          <w:p w14:paraId="74C6033B" w14:textId="1FFE88D9" w:rsidR="00DB57C9" w:rsidRDefault="00F52A6A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Шаблон</w:t>
            </w:r>
          </w:p>
        </w:tc>
        <w:tc>
          <w:tcPr>
            <w:tcW w:w="1869" w:type="dxa"/>
            <w:vAlign w:val="bottom"/>
          </w:tcPr>
          <w:p w14:paraId="6B76DFCC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69" w:type="dxa"/>
            <w:vAlign w:val="bottom"/>
          </w:tcPr>
          <w:p w14:paraId="4A748E91" w14:textId="246DE53C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D4323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69" w:type="dxa"/>
            <w:vAlign w:val="bottom"/>
          </w:tcPr>
          <w:p w14:paraId="748E3B72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1869" w:type="dxa"/>
            <w:vAlign w:val="bottom"/>
          </w:tcPr>
          <w:p w14:paraId="0F8B7E67" w14:textId="00E7917C" w:rsidR="00DB57C9" w:rsidRDefault="001050ED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</w:tbl>
    <w:p w14:paraId="3603E568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таблицах 3, 4, 5 представлен подсчет функциональных точек, связанных с транзакциями. Для этого используются следующие значения:</w:t>
      </w:r>
    </w:p>
    <w:p w14:paraId="4E8485DF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FTR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referenced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— различные информационные объекты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и/или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модифицируемых или считываемых в транзакции.</w:t>
      </w:r>
    </w:p>
    <w:p w14:paraId="4D10939A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— неповторяемое уникальное поле данных. </w:t>
      </w:r>
    </w:p>
    <w:p w14:paraId="0FFB61C0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— внешние входные транзакции, элементарная операция по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обработке данных или управляющей информации, поступающих в систему из вне.</w:t>
      </w:r>
    </w:p>
    <w:p w14:paraId="39E1BE52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EO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outputs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 — внешние выходные транзакции, элементарная операция по генерации данных или управляющей информации, которые выходят за пределы системы. Предполагает определен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ную логику обработки или вычислений информации из одного или более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44F12C7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EQ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inquiries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— внешние запросы, элементарная операция, которая в ответ на внешний запрос извлекает данные или управляющую информацию из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ILF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EIF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01E9C" w14:textId="0F505D95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получаем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оличество функциональных точек, связанных с транзакциями: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UFP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2=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EI</m:t>
            </m:r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EO</m:t>
            </m:r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EQ</m:t>
                </m:r>
              </m:e>
            </m:nary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e>
        </m:nary>
      </m:oMath>
    </w:p>
    <w:p w14:paraId="1BF2F0A2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5. Определение суммарного количества не выровненных функциональных точек (UFP).</w:t>
      </w:r>
    </w:p>
    <w:p w14:paraId="520645E6" w14:textId="7E220204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UFP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UFP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UFP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= </w:t>
      </w:r>
      <w:r w:rsidR="00D4323A">
        <w:rPr>
          <w:rFonts w:ascii="Times New Roman" w:hAnsi="Times New Roman" w:cs="Times New Roman"/>
          <w:color w:val="000000" w:themeColor="text1"/>
          <w:sz w:val="28"/>
          <w:szCs w:val="28"/>
        </w:rPr>
        <w:t>24+</w:t>
      </w:r>
      <w:r w:rsidR="00E60ED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D4323A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="00E60EDE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D4323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55B47A98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Определение значения фактора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выравнивания (FAV).</w:t>
      </w:r>
    </w:p>
    <w:p w14:paraId="07D00498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таблице 6 представлена оценка системных характеристик по 5 бальной шкале.</w:t>
      </w:r>
    </w:p>
    <w:p w14:paraId="524CF9DC" w14:textId="77777777" w:rsidR="00DB57C9" w:rsidRDefault="005A1483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Таблица 6 – Оценка системных характеристик</w:t>
      </w:r>
    </w:p>
    <w:tbl>
      <w:tblPr>
        <w:tblStyle w:val="ab"/>
        <w:tblpPr w:leftFromText="180" w:rightFromText="180" w:vertAnchor="text" w:horzAnchor="margin" w:tblpY="-2"/>
        <w:tblW w:w="9351" w:type="dxa"/>
        <w:tblLayout w:type="fixed"/>
        <w:tblLook w:val="04A0" w:firstRow="1" w:lastRow="0" w:firstColumn="1" w:lastColumn="0" w:noHBand="0" w:noVBand="1"/>
      </w:tblPr>
      <w:tblGrid>
        <w:gridCol w:w="7089"/>
        <w:gridCol w:w="2262"/>
      </w:tblGrid>
      <w:tr w:rsidR="00DB57C9" w14:paraId="0C49A371" w14:textId="77777777">
        <w:tc>
          <w:tcPr>
            <w:tcW w:w="7088" w:type="dxa"/>
            <w:vAlign w:val="center"/>
          </w:tcPr>
          <w:p w14:paraId="6E1A4110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262" w:type="dxa"/>
          </w:tcPr>
          <w:p w14:paraId="003F0258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DI</w:t>
            </w:r>
          </w:p>
        </w:tc>
      </w:tr>
      <w:tr w:rsidR="00DB57C9" w14:paraId="3D94FA3C" w14:textId="77777777">
        <w:tc>
          <w:tcPr>
            <w:tcW w:w="7088" w:type="dxa"/>
            <w:vAlign w:val="center"/>
          </w:tcPr>
          <w:p w14:paraId="000FE5BF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Обмен данными</w:t>
            </w:r>
          </w:p>
        </w:tc>
        <w:tc>
          <w:tcPr>
            <w:tcW w:w="2262" w:type="dxa"/>
            <w:vAlign w:val="bottom"/>
          </w:tcPr>
          <w:p w14:paraId="7CED7B02" w14:textId="25729E24" w:rsidR="00DB57C9" w:rsidRDefault="00613AC7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DB57C9" w14:paraId="4391FFE4" w14:textId="77777777">
        <w:tc>
          <w:tcPr>
            <w:tcW w:w="7088" w:type="dxa"/>
            <w:vAlign w:val="center"/>
          </w:tcPr>
          <w:p w14:paraId="1750AFC8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Распределённая обработка данных</w:t>
            </w:r>
          </w:p>
        </w:tc>
        <w:tc>
          <w:tcPr>
            <w:tcW w:w="2262" w:type="dxa"/>
            <w:vAlign w:val="bottom"/>
          </w:tcPr>
          <w:p w14:paraId="0D745949" w14:textId="1A861F7A" w:rsidR="00DB57C9" w:rsidRDefault="00D4323A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DB57C9" w14:paraId="1028233D" w14:textId="77777777">
        <w:tc>
          <w:tcPr>
            <w:tcW w:w="7088" w:type="dxa"/>
            <w:vAlign w:val="center"/>
          </w:tcPr>
          <w:p w14:paraId="53129469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Производительность</w:t>
            </w:r>
          </w:p>
        </w:tc>
        <w:tc>
          <w:tcPr>
            <w:tcW w:w="2262" w:type="dxa"/>
            <w:vAlign w:val="bottom"/>
          </w:tcPr>
          <w:p w14:paraId="0AD45E09" w14:textId="0C551671" w:rsidR="00DB57C9" w:rsidRDefault="00D4323A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DB57C9" w14:paraId="2B539782" w14:textId="77777777">
        <w:tc>
          <w:tcPr>
            <w:tcW w:w="7088" w:type="dxa"/>
            <w:vAlign w:val="center"/>
          </w:tcPr>
          <w:p w14:paraId="6EDC95D4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Ограничения по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аппаратным ресурсам</w:t>
            </w:r>
          </w:p>
        </w:tc>
        <w:tc>
          <w:tcPr>
            <w:tcW w:w="2262" w:type="dxa"/>
            <w:vAlign w:val="bottom"/>
          </w:tcPr>
          <w:p w14:paraId="1F6CC879" w14:textId="4BF88D03" w:rsidR="00DB57C9" w:rsidRDefault="0070292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DB57C9" w14:paraId="7B076D54" w14:textId="77777777">
        <w:tc>
          <w:tcPr>
            <w:tcW w:w="7088" w:type="dxa"/>
            <w:vAlign w:val="center"/>
          </w:tcPr>
          <w:p w14:paraId="40E82FFE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Транзакционная нагрузка</w:t>
            </w:r>
          </w:p>
        </w:tc>
        <w:tc>
          <w:tcPr>
            <w:tcW w:w="2262" w:type="dxa"/>
            <w:vAlign w:val="bottom"/>
          </w:tcPr>
          <w:p w14:paraId="2685EDFB" w14:textId="4264636F" w:rsidR="00DB57C9" w:rsidRDefault="0070292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DB57C9" w14:paraId="2BC78DB5" w14:textId="77777777">
        <w:tc>
          <w:tcPr>
            <w:tcW w:w="7088" w:type="dxa"/>
            <w:vAlign w:val="center"/>
          </w:tcPr>
          <w:p w14:paraId="66FA23BA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Интенсивность взаимодействия с пользователем</w:t>
            </w:r>
          </w:p>
        </w:tc>
        <w:tc>
          <w:tcPr>
            <w:tcW w:w="2262" w:type="dxa"/>
            <w:vAlign w:val="bottom"/>
          </w:tcPr>
          <w:p w14:paraId="25398C49" w14:textId="3C4787D0" w:rsidR="00DB57C9" w:rsidRDefault="0070292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DB57C9" w14:paraId="5BCC48AF" w14:textId="77777777">
        <w:tc>
          <w:tcPr>
            <w:tcW w:w="7088" w:type="dxa"/>
            <w:vAlign w:val="center"/>
          </w:tcPr>
          <w:p w14:paraId="219433A5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Эргономика</w:t>
            </w:r>
          </w:p>
        </w:tc>
        <w:tc>
          <w:tcPr>
            <w:tcW w:w="2262" w:type="dxa"/>
            <w:vAlign w:val="bottom"/>
          </w:tcPr>
          <w:p w14:paraId="4D8E0114" w14:textId="5FF3C258" w:rsidR="00DB57C9" w:rsidRDefault="0070292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DB57C9" w14:paraId="399E146A" w14:textId="77777777">
        <w:tc>
          <w:tcPr>
            <w:tcW w:w="7088" w:type="dxa"/>
            <w:vAlign w:val="center"/>
          </w:tcPr>
          <w:p w14:paraId="470D5B68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Интенсивность изменения данных</w:t>
            </w:r>
          </w:p>
        </w:tc>
        <w:tc>
          <w:tcPr>
            <w:tcW w:w="2262" w:type="dxa"/>
            <w:vAlign w:val="bottom"/>
          </w:tcPr>
          <w:p w14:paraId="66788BF5" w14:textId="5FD8BCBA" w:rsidR="00DB57C9" w:rsidRDefault="0070292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DB57C9" w14:paraId="6ADB6730" w14:textId="77777777">
        <w:tc>
          <w:tcPr>
            <w:tcW w:w="7088" w:type="dxa"/>
            <w:vAlign w:val="center"/>
          </w:tcPr>
          <w:p w14:paraId="0081FB42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Сложность обработки</w:t>
            </w:r>
          </w:p>
        </w:tc>
        <w:tc>
          <w:tcPr>
            <w:tcW w:w="2262" w:type="dxa"/>
            <w:vAlign w:val="bottom"/>
          </w:tcPr>
          <w:p w14:paraId="1590B0CD" w14:textId="0D4C93B3" w:rsidR="00DB57C9" w:rsidRDefault="0070292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DB57C9" w14:paraId="0785CBFE" w14:textId="77777777">
        <w:tc>
          <w:tcPr>
            <w:tcW w:w="7088" w:type="dxa"/>
            <w:vAlign w:val="center"/>
          </w:tcPr>
          <w:p w14:paraId="7E12830C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Повторное использование</w:t>
            </w:r>
          </w:p>
        </w:tc>
        <w:tc>
          <w:tcPr>
            <w:tcW w:w="2262" w:type="dxa"/>
            <w:vAlign w:val="bottom"/>
          </w:tcPr>
          <w:p w14:paraId="273A6D74" w14:textId="5277874C" w:rsidR="00DB57C9" w:rsidRDefault="0070292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  <w:tr w:rsidR="00DB57C9" w14:paraId="4D49E42C" w14:textId="77777777">
        <w:tc>
          <w:tcPr>
            <w:tcW w:w="7088" w:type="dxa"/>
            <w:vAlign w:val="center"/>
          </w:tcPr>
          <w:p w14:paraId="32EF8260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Удобство инсталляции</w:t>
            </w:r>
          </w:p>
        </w:tc>
        <w:tc>
          <w:tcPr>
            <w:tcW w:w="2262" w:type="dxa"/>
            <w:vAlign w:val="bottom"/>
          </w:tcPr>
          <w:p w14:paraId="29697212" w14:textId="1539B428" w:rsidR="00DB57C9" w:rsidRDefault="00613AC7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DB57C9" w14:paraId="1D9DB23A" w14:textId="77777777">
        <w:tc>
          <w:tcPr>
            <w:tcW w:w="7088" w:type="dxa"/>
            <w:vAlign w:val="center"/>
          </w:tcPr>
          <w:p w14:paraId="26C33857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Удобство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администрирования</w:t>
            </w:r>
          </w:p>
        </w:tc>
        <w:tc>
          <w:tcPr>
            <w:tcW w:w="2262" w:type="dxa"/>
            <w:vAlign w:val="bottom"/>
          </w:tcPr>
          <w:p w14:paraId="2A55189B" w14:textId="432AE4AA" w:rsidR="00DB57C9" w:rsidRDefault="0070292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DB57C9" w14:paraId="47ED822F" w14:textId="77777777">
        <w:tc>
          <w:tcPr>
            <w:tcW w:w="7088" w:type="dxa"/>
            <w:vAlign w:val="center"/>
          </w:tcPr>
          <w:p w14:paraId="45CB0C39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Портируемость</w:t>
            </w:r>
          </w:p>
        </w:tc>
        <w:tc>
          <w:tcPr>
            <w:tcW w:w="2262" w:type="dxa"/>
            <w:vAlign w:val="bottom"/>
          </w:tcPr>
          <w:p w14:paraId="19A0C68B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DB57C9" w14:paraId="43CD2284" w14:textId="77777777">
        <w:tc>
          <w:tcPr>
            <w:tcW w:w="7088" w:type="dxa"/>
            <w:vAlign w:val="center"/>
          </w:tcPr>
          <w:p w14:paraId="7DA82E0C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Гибкость</w:t>
            </w:r>
          </w:p>
        </w:tc>
        <w:tc>
          <w:tcPr>
            <w:tcW w:w="2262" w:type="dxa"/>
            <w:vAlign w:val="bottom"/>
          </w:tcPr>
          <w:p w14:paraId="37FB6E8F" w14:textId="2AC7B13D" w:rsidR="00DB57C9" w:rsidRDefault="0070292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</w:tbl>
    <w:p w14:paraId="2FB1EF21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Расчет суммарного эффекта 14 системных характеристик:</w:t>
      </w:r>
    </w:p>
    <w:p w14:paraId="582FA246" w14:textId="0E972FBB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TDI =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EI</m:t>
            </m:r>
            <m:r>
              <w:rPr>
                <w:rFonts w:ascii="Cambria Math" w:hAnsi="Cambria Math"/>
              </w:rPr>
              <m:t>=</m:t>
            </m:r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3AC7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где DI – оценка системных параметров.</w:t>
      </w:r>
    </w:p>
    <w:p w14:paraId="367136BD" w14:textId="0B342AA3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значение фактора выравнивания FAV = (TDI *0.01) + 0.65 = (</w:t>
      </w:r>
      <w:r w:rsidR="00613AC7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*0.01) + 0.65 = </w:t>
      </w:r>
      <w:r w:rsidR="00613AC7">
        <w:rPr>
          <w:rFonts w:ascii="Times New Roman" w:hAnsi="Times New Roman" w:cs="Times New Roman"/>
          <w:color w:val="000000" w:themeColor="text1"/>
          <w:sz w:val="28"/>
          <w:szCs w:val="28"/>
        </w:rPr>
        <w:t>0.86</w:t>
      </w:r>
    </w:p>
    <w:p w14:paraId="304DCC4C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7. Расчет количества выровненных функциональных точек (AFP).</w:t>
      </w:r>
    </w:p>
    <w:p w14:paraId="33A35F12" w14:textId="140F886C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AFP = UFP * VAF = </w:t>
      </w:r>
      <w:r w:rsidR="00613A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 </w:t>
      </w:r>
      <w:r w:rsidR="00613AC7">
        <w:rPr>
          <w:rFonts w:ascii="Times New Roman" w:hAnsi="Times New Roman" w:cs="Times New Roman"/>
          <w:color w:val="000000" w:themeColor="text1"/>
          <w:sz w:val="28"/>
          <w:szCs w:val="28"/>
        </w:rPr>
        <w:t>0.86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="00FC208F">
        <w:rPr>
          <w:rFonts w:ascii="Times New Roman" w:hAnsi="Times New Roman" w:cs="Times New Roman"/>
          <w:color w:val="000000" w:themeColor="text1"/>
          <w:sz w:val="28"/>
          <w:szCs w:val="28"/>
        </w:rPr>
        <w:t>36.12</w:t>
      </w:r>
    </w:p>
    <w:p w14:paraId="1D82F8C1" w14:textId="36CE74D8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 функциональных точек не рассчитывает трудоемкость. Для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этого необходимо воспользоваться методикой COCOMO II. Язык разработки С#, следовательно, мы получаем количество строк: </w:t>
      </w:r>
      <w:r w:rsidR="00FC208F">
        <w:rPr>
          <w:rFonts w:ascii="Times New Roman" w:hAnsi="Times New Roman" w:cs="Times New Roman"/>
          <w:color w:val="000000" w:themeColor="text1"/>
          <w:sz w:val="28"/>
          <w:szCs w:val="28"/>
        </w:rPr>
        <w:t>36.12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59 = </w:t>
      </w:r>
      <w:r w:rsidR="00FC208F">
        <w:rPr>
          <w:rFonts w:ascii="Times New Roman" w:hAnsi="Times New Roman" w:cs="Times New Roman"/>
          <w:color w:val="000000" w:themeColor="text1"/>
          <w:sz w:val="28"/>
          <w:szCs w:val="28"/>
        </w:rPr>
        <w:t>2131,08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2642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Данное количество строк слишком мало. Это связано с тем, что метод функциональных точек рассматривает лишь логич</w:t>
      </w:r>
      <w:r w:rsidRPr="0092642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еские данные и не учитывает архитектуру и процессы, отвечающие за манипуляцию данными в </w:t>
      </w:r>
      <w:r w:rsidRPr="0092642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lastRenderedPageBreak/>
        <w:t>программе. Для корректной оценки стоимости с учетом всех данных возьмем размер программного продукта равный</w:t>
      </w:r>
      <w:r w:rsidR="00197CF5" w:rsidRPr="0092642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4000 </w:t>
      </w:r>
      <w:r w:rsidRPr="00926425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строк.</w:t>
      </w:r>
    </w:p>
    <w:p w14:paraId="448DB4F7" w14:textId="77777777" w:rsidR="00DB57C9" w:rsidRDefault="005A148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br w:type="page"/>
      </w:r>
    </w:p>
    <w:p w14:paraId="0B64520F" w14:textId="77777777" w:rsidR="00DB57C9" w:rsidRDefault="005A1483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Метод COCOMO II</w:t>
      </w:r>
    </w:p>
    <w:p w14:paraId="22ACB343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Трудоемкость (в чел.*мес.)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роекта можно посчитать по формуле:</w:t>
      </w:r>
    </w:p>
    <w:p w14:paraId="5665D274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</w:rPr>
          <m:t>PM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*</m:t>
        </m:r>
        <m:nary>
          <m:naryPr>
            <m:chr m:val="∏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1B478010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 = 2.94;</w:t>
      </w:r>
    </w:p>
    <w:p w14:paraId="2108AA13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SIZE — размер продукта в KSLOC (тысяча строк исходного кода);</w:t>
      </w:r>
    </w:p>
    <w:p w14:paraId="64716095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 – постоянный коэффициент предварительной оценки;</w:t>
      </w:r>
    </w:p>
    <w:p w14:paraId="6C93317B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EMi — множители трудоемкости; </w:t>
      </w:r>
    </w:p>
    <w:p w14:paraId="65DE3777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n=7 — для предварительной оценки.</w:t>
      </w:r>
    </w:p>
    <w:p w14:paraId="1902ACC5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нашем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проекте будет 4 000 строк исходного кода, следовательно, SIZE = 4.</w:t>
      </w:r>
    </w:p>
    <w:p w14:paraId="16AAC18F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расчета постоянного коэффициента оценки воспользуемся формулой:</w:t>
      </w:r>
    </w:p>
    <w:p w14:paraId="2FD04312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+0,01*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</w:t>
      </w:r>
    </w:p>
    <w:p w14:paraId="63A9E540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= 0.91;</w:t>
      </w:r>
    </w:p>
    <w:p w14:paraId="07CCAEAE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SFj — факторы масштаба. </w:t>
      </w:r>
    </w:p>
    <w:p w14:paraId="5256084D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Перейдем к рассмотрению факторов масштаба, которые представл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ены в таблице 7.</w:t>
      </w:r>
    </w:p>
    <w:p w14:paraId="49894990" w14:textId="77777777" w:rsidR="00DB57C9" w:rsidRDefault="00DB57C9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b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6800"/>
        <w:gridCol w:w="2545"/>
      </w:tblGrid>
      <w:tr w:rsidR="00DB57C9" w14:paraId="6294D094" w14:textId="77777777">
        <w:tc>
          <w:tcPr>
            <w:tcW w:w="6799" w:type="dxa"/>
          </w:tcPr>
          <w:p w14:paraId="32D8001E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Название</w:t>
            </w:r>
          </w:p>
        </w:tc>
        <w:tc>
          <w:tcPr>
            <w:tcW w:w="2545" w:type="dxa"/>
          </w:tcPr>
          <w:p w14:paraId="23893A78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Оценка</w:t>
            </w:r>
          </w:p>
        </w:tc>
      </w:tr>
      <w:tr w:rsidR="00DB57C9" w14:paraId="1E75EAEE" w14:textId="77777777">
        <w:tc>
          <w:tcPr>
            <w:tcW w:w="6799" w:type="dxa"/>
          </w:tcPr>
          <w:p w14:paraId="0212A672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PREC (прецедентность, наличие опыта аналогичных разработок)</w:t>
            </w:r>
          </w:p>
        </w:tc>
        <w:tc>
          <w:tcPr>
            <w:tcW w:w="2545" w:type="dxa"/>
          </w:tcPr>
          <w:p w14:paraId="20880D60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1.24 (Nominal)</w:t>
            </w:r>
          </w:p>
        </w:tc>
      </w:tr>
      <w:tr w:rsidR="00DB57C9" w14:paraId="13CADF6A" w14:textId="77777777">
        <w:tc>
          <w:tcPr>
            <w:tcW w:w="6799" w:type="dxa"/>
          </w:tcPr>
          <w:p w14:paraId="2CC268C8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FLEX (гибкость процесса разработки)</w:t>
            </w:r>
          </w:p>
        </w:tc>
        <w:tc>
          <w:tcPr>
            <w:tcW w:w="2545" w:type="dxa"/>
          </w:tcPr>
          <w:p w14:paraId="393A7C9A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1.01 (High)</w:t>
            </w:r>
          </w:p>
        </w:tc>
      </w:tr>
      <w:tr w:rsidR="00DB57C9" w14:paraId="1005DD28" w14:textId="77777777">
        <w:tc>
          <w:tcPr>
            <w:tcW w:w="6799" w:type="dxa"/>
          </w:tcPr>
          <w:p w14:paraId="68E99336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RESL (архитектура и разрешение рисков)</w:t>
            </w:r>
          </w:p>
        </w:tc>
        <w:tc>
          <w:tcPr>
            <w:tcW w:w="2545" w:type="dxa"/>
          </w:tcPr>
          <w:p w14:paraId="63C1772D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1.41 (Very High)</w:t>
            </w:r>
          </w:p>
        </w:tc>
      </w:tr>
      <w:tr w:rsidR="00DB57C9" w14:paraId="3A7D8682" w14:textId="77777777">
        <w:tc>
          <w:tcPr>
            <w:tcW w:w="6799" w:type="dxa"/>
          </w:tcPr>
          <w:p w14:paraId="4C01F8E9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TEAM (сработанность команды)</w:t>
            </w:r>
          </w:p>
        </w:tc>
        <w:tc>
          <w:tcPr>
            <w:tcW w:w="2545" w:type="dxa"/>
          </w:tcPr>
          <w:p w14:paraId="02B6D106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(Nominal)</w:t>
            </w:r>
          </w:p>
        </w:tc>
      </w:tr>
      <w:tr w:rsidR="00DB57C9" w14:paraId="6525F4EC" w14:textId="77777777">
        <w:tc>
          <w:tcPr>
            <w:tcW w:w="6799" w:type="dxa"/>
          </w:tcPr>
          <w:p w14:paraId="7C9DECF6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PMAT (зрелость процессов)</w:t>
            </w:r>
          </w:p>
        </w:tc>
        <w:tc>
          <w:tcPr>
            <w:tcW w:w="2545" w:type="dxa"/>
          </w:tcPr>
          <w:p w14:paraId="51989200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4.68 (Nominal)</w:t>
            </w:r>
          </w:p>
        </w:tc>
      </w:tr>
    </w:tbl>
    <w:p w14:paraId="7C31E34A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7 – Факторы масштаба</w:t>
      </w:r>
    </w:p>
    <w:p w14:paraId="20E97AC1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/>
          </w:rPr>
          <m:t>E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0.91 + 0.01 * (1.24+1.01+1.41+0+4.68) = 0.9934</w:t>
      </w:r>
    </w:p>
    <w:p w14:paraId="3817151B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Следующим этапом рассмотрим множители трудоемкости, представление в таблице 8.</w:t>
      </w:r>
    </w:p>
    <w:p w14:paraId="6891823A" w14:textId="77777777" w:rsidR="00DB57C9" w:rsidRDefault="00DB57C9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b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523"/>
        <w:gridCol w:w="2833"/>
      </w:tblGrid>
      <w:tr w:rsidR="00DB57C9" w14:paraId="127210E2" w14:textId="77777777">
        <w:tc>
          <w:tcPr>
            <w:tcW w:w="6522" w:type="dxa"/>
          </w:tcPr>
          <w:p w14:paraId="313DC79C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Название</w:t>
            </w:r>
          </w:p>
        </w:tc>
        <w:tc>
          <w:tcPr>
            <w:tcW w:w="2833" w:type="dxa"/>
          </w:tcPr>
          <w:p w14:paraId="2A1F6BAA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sz w:val="28"/>
                <w:szCs w:val="28"/>
              </w:rPr>
              <w:t>Оценка</w:t>
            </w:r>
          </w:p>
        </w:tc>
      </w:tr>
      <w:tr w:rsidR="00DB57C9" w14:paraId="7DE5C557" w14:textId="77777777">
        <w:tc>
          <w:tcPr>
            <w:tcW w:w="6522" w:type="dxa"/>
          </w:tcPr>
          <w:p w14:paraId="3CFE6373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PERS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(квалификация персонала)</w:t>
            </w:r>
          </w:p>
        </w:tc>
        <w:tc>
          <w:tcPr>
            <w:tcW w:w="2833" w:type="dxa"/>
          </w:tcPr>
          <w:p w14:paraId="063A1935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0.83 (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High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DB57C9" w14:paraId="1D1C63A1" w14:textId="77777777">
        <w:tc>
          <w:tcPr>
            <w:tcW w:w="6522" w:type="dxa"/>
          </w:tcPr>
          <w:p w14:paraId="72D0988F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RCPX (сложность и надежность продукта)</w:t>
            </w:r>
          </w:p>
        </w:tc>
        <w:tc>
          <w:tcPr>
            <w:tcW w:w="2833" w:type="dxa"/>
          </w:tcPr>
          <w:p w14:paraId="47798CD3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 (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Nominal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DB57C9" w14:paraId="2FCE9B05" w14:textId="77777777">
        <w:tc>
          <w:tcPr>
            <w:tcW w:w="6522" w:type="dxa"/>
          </w:tcPr>
          <w:p w14:paraId="6526DD52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RUSE (разработка для повторного использования)</w:t>
            </w:r>
          </w:p>
        </w:tc>
        <w:tc>
          <w:tcPr>
            <w:tcW w:w="2833" w:type="dxa"/>
          </w:tcPr>
          <w:p w14:paraId="1F0577B8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0.95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Low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DB57C9" w14:paraId="741347BF" w14:textId="77777777">
        <w:tc>
          <w:tcPr>
            <w:tcW w:w="6522" w:type="dxa"/>
          </w:tcPr>
          <w:p w14:paraId="241DEC1B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PDIF (сложность платформы разработки)</w:t>
            </w:r>
          </w:p>
        </w:tc>
        <w:tc>
          <w:tcPr>
            <w:tcW w:w="2833" w:type="dxa"/>
          </w:tcPr>
          <w:p w14:paraId="2AF780C1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00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en-US"/>
              </w:rPr>
              <w:t>Nominal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DB57C9" w14:paraId="107D7DFA" w14:textId="77777777">
        <w:tc>
          <w:tcPr>
            <w:tcW w:w="6522" w:type="dxa"/>
          </w:tcPr>
          <w:p w14:paraId="22B47036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PREX  (</w:t>
            </w:r>
            <w:proofErr w:type="gramEnd"/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опыт персонала)</w:t>
            </w:r>
          </w:p>
        </w:tc>
        <w:tc>
          <w:tcPr>
            <w:tcW w:w="2833" w:type="dxa"/>
          </w:tcPr>
          <w:p w14:paraId="7F418AF9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1.22 (Low)</w:t>
            </w:r>
          </w:p>
        </w:tc>
      </w:tr>
      <w:tr w:rsidR="00DB57C9" w14:paraId="660FA34C" w14:textId="77777777">
        <w:tc>
          <w:tcPr>
            <w:tcW w:w="6522" w:type="dxa"/>
          </w:tcPr>
          <w:p w14:paraId="39569BB0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FCIL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(оборудование)</w:t>
            </w:r>
          </w:p>
        </w:tc>
        <w:tc>
          <w:tcPr>
            <w:tcW w:w="2833" w:type="dxa"/>
          </w:tcPr>
          <w:p w14:paraId="4A9F8DCC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1.00 (Nominal)</w:t>
            </w:r>
          </w:p>
        </w:tc>
      </w:tr>
      <w:tr w:rsidR="00DB57C9" w14:paraId="1D1367E4" w14:textId="77777777">
        <w:tc>
          <w:tcPr>
            <w:tcW w:w="6522" w:type="dxa"/>
          </w:tcPr>
          <w:p w14:paraId="00F892CC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SCED (сжатие расписания)</w:t>
            </w:r>
          </w:p>
        </w:tc>
        <w:tc>
          <w:tcPr>
            <w:tcW w:w="2833" w:type="dxa"/>
          </w:tcPr>
          <w:p w14:paraId="5B245D12" w14:textId="77777777" w:rsidR="00DB57C9" w:rsidRDefault="005A1483">
            <w:pPr>
              <w:widowControl w:val="0"/>
              <w:tabs>
                <w:tab w:val="left" w:pos="2412"/>
              </w:tabs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1.00 (Nominal)</w:t>
            </w:r>
          </w:p>
        </w:tc>
      </w:tr>
    </w:tbl>
    <w:p w14:paraId="0C85476F" w14:textId="77777777" w:rsidR="00DB57C9" w:rsidRDefault="005A1483">
      <w:pPr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Таблица 8 – Множители трудоемкости</w:t>
      </w:r>
    </w:p>
    <w:p w14:paraId="70122A3D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nary>
          <m:naryPr>
            <m:chr m:val="∏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7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0.83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0.95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1.22 *1.00*1.00=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0.96197</w:t>
      </w:r>
    </w:p>
    <w:p w14:paraId="03EB59DA" w14:textId="77777777" w:rsidR="00DB57C9" w:rsidRDefault="005A1483">
      <w:pPr>
        <w:tabs>
          <w:tab w:val="left" w:pos="2412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получаем трудоемкость проекта в человеко-месяцах: PM = 2,94 * </w:t>
      </w:r>
      <w:r w:rsidRPr="00C702E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0.9934) * </w:t>
      </w:r>
      <w:r w:rsidRPr="00C702E4">
        <w:rPr>
          <w:rFonts w:ascii="Times New Roman" w:hAnsi="Times New Roman" w:cs="Times New Roman"/>
          <w:color w:val="000000" w:themeColor="text1"/>
          <w:sz w:val="28"/>
          <w:szCs w:val="28"/>
        </w:rPr>
        <w:t>0.96197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C702E4">
        <w:rPr>
          <w:rFonts w:ascii="Times New Roman" w:hAnsi="Times New Roman" w:cs="Times New Roman"/>
          <w:color w:val="000000" w:themeColor="text1"/>
          <w:sz w:val="28"/>
          <w:szCs w:val="28"/>
        </w:rPr>
        <w:t>2.913</w:t>
      </w:r>
    </w:p>
    <w:p w14:paraId="76E2C50D" w14:textId="77777777" w:rsidR="00DB57C9" w:rsidRDefault="005A1483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Заработная плата каждого сотрудника составляет 25 000 рублей за 160 часов в месяц. Таким образом получаем себестоимость разработки продукта: 25 000 * 212.381 = 5 309 525 рублей</w:t>
      </w:r>
    </w:p>
    <w:p w14:paraId="74AE8126" w14:textId="059FD572" w:rsidR="00DB57C9" w:rsidRDefault="00DD16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Заработная плата каждого сотрудника, необходимая для реализации проекта, составляет </w:t>
      </w:r>
      <w:r w:rsidR="005A1483">
        <w:rPr>
          <w:rFonts w:ascii="Times New Roman" w:hAnsi="Times New Roman" w:cs="Times New Roman"/>
          <w:color w:val="000000" w:themeColor="text1"/>
          <w:sz w:val="28"/>
          <w:szCs w:val="28"/>
        </w:rPr>
        <w:t>30 000</w:t>
      </w:r>
      <w:r w:rsidR="005A1483" w:rsidRPr="00C702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A1483">
        <w:rPr>
          <w:rFonts w:ascii="Times New Roman" w:hAnsi="Times New Roman" w:cs="Times New Roman"/>
          <w:color w:val="000000" w:themeColor="text1"/>
          <w:sz w:val="28"/>
          <w:szCs w:val="28"/>
        </w:rPr>
        <w:t>рублей в месяц.</w:t>
      </w:r>
    </w:p>
    <w:p w14:paraId="659D91B4" w14:textId="77777777" w:rsidR="00DB57C9" w:rsidRDefault="005A148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 разработки проекта: 30 000 * 2.913 = 87 390 рублей.</w:t>
      </w:r>
    </w:p>
    <w:p w14:paraId="68EB8CD1" w14:textId="77777777" w:rsidR="00DB57C9" w:rsidRDefault="005A1483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организация платит ежемесячно 13% подоходного налога с зарплаты физических лиц и 30,2% налога с фонда заработной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платы компании, где 22%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 ПФР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5.1 -  медицинская страховка, 2.9% - Временная нетрудоспособность (социальное страхование), 0.2% - травматизм (социальное страхование). Таким образом налогообложение составит 87 390 * 43.2% = 37 752.48.</w:t>
      </w:r>
    </w:p>
    <w:p w14:paraId="2F861361" w14:textId="77777777" w:rsidR="00DB57C9" w:rsidRDefault="005A1483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 разработки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продукта с учётом налогообложения составит: 87 390 + 37 752.48 = 125 142 рублей.</w:t>
      </w:r>
    </w:p>
    <w:p w14:paraId="45A247D4" w14:textId="77777777" w:rsidR="00DB57C9" w:rsidRDefault="00DB57C9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AA76D0" w14:textId="77777777" w:rsidR="00DB57C9" w:rsidRDefault="005A1483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br w:type="page"/>
      </w:r>
    </w:p>
    <w:p w14:paraId="0F9D11DC" w14:textId="77777777" w:rsidR="00DB57C9" w:rsidRDefault="005A148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СРАВНИТЕЛЬНЫЙ АНАЛИЗ МЕТОДИК РАСЧЕТА СТОИМОСТИ ПРОГРАММНОГО ПРОДУКТА</w:t>
      </w:r>
    </w:p>
    <w:p w14:paraId="17C2E7FC" w14:textId="77777777" w:rsidR="00DB57C9" w:rsidRDefault="00DB57C9"/>
    <w:p w14:paraId="2B4A77D4" w14:textId="0B643F41" w:rsidR="00DB57C9" w:rsidRDefault="005A1483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рассчитали стоимость программного продукта по двум методам. Метод PERT подразумевает расчет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оценки трудоёмкости по этапам разработки. По данной методике мы получили, что стоимость нашего программного продукта составит </w:t>
      </w:r>
      <w:r w:rsidR="00DD168A">
        <w:rPr>
          <w:rFonts w:ascii="Times New Roman" w:hAnsi="Times New Roman" w:cs="Times New Roman"/>
          <w:color w:val="000000" w:themeColor="text1"/>
          <w:sz w:val="28"/>
          <w:szCs w:val="28"/>
        </w:rPr>
        <w:t>174 895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рублей.</w:t>
      </w:r>
    </w:p>
    <w:p w14:paraId="62E3CC37" w14:textId="1FDB59A3" w:rsidR="00DB57C9" w:rsidRDefault="005A1483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метода COCOMO 2 мы должны знать количество строк исходного кода и, исходя из этого, рассчитать трудоёмкость.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 как проект ещё не был реализован, следует узнать предполагаемое число строк по методу функциональных точек, для чего мы подробно рассматриваем и анализируем функционал нашего продукта. Выполнив ряд перечисленных действий, мы получили результат </w:t>
      </w:r>
      <w:r w:rsidR="00DD168A">
        <w:rPr>
          <w:rFonts w:ascii="Times New Roman" w:hAnsi="Times New Roman" w:cs="Times New Roman"/>
          <w:color w:val="000000" w:themeColor="text1"/>
          <w:sz w:val="28"/>
          <w:szCs w:val="28"/>
        </w:rPr>
        <w:t>125</w:t>
      </w:r>
      <w:r w:rsidR="00DD168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D16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рублей.</w:t>
      </w:r>
    </w:p>
    <w:p w14:paraId="581E4FC4" w14:textId="77777777" w:rsidR="00DB57C9" w:rsidRDefault="005A1483">
      <w:pPr>
        <w:tabs>
          <w:tab w:val="left" w:pos="2412"/>
        </w:tabs>
        <w:spacing w:after="0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было сказано раннее, был произведен расчет трудоёмкости по двум методам. Мы получили предполагаемую стоимость нашего продукта в двух результатах, которые приблизительно равны между собой. Следовательно, мы можем утверждать, что предварител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ьная оценка стоимости корректна.</w:t>
      </w:r>
    </w:p>
    <w:sectPr w:rsidR="00DB57C9">
      <w:headerReference w:type="default" r:id="rId8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68770" w14:textId="77777777" w:rsidR="005A1483" w:rsidRDefault="005A1483">
      <w:pPr>
        <w:spacing w:after="0" w:line="240" w:lineRule="auto"/>
      </w:pPr>
      <w:r>
        <w:separator/>
      </w:r>
    </w:p>
  </w:endnote>
  <w:endnote w:type="continuationSeparator" w:id="0">
    <w:p w14:paraId="63C579D5" w14:textId="77777777" w:rsidR="005A1483" w:rsidRDefault="005A1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93F9C" w14:textId="77777777" w:rsidR="005A1483" w:rsidRDefault="005A1483">
      <w:pPr>
        <w:spacing w:after="0" w:line="240" w:lineRule="auto"/>
      </w:pPr>
      <w:r>
        <w:separator/>
      </w:r>
    </w:p>
  </w:footnote>
  <w:footnote w:type="continuationSeparator" w:id="0">
    <w:p w14:paraId="5F5B2385" w14:textId="77777777" w:rsidR="005A1483" w:rsidRDefault="005A1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24412"/>
      <w:docPartObj>
        <w:docPartGallery w:val="Page Numbers (Top of Page)"/>
        <w:docPartUnique/>
      </w:docPartObj>
    </w:sdtPr>
    <w:sdtEndPr/>
    <w:sdtContent>
      <w:p w14:paraId="61B2C4F3" w14:textId="77777777" w:rsidR="00DB57C9" w:rsidRDefault="005A1483">
        <w:pPr>
          <w:pStyle w:val="a5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223A7DAA" w14:textId="77777777" w:rsidR="00DB57C9" w:rsidRDefault="00DB57C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7C9"/>
    <w:rsid w:val="001050ED"/>
    <w:rsid w:val="00197CF5"/>
    <w:rsid w:val="005301F9"/>
    <w:rsid w:val="005A1483"/>
    <w:rsid w:val="00613AC7"/>
    <w:rsid w:val="00702923"/>
    <w:rsid w:val="00926425"/>
    <w:rsid w:val="00B8694B"/>
    <w:rsid w:val="00C702E4"/>
    <w:rsid w:val="00D4323A"/>
    <w:rsid w:val="00DB57C9"/>
    <w:rsid w:val="00DD168A"/>
    <w:rsid w:val="00E60EDE"/>
    <w:rsid w:val="00F52A6A"/>
    <w:rsid w:val="00FC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B2A5"/>
  <w15:docId w15:val="{02057E25-E281-42E3-8631-B7116EB1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182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5B2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2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5B22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5B22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F084A"/>
    <w:rPr>
      <w:color w:val="0000FF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9E2518"/>
  </w:style>
  <w:style w:type="character" w:customStyle="1" w:styleId="a6">
    <w:name w:val="Нижний колонтитул Знак"/>
    <w:basedOn w:val="a0"/>
    <w:link w:val="a7"/>
    <w:uiPriority w:val="99"/>
    <w:qFormat/>
    <w:rsid w:val="009E2518"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  <w:lang/>
    </w:rPr>
  </w:style>
  <w:style w:type="paragraph" w:customStyle="1" w:styleId="formattext">
    <w:name w:val="formattext"/>
    <w:basedOn w:val="a"/>
    <w:qFormat/>
    <w:rsid w:val="005B223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9E2518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9E2518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a"/>
    <w:qFormat/>
  </w:style>
  <w:style w:type="table" w:styleId="ab">
    <w:name w:val="Table Grid"/>
    <w:basedOn w:val="a1"/>
    <w:uiPriority w:val="39"/>
    <w:rsid w:val="008C2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68E81-8E8E-4B47-9317-24014A28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10</Pages>
  <Words>1381</Words>
  <Characters>7876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Никита Музалевский</cp:lastModifiedBy>
  <cp:revision>123</cp:revision>
  <dcterms:created xsi:type="dcterms:W3CDTF">2022-04-20T06:09:00Z</dcterms:created>
  <dcterms:modified xsi:type="dcterms:W3CDTF">2022-05-14T22:25:00Z</dcterms:modified>
  <dc:language>en-US</dc:language>
</cp:coreProperties>
</file>