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89C6" w14:textId="4CC61A10" w:rsidR="00B22846" w:rsidRDefault="00B22846" w:rsidP="001E777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NOTE: This analysis is not covered in the paper</w:t>
      </w:r>
    </w:p>
    <w:p w14:paraId="42482A19" w14:textId="77777777" w:rsidR="00B22846" w:rsidRDefault="00B22846" w:rsidP="001E7771">
      <w:pPr>
        <w:jc w:val="both"/>
        <w:rPr>
          <w:b/>
          <w:bCs/>
          <w:sz w:val="28"/>
          <w:szCs w:val="28"/>
          <w:lang w:val="en-US"/>
        </w:rPr>
      </w:pPr>
    </w:p>
    <w:p w14:paraId="12278162" w14:textId="0CC4277C" w:rsidR="00223A6F" w:rsidRPr="001E7771" w:rsidRDefault="001E7771" w:rsidP="001E7771">
      <w:pPr>
        <w:jc w:val="both"/>
        <w:rPr>
          <w:b/>
          <w:bCs/>
          <w:sz w:val="28"/>
          <w:szCs w:val="28"/>
          <w:lang w:val="en-US"/>
        </w:rPr>
      </w:pPr>
      <w:r w:rsidRPr="001E7771">
        <w:rPr>
          <w:b/>
          <w:bCs/>
          <w:sz w:val="28"/>
          <w:szCs w:val="28"/>
          <w:lang w:val="en-US"/>
        </w:rPr>
        <w:t>ANALYSIS OF EXPERIMENTS BY TYPE</w:t>
      </w:r>
    </w:p>
    <w:p w14:paraId="00BFAC41" w14:textId="77777777" w:rsidR="001E7771" w:rsidRDefault="001E7771" w:rsidP="001E7771">
      <w:pPr>
        <w:jc w:val="both"/>
        <w:rPr>
          <w:lang w:val="en-US"/>
        </w:rPr>
      </w:pPr>
    </w:p>
    <w:p w14:paraId="6BDD43A4" w14:textId="5E59F3C8" w:rsidR="003A4722" w:rsidRDefault="003A4722" w:rsidP="003A4722">
      <w:pPr>
        <w:jc w:val="both"/>
        <w:rPr>
          <w:lang w:val="en-US"/>
        </w:rPr>
      </w:pPr>
      <w:r w:rsidRPr="003A4722">
        <w:rPr>
          <w:lang w:val="en-US"/>
        </w:rPr>
        <w:t>To explore to what extent the limitations obse</w:t>
      </w:r>
      <w:r>
        <w:rPr>
          <w:lang w:val="en-US"/>
        </w:rPr>
        <w:t>r</w:t>
      </w:r>
      <w:r w:rsidRPr="003A4722">
        <w:rPr>
          <w:lang w:val="en-US"/>
        </w:rPr>
        <w:t>ved vary</w:t>
      </w:r>
      <w:r>
        <w:rPr>
          <w:lang w:val="en-US"/>
        </w:rPr>
        <w:t xml:space="preserve"> </w:t>
      </w:r>
      <w:r w:rsidRPr="003A4722">
        <w:rPr>
          <w:lang w:val="en-US"/>
        </w:rPr>
        <w:t>across experiments with different objectives, we classified the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experiments and reassessed them by type. </w:t>
      </w:r>
      <w:r w:rsidR="008E73F2">
        <w:rPr>
          <w:lang w:val="en-US"/>
        </w:rPr>
        <w:fldChar w:fldCharType="begin"/>
      </w:r>
      <w:r w:rsidR="008E73F2">
        <w:rPr>
          <w:lang w:val="en-US"/>
        </w:rPr>
        <w:instrText xml:space="preserve"> REF _Ref126614452 \h </w:instrText>
      </w:r>
      <w:r w:rsidR="008E73F2">
        <w:rPr>
          <w:lang w:val="en-US"/>
        </w:rPr>
      </w:r>
      <w:r w:rsidR="008E73F2">
        <w:rPr>
          <w:lang w:val="en-US"/>
        </w:rPr>
        <w:fldChar w:fldCharType="separate"/>
      </w:r>
      <w:r w:rsidR="008E73F2" w:rsidRPr="008E73F2">
        <w:rPr>
          <w:lang w:val="en-US"/>
        </w:rPr>
        <w:t>Table 1</w:t>
      </w:r>
      <w:r w:rsidR="008E73F2">
        <w:rPr>
          <w:lang w:val="en-US"/>
        </w:rPr>
        <w:fldChar w:fldCharType="end"/>
      </w:r>
      <w:r w:rsidR="008E73F2">
        <w:rPr>
          <w:lang w:val="en-US"/>
        </w:rPr>
        <w:t xml:space="preserve"> </w:t>
      </w:r>
      <w:r w:rsidRPr="003A4722">
        <w:rPr>
          <w:lang w:val="en-US"/>
        </w:rPr>
        <w:t>provides</w:t>
      </w:r>
      <w:r>
        <w:rPr>
          <w:lang w:val="en-US"/>
        </w:rPr>
        <w:t xml:space="preserve"> </w:t>
      </w:r>
      <w:r w:rsidRPr="003A4722">
        <w:rPr>
          <w:lang w:val="en-US"/>
        </w:rPr>
        <w:t>an overview of the classification of the 194 experiment</w:t>
      </w:r>
      <w:r>
        <w:rPr>
          <w:lang w:val="en-US"/>
        </w:rPr>
        <w:t xml:space="preserve">s </w:t>
      </w:r>
      <w:r w:rsidRPr="003A4722">
        <w:rPr>
          <w:lang w:val="en-US"/>
        </w:rPr>
        <w:t>into</w:t>
      </w:r>
      <w:r>
        <w:rPr>
          <w:lang w:val="en-US"/>
        </w:rPr>
        <w:t xml:space="preserve"> </w:t>
      </w:r>
      <w:r w:rsidRPr="003A4722">
        <w:rPr>
          <w:lang w:val="en-US"/>
        </w:rPr>
        <w:t>three groups: evaluation, generalization, and optimization.</w:t>
      </w:r>
    </w:p>
    <w:p w14:paraId="3BEA1FDD" w14:textId="1FD543D1" w:rsidR="008E73F2" w:rsidRDefault="008E73F2" w:rsidP="003A4722">
      <w:pPr>
        <w:jc w:val="both"/>
        <w:rPr>
          <w:lang w:val="en-US"/>
        </w:rPr>
      </w:pPr>
    </w:p>
    <w:p w14:paraId="4AF9D022" w14:textId="77777777" w:rsidR="008E73F2" w:rsidRPr="008E73F2" w:rsidRDefault="008E73F2" w:rsidP="008E73F2">
      <w:pPr>
        <w:jc w:val="center"/>
        <w:rPr>
          <w:lang w:val="en-US"/>
        </w:rPr>
      </w:pPr>
      <w:bookmarkStart w:id="0" w:name="_Ref126614452"/>
      <w:r w:rsidRPr="008E73F2">
        <w:rPr>
          <w:lang w:val="en-US"/>
        </w:rPr>
        <w:t xml:space="preserve">Table </w:t>
      </w:r>
      <w:r w:rsidRPr="008E73F2">
        <w:rPr>
          <w:lang w:val="en-US"/>
        </w:rPr>
        <w:fldChar w:fldCharType="begin"/>
      </w:r>
      <w:r w:rsidRPr="008E73F2">
        <w:rPr>
          <w:lang w:val="en-US"/>
        </w:rPr>
        <w:instrText xml:space="preserve"> SEQ Table \* ARABIC </w:instrText>
      </w:r>
      <w:r w:rsidRPr="008E73F2">
        <w:rPr>
          <w:lang w:val="en-US"/>
        </w:rPr>
        <w:fldChar w:fldCharType="separate"/>
      </w:r>
      <w:r w:rsidRPr="008E73F2">
        <w:rPr>
          <w:lang w:val="en-US"/>
        </w:rPr>
        <w:t>1</w:t>
      </w:r>
      <w:r w:rsidRPr="008E73F2">
        <w:rPr>
          <w:lang w:val="en-US"/>
        </w:rPr>
        <w:fldChar w:fldCharType="end"/>
      </w:r>
      <w:bookmarkEnd w:id="0"/>
      <w:r>
        <w:rPr>
          <w:lang w:val="en-US"/>
        </w:rPr>
        <w:t>. Types of experiments found</w:t>
      </w:r>
    </w:p>
    <w:tbl>
      <w:tblPr>
        <w:tblW w:w="3822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4"/>
        <w:gridCol w:w="1274"/>
        <w:gridCol w:w="1274"/>
      </w:tblGrid>
      <w:tr w:rsidR="008E73F2" w:rsidRPr="0002644E" w14:paraId="34675083" w14:textId="77777777" w:rsidTr="008B0087">
        <w:trPr>
          <w:trHeight w:val="260"/>
          <w:jc w:val="center"/>
        </w:trPr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B294B2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FF6388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  <w:t>Count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9A1D6A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 w:eastAsia="es-ES_tradnl"/>
              </w:rPr>
              <w:t>Percentage</w:t>
            </w:r>
          </w:p>
        </w:tc>
      </w:tr>
      <w:tr w:rsidR="008E73F2" w:rsidRPr="0002644E" w14:paraId="00CDD515" w14:textId="77777777" w:rsidTr="008B0087">
        <w:trPr>
          <w:trHeight w:val="260"/>
          <w:jc w:val="center"/>
        </w:trPr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A8885BB" w14:textId="77777777" w:rsidR="008E73F2" w:rsidRPr="008E73F2" w:rsidRDefault="008E73F2" w:rsidP="008B0087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Optimization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7F5676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67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A24CCB3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35%</w:t>
            </w:r>
          </w:p>
        </w:tc>
      </w:tr>
      <w:tr w:rsidR="008E73F2" w:rsidRPr="0002644E" w14:paraId="290A6B2C" w14:textId="77777777" w:rsidTr="008B0087">
        <w:trPr>
          <w:trHeight w:val="260"/>
          <w:jc w:val="center"/>
        </w:trPr>
        <w:tc>
          <w:tcPr>
            <w:tcW w:w="1274" w:type="dxa"/>
            <w:shd w:val="clear" w:color="auto" w:fill="auto"/>
            <w:noWrap/>
            <w:vAlign w:val="bottom"/>
          </w:tcPr>
          <w:p w14:paraId="7374493D" w14:textId="77777777" w:rsidR="008E73F2" w:rsidRPr="008E73F2" w:rsidRDefault="008E73F2" w:rsidP="008B0087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Evaluation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14:paraId="4F2A955B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90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14:paraId="2FB0B487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46%</w:t>
            </w:r>
          </w:p>
        </w:tc>
      </w:tr>
      <w:tr w:rsidR="008E73F2" w:rsidRPr="0002644E" w14:paraId="58C9F8AE" w14:textId="77777777" w:rsidTr="008B0087">
        <w:trPr>
          <w:trHeight w:val="260"/>
          <w:jc w:val="center"/>
        </w:trPr>
        <w:tc>
          <w:tcPr>
            <w:tcW w:w="127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FBE3F71" w14:textId="77777777" w:rsidR="008E73F2" w:rsidRPr="008E73F2" w:rsidRDefault="008E73F2" w:rsidP="008B0087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Generalization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0949E55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25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08AD2E9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13%</w:t>
            </w:r>
          </w:p>
        </w:tc>
      </w:tr>
      <w:tr w:rsidR="008E73F2" w:rsidRPr="0002644E" w14:paraId="0DC9358F" w14:textId="77777777" w:rsidTr="008B0087">
        <w:trPr>
          <w:trHeight w:val="260"/>
          <w:jc w:val="center"/>
        </w:trPr>
        <w:tc>
          <w:tcPr>
            <w:tcW w:w="127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56025A" w14:textId="77777777" w:rsidR="008E73F2" w:rsidRPr="008E73F2" w:rsidRDefault="008E73F2" w:rsidP="008B0087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proofErr w:type="spellStart"/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Optimization+Evaluation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9A51A0E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10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DE53904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5%</w:t>
            </w:r>
          </w:p>
        </w:tc>
      </w:tr>
      <w:tr w:rsidR="008E73F2" w:rsidRPr="0002644E" w14:paraId="1CDF090F" w14:textId="77777777" w:rsidTr="008B0087">
        <w:trPr>
          <w:trHeight w:val="260"/>
          <w:jc w:val="center"/>
        </w:trPr>
        <w:tc>
          <w:tcPr>
            <w:tcW w:w="12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186006" w14:textId="77777777" w:rsidR="008E73F2" w:rsidRPr="008E73F2" w:rsidRDefault="008E73F2" w:rsidP="008B0087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proofErr w:type="spellStart"/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Evaluation+Generalization</w:t>
            </w:r>
            <w:proofErr w:type="spellEnd"/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28C568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2</w:t>
            </w: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2A111B" w14:textId="77777777" w:rsidR="008E73F2" w:rsidRPr="008E73F2" w:rsidRDefault="008E73F2" w:rsidP="008B008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</w:pPr>
            <w:r w:rsidRPr="008E73F2">
              <w:rPr>
                <w:rFonts w:eastAsia="Times New Roman" w:cstheme="minorHAnsi"/>
                <w:color w:val="000000"/>
                <w:sz w:val="22"/>
                <w:szCs w:val="22"/>
                <w:lang w:val="en-US" w:eastAsia="es-ES_tradnl"/>
              </w:rPr>
              <w:t>1%</w:t>
            </w:r>
          </w:p>
        </w:tc>
      </w:tr>
    </w:tbl>
    <w:p w14:paraId="53977D4B" w14:textId="77777777" w:rsidR="008E73F2" w:rsidRDefault="008E73F2" w:rsidP="003A4722">
      <w:pPr>
        <w:jc w:val="both"/>
        <w:rPr>
          <w:lang w:val="en-US"/>
        </w:rPr>
      </w:pPr>
    </w:p>
    <w:p w14:paraId="1742159E" w14:textId="4C9A47BF" w:rsidR="008E73F2" w:rsidRDefault="003A4722" w:rsidP="003A4722">
      <w:pPr>
        <w:jc w:val="both"/>
        <w:rPr>
          <w:lang w:val="en-US"/>
        </w:rPr>
      </w:pPr>
      <w:r w:rsidRPr="003A4722">
        <w:rPr>
          <w:b/>
          <w:bCs/>
          <w:lang w:val="en-US"/>
        </w:rPr>
        <w:t>Evaluation experiments</w:t>
      </w:r>
      <w:r w:rsidRPr="003A4722">
        <w:rPr>
          <w:lang w:val="en-US"/>
        </w:rPr>
        <w:t xml:space="preserve"> aim at comparing the proposed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DNN with a baseline of </w:t>
      </w:r>
      <w:proofErr w:type="gramStart"/>
      <w:r w:rsidRPr="003A4722">
        <w:rPr>
          <w:lang w:val="en-US"/>
        </w:rPr>
        <w:t>expected</w:t>
      </w:r>
      <w:r w:rsidR="008E73F2">
        <w:rPr>
          <w:lang w:val="en-US"/>
        </w:rPr>
        <w:t>-</w:t>
      </w:r>
      <w:r w:rsidRPr="003A4722">
        <w:rPr>
          <w:lang w:val="en-US"/>
        </w:rPr>
        <w:t>values</w:t>
      </w:r>
      <w:proofErr w:type="gramEnd"/>
      <w:r w:rsidRPr="003A4722">
        <w:rPr>
          <w:lang w:val="en-US"/>
        </w:rPr>
        <w:t xml:space="preserve"> set by the researchers,</w:t>
      </w:r>
      <w:r>
        <w:rPr>
          <w:lang w:val="en-US"/>
        </w:rPr>
        <w:t xml:space="preserve"> </w:t>
      </w:r>
      <w:r w:rsidRPr="003A4722">
        <w:rPr>
          <w:lang w:val="en-US"/>
        </w:rPr>
        <w:t>DNNs proposed by other researchers, other</w:t>
      </w:r>
      <w:r>
        <w:rPr>
          <w:lang w:val="en-US"/>
        </w:rPr>
        <w:t xml:space="preserve"> </w:t>
      </w:r>
      <w:r w:rsidRPr="003A4722">
        <w:rPr>
          <w:lang w:val="en-US"/>
        </w:rPr>
        <w:t>techniques that</w:t>
      </w:r>
      <w:r>
        <w:rPr>
          <w:lang w:val="en-US"/>
        </w:rPr>
        <w:t xml:space="preserve"> </w:t>
      </w:r>
      <w:r w:rsidRPr="003A4722">
        <w:rPr>
          <w:lang w:val="en-US"/>
        </w:rPr>
        <w:t>do no</w:t>
      </w:r>
      <w:r w:rsidR="008E73F2">
        <w:rPr>
          <w:lang w:val="en-US"/>
        </w:rPr>
        <w:t>t</w:t>
      </w:r>
      <w:r w:rsidRPr="003A4722">
        <w:rPr>
          <w:lang w:val="en-US"/>
        </w:rPr>
        <w:t xml:space="preserve"> rely on DNNs, or human performance. We find that</w:t>
      </w:r>
      <w:r>
        <w:rPr>
          <w:lang w:val="en-US"/>
        </w:rPr>
        <w:t xml:space="preserve"> </w:t>
      </w:r>
      <w:r w:rsidRPr="003A4722">
        <w:rPr>
          <w:lang w:val="en-US"/>
        </w:rPr>
        <w:t>46% of the</w:t>
      </w:r>
      <w:r>
        <w:rPr>
          <w:lang w:val="en-US"/>
        </w:rPr>
        <w:t xml:space="preserve"> </w:t>
      </w:r>
      <w:r w:rsidRPr="003A4722">
        <w:rPr>
          <w:lang w:val="en-US"/>
        </w:rPr>
        <w:t>experiments aim to perform such an evaluation.</w:t>
      </w:r>
      <w:r>
        <w:rPr>
          <w:lang w:val="en-US"/>
        </w:rPr>
        <w:t xml:space="preserve"> </w:t>
      </w:r>
      <w:r w:rsidRPr="003A4722">
        <w:rPr>
          <w:b/>
          <w:bCs/>
          <w:lang w:val="en-US"/>
        </w:rPr>
        <w:t>Generalization experiments</w:t>
      </w:r>
      <w:r w:rsidRPr="003A4722">
        <w:rPr>
          <w:lang w:val="en-US"/>
        </w:rPr>
        <w:t xml:space="preserve"> aim to</w:t>
      </w:r>
      <w:r>
        <w:rPr>
          <w:lang w:val="en-US"/>
        </w:rPr>
        <w:t xml:space="preserve"> </w:t>
      </w:r>
      <w:r w:rsidRPr="003A4722">
        <w:rPr>
          <w:lang w:val="en-US"/>
        </w:rPr>
        <w:t>assess a DNN under a</w:t>
      </w:r>
      <w:r>
        <w:rPr>
          <w:lang w:val="en-US"/>
        </w:rPr>
        <w:t xml:space="preserve"> </w:t>
      </w:r>
      <w:r w:rsidRPr="003A4722">
        <w:rPr>
          <w:lang w:val="en-US"/>
        </w:rPr>
        <w:t>different dataset, most commonly under a different test set but</w:t>
      </w:r>
      <w:r w:rsidR="008E73F2">
        <w:rPr>
          <w:lang w:val="en-US"/>
        </w:rPr>
        <w:t xml:space="preserve"> </w:t>
      </w:r>
      <w:r w:rsidRPr="003A4722">
        <w:rPr>
          <w:lang w:val="en-US"/>
        </w:rPr>
        <w:t>also sometimes under a different training set used to define the</w:t>
      </w:r>
      <w:r>
        <w:rPr>
          <w:lang w:val="en-US"/>
        </w:rPr>
        <w:t xml:space="preserve"> </w:t>
      </w:r>
      <w:r w:rsidRPr="003A4722">
        <w:rPr>
          <w:lang w:val="en-US"/>
        </w:rPr>
        <w:t>model parameters, or a new user context. We find that 13%</w:t>
      </w:r>
      <w:r>
        <w:rPr>
          <w:lang w:val="en-US"/>
        </w:rPr>
        <w:t xml:space="preserve"> </w:t>
      </w:r>
      <w:r w:rsidRPr="003A4722">
        <w:rPr>
          <w:lang w:val="en-US"/>
        </w:rPr>
        <w:t>of the experiments fall into this category. For</w:t>
      </w:r>
      <w:r>
        <w:rPr>
          <w:lang w:val="en-US"/>
        </w:rPr>
        <w:t xml:space="preserve"> </w:t>
      </w:r>
      <w:r w:rsidRPr="003A4722">
        <w:rPr>
          <w:lang w:val="en-US"/>
        </w:rPr>
        <w:t>example, [AP6]</w:t>
      </w:r>
      <w:r>
        <w:rPr>
          <w:lang w:val="en-US"/>
        </w:rPr>
        <w:t xml:space="preserve"> </w:t>
      </w:r>
      <w:r w:rsidRPr="003A4722">
        <w:rPr>
          <w:lang w:val="en-US"/>
        </w:rPr>
        <w:t>proposes a DNN for predicting developer actions (represented</w:t>
      </w:r>
      <w:r>
        <w:rPr>
          <w:lang w:val="en-US"/>
        </w:rPr>
        <w:t xml:space="preserve"> </w:t>
      </w:r>
      <w:r w:rsidRPr="003A4722">
        <w:rPr>
          <w:lang w:val="en-US"/>
        </w:rPr>
        <w:t>as a</w:t>
      </w:r>
      <w:r>
        <w:rPr>
          <w:lang w:val="en-US"/>
        </w:rPr>
        <w:t xml:space="preserve"> </w:t>
      </w:r>
      <w:r w:rsidRPr="003A4722">
        <w:rPr>
          <w:lang w:val="en-US"/>
        </w:rPr>
        <w:t>sequence of image regions). One of the experiments</w:t>
      </w:r>
      <w:r>
        <w:rPr>
          <w:lang w:val="en-US"/>
        </w:rPr>
        <w:t xml:space="preserve"> </w:t>
      </w:r>
      <w:r w:rsidRPr="003A4722">
        <w:rPr>
          <w:lang w:val="en-US"/>
        </w:rPr>
        <w:t>runs the DNN for predicting actions</w:t>
      </w:r>
      <w:r>
        <w:rPr>
          <w:lang w:val="en-US"/>
        </w:rPr>
        <w:t xml:space="preserve"> </w:t>
      </w:r>
      <w:r w:rsidRPr="003A4722">
        <w:rPr>
          <w:lang w:val="en-US"/>
        </w:rPr>
        <w:t>for developers and</w:t>
      </w:r>
      <w:r>
        <w:rPr>
          <w:lang w:val="en-US"/>
        </w:rPr>
        <w:t xml:space="preserve"> </w:t>
      </w:r>
      <w:r w:rsidRPr="003A4722">
        <w:rPr>
          <w:lang w:val="en-US"/>
        </w:rPr>
        <w:t>programming languages different from the ones in the training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set. </w:t>
      </w:r>
      <w:r w:rsidRPr="003A4722">
        <w:rPr>
          <w:b/>
          <w:bCs/>
          <w:lang w:val="en-US"/>
        </w:rPr>
        <w:t>Optimization experiments</w:t>
      </w:r>
      <w:r w:rsidRPr="003A4722">
        <w:rPr>
          <w:lang w:val="en-US"/>
        </w:rPr>
        <w:t xml:space="preserve"> aim at exploring and eventually</w:t>
      </w:r>
      <w:r>
        <w:rPr>
          <w:lang w:val="en-US"/>
        </w:rPr>
        <w:t xml:space="preserve"> </w:t>
      </w:r>
      <w:r w:rsidRPr="003A4722">
        <w:rPr>
          <w:lang w:val="en-US"/>
        </w:rPr>
        <w:t>identifying the best DNN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configuration, within some allocated resources, through the manipulation of </w:t>
      </w:r>
      <w:proofErr w:type="gramStart"/>
      <w:r w:rsidRPr="003A4722">
        <w:rPr>
          <w:lang w:val="en-US"/>
        </w:rPr>
        <w:t>a large</w:t>
      </w:r>
      <w:r>
        <w:rPr>
          <w:lang w:val="en-US"/>
        </w:rPr>
        <w:t xml:space="preserve"> </w:t>
      </w:r>
      <w:r w:rsidRPr="003A4722">
        <w:rPr>
          <w:lang w:val="en-US"/>
        </w:rPr>
        <w:t>number</w:t>
      </w:r>
      <w:r>
        <w:rPr>
          <w:lang w:val="en-US"/>
        </w:rPr>
        <w:t xml:space="preserve"> </w:t>
      </w:r>
      <w:r w:rsidRPr="003A4722">
        <w:rPr>
          <w:lang w:val="en-US"/>
        </w:rPr>
        <w:t>of</w:t>
      </w:r>
      <w:proofErr w:type="gramEnd"/>
      <w:r w:rsidRPr="003A4722">
        <w:rPr>
          <w:lang w:val="en-US"/>
        </w:rPr>
        <w:t xml:space="preserve"> variables, from the model hyperparameters to the deep</w:t>
      </w:r>
      <w:r>
        <w:rPr>
          <w:lang w:val="en-US"/>
        </w:rPr>
        <w:t xml:space="preserve"> </w:t>
      </w:r>
      <w:r w:rsidRPr="003A4722">
        <w:rPr>
          <w:lang w:val="en-US"/>
        </w:rPr>
        <w:t>learning algorithm.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We find </w:t>
      </w:r>
      <w:proofErr w:type="gramStart"/>
      <w:r w:rsidRPr="003A4722">
        <w:rPr>
          <w:lang w:val="en-US"/>
        </w:rPr>
        <w:t>a large number of</w:t>
      </w:r>
      <w:proofErr w:type="gramEnd"/>
      <w:r w:rsidRPr="003A4722">
        <w:rPr>
          <w:lang w:val="en-US"/>
        </w:rPr>
        <w:t xml:space="preserve"> optimization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experiments (35%). We also find </w:t>
      </w:r>
      <w:r w:rsidRPr="008E73F2">
        <w:rPr>
          <w:b/>
          <w:bCs/>
          <w:lang w:val="en-US"/>
        </w:rPr>
        <w:t>combinations of optimization and evaluation experiments</w:t>
      </w:r>
      <w:r w:rsidRPr="003A4722">
        <w:rPr>
          <w:lang w:val="en-US"/>
        </w:rPr>
        <w:t xml:space="preserve"> (the same experiment compares</w:t>
      </w:r>
      <w:r>
        <w:rPr>
          <w:lang w:val="en-US"/>
        </w:rPr>
        <w:t xml:space="preserve"> </w:t>
      </w:r>
      <w:r w:rsidRPr="003A4722">
        <w:rPr>
          <w:lang w:val="en-US"/>
        </w:rPr>
        <w:t>other</w:t>
      </w:r>
      <w:r>
        <w:rPr>
          <w:lang w:val="en-US"/>
        </w:rPr>
        <w:t xml:space="preserve"> </w:t>
      </w:r>
      <w:r w:rsidRPr="003A4722">
        <w:rPr>
          <w:lang w:val="en-US"/>
        </w:rPr>
        <w:t>approaches and variants of the proposed approach) in 5%</w:t>
      </w:r>
      <w:r>
        <w:rPr>
          <w:lang w:val="en-US"/>
        </w:rPr>
        <w:t xml:space="preserve"> </w:t>
      </w:r>
      <w:r w:rsidRPr="003A4722">
        <w:rPr>
          <w:lang w:val="en-US"/>
        </w:rPr>
        <w:t>of the cases. Finally, 1% of</w:t>
      </w:r>
      <w:r>
        <w:rPr>
          <w:lang w:val="en-US"/>
        </w:rPr>
        <w:t xml:space="preserve"> e</w:t>
      </w:r>
      <w:r w:rsidRPr="003A4722">
        <w:rPr>
          <w:lang w:val="en-US"/>
        </w:rPr>
        <w:t xml:space="preserve">xperiments </w:t>
      </w:r>
      <w:r w:rsidRPr="008E73F2">
        <w:rPr>
          <w:b/>
          <w:bCs/>
          <w:lang w:val="en-US"/>
        </w:rPr>
        <w:t>combine evaluation and generalization</w:t>
      </w:r>
      <w:r w:rsidRPr="003A4722">
        <w:rPr>
          <w:lang w:val="en-US"/>
        </w:rPr>
        <w:t xml:space="preserve"> (the same experiment compares the DNN</w:t>
      </w:r>
      <w:r>
        <w:rPr>
          <w:lang w:val="en-US"/>
        </w:rPr>
        <w:t xml:space="preserve"> </w:t>
      </w:r>
      <w:r w:rsidRPr="003A4722">
        <w:rPr>
          <w:lang w:val="en-US"/>
        </w:rPr>
        <w:t>with other approaches while it is being assessed under a</w:t>
      </w:r>
      <w:r>
        <w:rPr>
          <w:lang w:val="en-US"/>
        </w:rPr>
        <w:t xml:space="preserve"> </w:t>
      </w:r>
      <w:r w:rsidRPr="003A4722">
        <w:rPr>
          <w:lang w:val="en-US"/>
        </w:rPr>
        <w:t xml:space="preserve">different dataset, or new user context). </w:t>
      </w:r>
    </w:p>
    <w:p w14:paraId="190DD1C0" w14:textId="77777777" w:rsidR="008E73F2" w:rsidRDefault="008E73F2" w:rsidP="003A4722">
      <w:pPr>
        <w:jc w:val="both"/>
        <w:rPr>
          <w:lang w:val="en-US"/>
        </w:rPr>
      </w:pPr>
    </w:p>
    <w:p w14:paraId="1BFBB270" w14:textId="5D441CB2" w:rsidR="003A4722" w:rsidRPr="003A4722" w:rsidRDefault="003A4722" w:rsidP="003A4722">
      <w:pPr>
        <w:jc w:val="both"/>
        <w:rPr>
          <w:lang w:val="en-US"/>
        </w:rPr>
      </w:pPr>
      <w:r w:rsidRPr="003A4722">
        <w:rPr>
          <w:lang w:val="en-US"/>
        </w:rPr>
        <w:t>We find that the</w:t>
      </w:r>
      <w:r>
        <w:rPr>
          <w:lang w:val="en-US"/>
        </w:rPr>
        <w:t xml:space="preserve"> </w:t>
      </w:r>
      <w:r w:rsidRPr="003A4722">
        <w:rPr>
          <w:lang w:val="en-US"/>
        </w:rPr>
        <w:t>limitations observed earlier remain mostly the same</w:t>
      </w:r>
      <w:r>
        <w:rPr>
          <w:lang w:val="en-US"/>
        </w:rPr>
        <w:t xml:space="preserve"> </w:t>
      </w:r>
      <w:r w:rsidRPr="003A4722">
        <w:rPr>
          <w:lang w:val="en-US"/>
        </w:rPr>
        <w:t>across</w:t>
      </w:r>
      <w:r>
        <w:rPr>
          <w:lang w:val="en-US"/>
        </w:rPr>
        <w:t xml:space="preserve"> </w:t>
      </w:r>
      <w:r w:rsidRPr="003A4722">
        <w:rPr>
          <w:lang w:val="en-US"/>
        </w:rPr>
        <w:t>experiment types. One noticeable difference, however, is that</w:t>
      </w:r>
      <w:r>
        <w:rPr>
          <w:lang w:val="en-US"/>
        </w:rPr>
        <w:t xml:space="preserve"> </w:t>
      </w:r>
      <w:r w:rsidRPr="003A4722">
        <w:rPr>
          <w:lang w:val="en-US"/>
        </w:rPr>
        <w:t>the optimization experiments are the ones with the most</w:t>
      </w:r>
      <w:r>
        <w:rPr>
          <w:lang w:val="en-US"/>
        </w:rPr>
        <w:t xml:space="preserve"> </w:t>
      </w:r>
      <w:r w:rsidRPr="003A4722">
        <w:rPr>
          <w:lang w:val="en-US"/>
        </w:rPr>
        <w:t>missing response variables (18% vs. 0% for the other types</w:t>
      </w:r>
      <w:r>
        <w:rPr>
          <w:lang w:val="en-US"/>
        </w:rPr>
        <w:t xml:space="preserve"> </w:t>
      </w:r>
      <w:r w:rsidRPr="003A4722">
        <w:rPr>
          <w:lang w:val="en-US"/>
        </w:rPr>
        <w:t>of experiments) and factors and treatments specification (10%</w:t>
      </w:r>
      <w:r>
        <w:rPr>
          <w:lang w:val="en-US"/>
        </w:rPr>
        <w:t xml:space="preserve"> </w:t>
      </w:r>
      <w:r w:rsidRPr="003A4722">
        <w:rPr>
          <w:lang w:val="en-US"/>
        </w:rPr>
        <w:t>vs. 0% and 4% for evaluation and generalization experiments).</w:t>
      </w:r>
      <w:r>
        <w:rPr>
          <w:lang w:val="en-US"/>
        </w:rPr>
        <w:t xml:space="preserve"> </w:t>
      </w:r>
      <w:r w:rsidRPr="003A4722">
        <w:rPr>
          <w:lang w:val="en-US"/>
        </w:rPr>
        <w:t>Since the response variable is often associated with accuracy,</w:t>
      </w:r>
      <w:r>
        <w:rPr>
          <w:lang w:val="en-US"/>
        </w:rPr>
        <w:t xml:space="preserve"> </w:t>
      </w:r>
      <w:r w:rsidRPr="003A4722">
        <w:rPr>
          <w:lang w:val="en-US"/>
        </w:rPr>
        <w:t>this is an easily fixed oversight. However, missing factors and</w:t>
      </w:r>
    </w:p>
    <w:p w14:paraId="5E5D1475" w14:textId="42347A9B" w:rsidR="003A4722" w:rsidRPr="003A4722" w:rsidRDefault="003A4722" w:rsidP="003A4722">
      <w:pPr>
        <w:jc w:val="both"/>
        <w:rPr>
          <w:lang w:val="en-US"/>
        </w:rPr>
      </w:pPr>
      <w:r w:rsidRPr="003A4722">
        <w:rPr>
          <w:lang w:val="en-US"/>
        </w:rPr>
        <w:t>treatments seem more problematic since it undermines these</w:t>
      </w:r>
      <w:r>
        <w:rPr>
          <w:lang w:val="en-US"/>
        </w:rPr>
        <w:t xml:space="preserve"> </w:t>
      </w:r>
      <w:r w:rsidRPr="003A4722">
        <w:rPr>
          <w:lang w:val="en-US"/>
        </w:rPr>
        <w:t>experiments’ objective to identify the best model configuration, and the factors and treatments are key in defining such</w:t>
      </w:r>
      <w:r>
        <w:rPr>
          <w:lang w:val="en-US"/>
        </w:rPr>
        <w:t xml:space="preserve"> </w:t>
      </w:r>
      <w:r w:rsidRPr="003A4722">
        <w:rPr>
          <w:lang w:val="en-US"/>
        </w:rPr>
        <w:t>configuration. We provide the full breakdown of the data.</w:t>
      </w:r>
    </w:p>
    <w:p w14:paraId="51AFBA09" w14:textId="059E7800" w:rsidR="000E74F1" w:rsidRDefault="000E74F1">
      <w:pPr>
        <w:rPr>
          <w:lang w:val="en-US"/>
        </w:rPr>
      </w:pPr>
    </w:p>
    <w:sectPr w:rsidR="000E74F1" w:rsidSect="00D96B4A"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E"/>
    <w:rsid w:val="0002644E"/>
    <w:rsid w:val="00082EE4"/>
    <w:rsid w:val="000E53EC"/>
    <w:rsid w:val="000E74F1"/>
    <w:rsid w:val="00181F4E"/>
    <w:rsid w:val="001C7F87"/>
    <w:rsid w:val="001E7771"/>
    <w:rsid w:val="00223A6F"/>
    <w:rsid w:val="00276ACB"/>
    <w:rsid w:val="003A4722"/>
    <w:rsid w:val="00517CAB"/>
    <w:rsid w:val="005B31B5"/>
    <w:rsid w:val="007F4F55"/>
    <w:rsid w:val="0080470B"/>
    <w:rsid w:val="00807DC3"/>
    <w:rsid w:val="0086684F"/>
    <w:rsid w:val="00880881"/>
    <w:rsid w:val="008E73F2"/>
    <w:rsid w:val="00A863B5"/>
    <w:rsid w:val="00B22846"/>
    <w:rsid w:val="00C33EAA"/>
    <w:rsid w:val="00D9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F7A3"/>
  <w15:chartTrackingRefBased/>
  <w15:docId w15:val="{D6778D4A-CD2A-AD4D-B6AB-BF391F61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F1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E73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VEGAS HERNANDEZ</dc:creator>
  <cp:keywords/>
  <dc:description/>
  <cp:lastModifiedBy>SIRA VEGAS HERNANDEZ</cp:lastModifiedBy>
  <cp:revision>8</cp:revision>
  <cp:lastPrinted>2022-09-09T11:58:00Z</cp:lastPrinted>
  <dcterms:created xsi:type="dcterms:W3CDTF">2023-02-06T20:49:00Z</dcterms:created>
  <dcterms:modified xsi:type="dcterms:W3CDTF">2023-02-07T20:11:00Z</dcterms:modified>
</cp:coreProperties>
</file>