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259B" w14:textId="77777777" w:rsidR="002A3C9D" w:rsidRDefault="00431ECA">
      <w:pPr>
        <w:spacing w:after="40"/>
      </w:pPr>
      <w:r>
        <w:rPr>
          <w:b/>
          <w:sz w:val="44"/>
        </w:rPr>
        <w:t>BESS as Process Life-Insurance</w:t>
      </w:r>
    </w:p>
    <w:p w14:paraId="173D7142" w14:textId="77777777" w:rsidR="002A3C9D" w:rsidRDefault="00431ECA">
      <w:pPr>
        <w:spacing w:after="40"/>
      </w:pPr>
      <w:r>
        <w:rPr>
          <w:sz w:val="25"/>
        </w:rPr>
        <w:t>Which Reservation Strategy, and When? A Systematic Comparison for Intermittent Solar-to-Methane Production</w:t>
      </w:r>
    </w:p>
    <w:p w14:paraId="2B2EA6D0" w14:textId="77777777" w:rsidR="002A3C9D" w:rsidRDefault="00431ECA">
      <w:r>
        <w:rPr>
          <w:sz w:val="21"/>
        </w:rPr>
        <w:t>SOTA Commission II: Intermittent Abundance</w:t>
      </w:r>
    </w:p>
    <w:p w14:paraId="37C253BD" w14:textId="77777777" w:rsidR="002A3C9D" w:rsidRDefault="00431ECA">
      <w:pPr>
        <w:pStyle w:val="Heading1"/>
      </w:pPr>
      <w:r>
        <w:t>The Idea</w:t>
      </w:r>
    </w:p>
    <w:p w14:paraId="35135782" w14:textId="77777777" w:rsidR="002A3C9D" w:rsidRDefault="00431ECA">
      <w:pPr>
        <w:spacing w:after="160"/>
      </w:pPr>
      <w:r>
        <w:t>Remote, off-grid plants that convert solar electricity into a storable fuel, here synthetic methane via Sabatier synthesis, run into an intermittency problem that conventional battery (BESS) controllers do not account for. A Sabatier reactor's methanation reaction sustains itself once hot, but if its trickle-heating supply is cut off for long enough during a low-irradiance stretch, its temperature drifts below the minimum operating threshold. Restarting it then costs 4–6 hours of dedicated, high-power rehea</w:t>
      </w:r>
      <w:r>
        <w:t>ting, time that comes directly out of production. A controller that only tracks the electrical balance treats every kilowatt-hour the same, whether it idles an electrolyzer that can restart instantly or lets the reactor go cold. This is the Intermittent Abundance problem in miniature: solar energy is abundant on average, but a process built on it is only as reliable as its ability to survive the gaps.</w:t>
      </w:r>
    </w:p>
    <w:p w14:paraId="4210F04A" w14:textId="77777777" w:rsidR="002A3C9D" w:rsidRDefault="00431ECA">
      <w:pPr>
        <w:spacing w:after="160"/>
      </w:pPr>
      <w:r>
        <w:t xml:space="preserve">An earlier prototype of this project tested whether a forecast-driven, proactive battery-reservation strategy, reserving capacity for the reactor before a shortfall arrives instead of reacting once it hits, actually helps. In a Mediterranean climate, it eliminated reactor cold-starts entirely. That raised the real question behind this submission: which of the many possible designs for such a strategy actually works? A fixed reserve, a forecast-triggered switch, a severity-scaled reserve, a reserve computed </w:t>
      </w:r>
      <w:r>
        <w:t>from reactor thermodynamics, an eager pre-charging approach, and a full rolling-horizon trajectory projection are six different answers. I built and compared all of them, plus the conventional reactive baseline, on identical infrastructure.</w:t>
      </w:r>
    </w:p>
    <w:p w14:paraId="1EDF2D76" w14:textId="77777777" w:rsidR="002A3C9D" w:rsidRDefault="00431ECA">
      <w:pPr>
        <w:spacing w:after="80"/>
      </w:pPr>
      <w:r>
        <w:t>All seven strategies run on the same hourly digital twin: a physically modelled PV array, battery, Sabatier reactor (a four-state Newtonian thermal model), electrolyzer, DAC unit, and a hard-limit RTU layer. Only the control logic changes between runs.</w:t>
      </w:r>
    </w:p>
    <w:p w14:paraId="72DFD4E4" w14:textId="77777777" w:rsidR="002A3C9D" w:rsidRDefault="00431ECA">
      <w:pPr>
        <w:pStyle w:val="Heading1"/>
      </w:pPr>
      <w:r>
        <w:t>Results</w:t>
      </w:r>
    </w:p>
    <w:p w14:paraId="0FF7248B" w14:textId="77777777" w:rsidR="002A3C9D" w:rsidRDefault="00431ECA">
      <w:pPr>
        <w:spacing w:after="80"/>
      </w:pPr>
      <w:r>
        <w:t>I ran all seven strategies across three climatically distinct sites (Seville, Spain: Mediterranean; Ouarzazate, Morocco: desert; Edinburgh, Scotland: persistently overcast) and four levels of injected forecast error (0–40% Gaussian noise on PV output): 84 full-year simulations in total, completing in under a minute.</w:t>
      </w:r>
    </w:p>
    <w:p w14:paraId="1741A9C3" w14:textId="77777777" w:rsidR="002A3C9D" w:rsidRDefault="00431ECA">
      <w:pPr>
        <w:spacing w:after="40"/>
        <w:jc w:val="center"/>
      </w:pPr>
      <w:r>
        <w:rPr>
          <w:noProof/>
        </w:rPr>
        <w:drawing>
          <wp:inline distT="0" distB="0" distL="0" distR="0" wp14:anchorId="09411636" wp14:editId="20FDC19A">
            <wp:extent cx="5760720" cy="20993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strategy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5955" w14:textId="77777777" w:rsidR="002A3C9D" w:rsidRDefault="00431ECA">
      <w:pPr>
        <w:spacing w:after="160"/>
      </w:pPr>
      <w:r>
        <w:rPr>
          <w:i/>
          <w:sz w:val="18"/>
        </w:rPr>
        <w:lastRenderedPageBreak/>
        <w:t>Figure 1. Annual cold-start count by strategy, per site, under perfect forecast. Ouarzazate stays at zero for every strategy, including the baseline: its desert climate never produces a shortfall severe enough to matter, so it is a control case rather than one where strategy choice matters. Strategies 6 (Precharge) and 7 (Rolling Horizon) are the only ones to fully eliminate cold-starts in Seville; none fully eliminates them in Edinburgh's harsher climate.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1296"/>
        <w:gridCol w:w="1296"/>
        <w:gridCol w:w="1440"/>
        <w:gridCol w:w="1368"/>
      </w:tblGrid>
      <w:tr w:rsidR="002A3C9D" w14:paraId="523819AF" w14:textId="77777777">
        <w:trPr>
          <w:jc w:val="center"/>
        </w:trPr>
        <w:tc>
          <w:tcPr>
            <w:tcW w:w="2736" w:type="dxa"/>
            <w:shd w:val="clear" w:color="auto" w:fill="1E293B"/>
          </w:tcPr>
          <w:p w14:paraId="06E1F443" w14:textId="77777777" w:rsidR="002A3C9D" w:rsidRDefault="00431ECA">
            <w:r>
              <w:rPr>
                <w:b/>
                <w:color w:val="FFFFFF"/>
                <w:sz w:val="19"/>
              </w:rPr>
              <w:t>Strategy</w:t>
            </w:r>
          </w:p>
        </w:tc>
        <w:tc>
          <w:tcPr>
            <w:tcW w:w="1296" w:type="dxa"/>
            <w:shd w:val="clear" w:color="auto" w:fill="1E293B"/>
          </w:tcPr>
          <w:p w14:paraId="256474C6" w14:textId="77777777" w:rsidR="002A3C9D" w:rsidRDefault="00431ECA">
            <w:pPr>
              <w:jc w:val="center"/>
            </w:pPr>
            <w:r>
              <w:rPr>
                <w:b/>
                <w:color w:val="FFFFFF"/>
                <w:sz w:val="19"/>
              </w:rPr>
              <w:t>Complexity</w:t>
            </w:r>
          </w:p>
        </w:tc>
        <w:tc>
          <w:tcPr>
            <w:tcW w:w="1296" w:type="dxa"/>
            <w:shd w:val="clear" w:color="auto" w:fill="1E293B"/>
          </w:tcPr>
          <w:p w14:paraId="19E09FE1" w14:textId="77777777" w:rsidR="002A3C9D" w:rsidRDefault="00431ECA">
            <w:pPr>
              <w:jc w:val="center"/>
            </w:pPr>
            <w:r>
              <w:rPr>
                <w:b/>
                <w:color w:val="FFFFFF"/>
                <w:sz w:val="19"/>
              </w:rPr>
              <w:t>Seville</w:t>
            </w:r>
          </w:p>
        </w:tc>
        <w:tc>
          <w:tcPr>
            <w:tcW w:w="1440" w:type="dxa"/>
            <w:shd w:val="clear" w:color="auto" w:fill="1E293B"/>
          </w:tcPr>
          <w:p w14:paraId="59624D4F" w14:textId="77777777" w:rsidR="002A3C9D" w:rsidRDefault="00431ECA">
            <w:pPr>
              <w:jc w:val="center"/>
            </w:pPr>
            <w:r>
              <w:rPr>
                <w:b/>
                <w:color w:val="FFFFFF"/>
                <w:sz w:val="19"/>
              </w:rPr>
              <w:t>Ouarzazate</w:t>
            </w:r>
          </w:p>
        </w:tc>
        <w:tc>
          <w:tcPr>
            <w:tcW w:w="1368" w:type="dxa"/>
            <w:shd w:val="clear" w:color="auto" w:fill="1E293B"/>
          </w:tcPr>
          <w:p w14:paraId="2B3CAFFC" w14:textId="77777777" w:rsidR="002A3C9D" w:rsidRDefault="00431ECA">
            <w:pPr>
              <w:jc w:val="center"/>
            </w:pPr>
            <w:r>
              <w:rPr>
                <w:b/>
                <w:color w:val="FFFFFF"/>
                <w:sz w:val="19"/>
              </w:rPr>
              <w:t>Edinburgh</w:t>
            </w:r>
          </w:p>
        </w:tc>
      </w:tr>
      <w:tr w:rsidR="002A3C9D" w14:paraId="347FC31D" w14:textId="77777777">
        <w:trPr>
          <w:jc w:val="center"/>
        </w:trPr>
        <w:tc>
          <w:tcPr>
            <w:tcW w:w="2736" w:type="dxa"/>
          </w:tcPr>
          <w:p w14:paraId="4D3E1ED2" w14:textId="77777777" w:rsidR="002A3C9D" w:rsidRDefault="00431ECA">
            <w:r>
              <w:rPr>
                <w:sz w:val="19"/>
              </w:rPr>
              <w:t>1. Reactive Baseline</w:t>
            </w:r>
          </w:p>
        </w:tc>
        <w:tc>
          <w:tcPr>
            <w:tcW w:w="1296" w:type="dxa"/>
          </w:tcPr>
          <w:p w14:paraId="63314CBB" w14:textId="77777777" w:rsidR="002A3C9D" w:rsidRDefault="00431ECA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296" w:type="dxa"/>
          </w:tcPr>
          <w:p w14:paraId="75599818" w14:textId="77777777" w:rsidR="002A3C9D" w:rsidRDefault="00431ECA">
            <w:pPr>
              <w:jc w:val="center"/>
            </w:pPr>
            <w:r>
              <w:rPr>
                <w:sz w:val="19"/>
              </w:rPr>
              <w:t>29</w:t>
            </w:r>
          </w:p>
        </w:tc>
        <w:tc>
          <w:tcPr>
            <w:tcW w:w="1440" w:type="dxa"/>
          </w:tcPr>
          <w:p w14:paraId="092CBBB8" w14:textId="77777777" w:rsidR="002A3C9D" w:rsidRDefault="00431ECA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68" w:type="dxa"/>
          </w:tcPr>
          <w:p w14:paraId="142A4402" w14:textId="77777777" w:rsidR="002A3C9D" w:rsidRDefault="00431ECA">
            <w:pPr>
              <w:jc w:val="center"/>
            </w:pPr>
            <w:r>
              <w:rPr>
                <w:sz w:val="19"/>
              </w:rPr>
              <w:t>230</w:t>
            </w:r>
          </w:p>
        </w:tc>
      </w:tr>
      <w:tr w:rsidR="002A3C9D" w14:paraId="4ADB400F" w14:textId="77777777">
        <w:trPr>
          <w:jc w:val="center"/>
        </w:trPr>
        <w:tc>
          <w:tcPr>
            <w:tcW w:w="2736" w:type="dxa"/>
          </w:tcPr>
          <w:p w14:paraId="246D06D4" w14:textId="77777777" w:rsidR="002A3C9D" w:rsidRDefault="00431ECA">
            <w:r>
              <w:rPr>
                <w:sz w:val="19"/>
              </w:rPr>
              <w:t>2. Fixed Reserve</w:t>
            </w:r>
          </w:p>
        </w:tc>
        <w:tc>
          <w:tcPr>
            <w:tcW w:w="1296" w:type="dxa"/>
          </w:tcPr>
          <w:p w14:paraId="05ABBDF3" w14:textId="77777777" w:rsidR="002A3C9D" w:rsidRDefault="00431ECA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296" w:type="dxa"/>
          </w:tcPr>
          <w:p w14:paraId="28A2B8F8" w14:textId="77777777" w:rsidR="002A3C9D" w:rsidRDefault="00431ECA">
            <w:pPr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w="1440" w:type="dxa"/>
          </w:tcPr>
          <w:p w14:paraId="059EC396" w14:textId="77777777" w:rsidR="002A3C9D" w:rsidRDefault="00431ECA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68" w:type="dxa"/>
          </w:tcPr>
          <w:p w14:paraId="36C1FB87" w14:textId="77777777" w:rsidR="002A3C9D" w:rsidRDefault="00431ECA">
            <w:pPr>
              <w:jc w:val="center"/>
            </w:pPr>
            <w:r>
              <w:rPr>
                <w:sz w:val="19"/>
              </w:rPr>
              <w:t>180</w:t>
            </w:r>
          </w:p>
        </w:tc>
      </w:tr>
      <w:tr w:rsidR="002A3C9D" w14:paraId="79AC016F" w14:textId="77777777">
        <w:trPr>
          <w:jc w:val="center"/>
        </w:trPr>
        <w:tc>
          <w:tcPr>
            <w:tcW w:w="2736" w:type="dxa"/>
          </w:tcPr>
          <w:p w14:paraId="58356D5E" w14:textId="77777777" w:rsidR="002A3C9D" w:rsidRDefault="00431ECA">
            <w:r>
              <w:rPr>
                <w:sz w:val="19"/>
              </w:rPr>
              <w:t>3. Forecast Binary</w:t>
            </w:r>
          </w:p>
        </w:tc>
        <w:tc>
          <w:tcPr>
            <w:tcW w:w="1296" w:type="dxa"/>
          </w:tcPr>
          <w:p w14:paraId="14B19AE6" w14:textId="77777777" w:rsidR="002A3C9D" w:rsidRDefault="00431ECA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296" w:type="dxa"/>
          </w:tcPr>
          <w:p w14:paraId="7C9024AB" w14:textId="77777777" w:rsidR="002A3C9D" w:rsidRDefault="00431ECA">
            <w:pPr>
              <w:jc w:val="center"/>
            </w:pPr>
            <w:r>
              <w:rPr>
                <w:sz w:val="19"/>
              </w:rPr>
              <w:t>27</w:t>
            </w:r>
          </w:p>
        </w:tc>
        <w:tc>
          <w:tcPr>
            <w:tcW w:w="1440" w:type="dxa"/>
          </w:tcPr>
          <w:p w14:paraId="40DBC063" w14:textId="77777777" w:rsidR="002A3C9D" w:rsidRDefault="00431ECA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68" w:type="dxa"/>
          </w:tcPr>
          <w:p w14:paraId="49707101" w14:textId="77777777" w:rsidR="002A3C9D" w:rsidRDefault="00431ECA">
            <w:pPr>
              <w:jc w:val="center"/>
            </w:pPr>
            <w:r>
              <w:rPr>
                <w:sz w:val="19"/>
              </w:rPr>
              <w:t>232</w:t>
            </w:r>
          </w:p>
        </w:tc>
      </w:tr>
      <w:tr w:rsidR="002A3C9D" w14:paraId="2F487151" w14:textId="77777777">
        <w:trPr>
          <w:jc w:val="center"/>
        </w:trPr>
        <w:tc>
          <w:tcPr>
            <w:tcW w:w="2736" w:type="dxa"/>
          </w:tcPr>
          <w:p w14:paraId="56C009DE" w14:textId="77777777" w:rsidR="002A3C9D" w:rsidRDefault="00431ECA">
            <w:r>
              <w:rPr>
                <w:sz w:val="19"/>
              </w:rPr>
              <w:t>4. Proportional Reserve</w:t>
            </w:r>
          </w:p>
        </w:tc>
        <w:tc>
          <w:tcPr>
            <w:tcW w:w="1296" w:type="dxa"/>
          </w:tcPr>
          <w:p w14:paraId="20475DF2" w14:textId="77777777" w:rsidR="002A3C9D" w:rsidRDefault="00431ECA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296" w:type="dxa"/>
          </w:tcPr>
          <w:p w14:paraId="6CEBCDA6" w14:textId="77777777" w:rsidR="002A3C9D" w:rsidRDefault="00431ECA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1440" w:type="dxa"/>
          </w:tcPr>
          <w:p w14:paraId="2D3D571C" w14:textId="77777777" w:rsidR="002A3C9D" w:rsidRDefault="00431ECA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68" w:type="dxa"/>
          </w:tcPr>
          <w:p w14:paraId="2543A61D" w14:textId="77777777" w:rsidR="002A3C9D" w:rsidRDefault="00431ECA">
            <w:pPr>
              <w:jc w:val="center"/>
            </w:pPr>
            <w:r>
              <w:rPr>
                <w:sz w:val="19"/>
              </w:rPr>
              <w:t>141</w:t>
            </w:r>
          </w:p>
        </w:tc>
      </w:tr>
      <w:tr w:rsidR="002A3C9D" w14:paraId="40CAB2A6" w14:textId="77777777">
        <w:trPr>
          <w:jc w:val="center"/>
        </w:trPr>
        <w:tc>
          <w:tcPr>
            <w:tcW w:w="2736" w:type="dxa"/>
          </w:tcPr>
          <w:p w14:paraId="092FEE8C" w14:textId="77777777" w:rsidR="002A3C9D" w:rsidRDefault="00431ECA">
            <w:r>
              <w:rPr>
                <w:sz w:val="19"/>
              </w:rPr>
              <w:t>5. Temperature-Based</w:t>
            </w:r>
          </w:p>
        </w:tc>
        <w:tc>
          <w:tcPr>
            <w:tcW w:w="1296" w:type="dxa"/>
          </w:tcPr>
          <w:p w14:paraId="0EDF143B" w14:textId="77777777" w:rsidR="002A3C9D" w:rsidRDefault="00431ECA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296" w:type="dxa"/>
          </w:tcPr>
          <w:p w14:paraId="1F17C4B9" w14:textId="77777777" w:rsidR="002A3C9D" w:rsidRDefault="00431ECA">
            <w:pPr>
              <w:jc w:val="center"/>
            </w:pPr>
            <w:r>
              <w:rPr>
                <w:sz w:val="19"/>
              </w:rPr>
              <w:t>29</w:t>
            </w:r>
          </w:p>
        </w:tc>
        <w:tc>
          <w:tcPr>
            <w:tcW w:w="1440" w:type="dxa"/>
          </w:tcPr>
          <w:p w14:paraId="6DE2A3E7" w14:textId="77777777" w:rsidR="002A3C9D" w:rsidRDefault="00431ECA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68" w:type="dxa"/>
          </w:tcPr>
          <w:p w14:paraId="2AB6C5B0" w14:textId="77777777" w:rsidR="002A3C9D" w:rsidRDefault="00431ECA">
            <w:pPr>
              <w:jc w:val="center"/>
            </w:pPr>
            <w:r>
              <w:rPr>
                <w:sz w:val="19"/>
              </w:rPr>
              <w:t>231</w:t>
            </w:r>
          </w:p>
        </w:tc>
      </w:tr>
      <w:tr w:rsidR="002A3C9D" w14:paraId="61ABD3F1" w14:textId="77777777">
        <w:trPr>
          <w:jc w:val="center"/>
        </w:trPr>
        <w:tc>
          <w:tcPr>
            <w:tcW w:w="2736" w:type="dxa"/>
          </w:tcPr>
          <w:p w14:paraId="3B346F9C" w14:textId="77777777" w:rsidR="002A3C9D" w:rsidRDefault="00431ECA">
            <w:r>
              <w:rPr>
                <w:sz w:val="19"/>
              </w:rPr>
              <w:t>6. Precharge</w:t>
            </w:r>
          </w:p>
        </w:tc>
        <w:tc>
          <w:tcPr>
            <w:tcW w:w="1296" w:type="dxa"/>
          </w:tcPr>
          <w:p w14:paraId="65AA7D53" w14:textId="77777777" w:rsidR="002A3C9D" w:rsidRDefault="00431ECA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296" w:type="dxa"/>
          </w:tcPr>
          <w:p w14:paraId="5896C832" w14:textId="77777777" w:rsidR="002A3C9D" w:rsidRDefault="00431ECA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440" w:type="dxa"/>
          </w:tcPr>
          <w:p w14:paraId="2B8B0759" w14:textId="77777777" w:rsidR="002A3C9D" w:rsidRDefault="00431ECA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68" w:type="dxa"/>
          </w:tcPr>
          <w:p w14:paraId="0FA5AB5D" w14:textId="77777777" w:rsidR="002A3C9D" w:rsidRDefault="00431ECA">
            <w:pPr>
              <w:jc w:val="center"/>
            </w:pPr>
            <w:r>
              <w:rPr>
                <w:sz w:val="19"/>
              </w:rPr>
              <w:t>66</w:t>
            </w:r>
          </w:p>
        </w:tc>
      </w:tr>
      <w:tr w:rsidR="002A3C9D" w14:paraId="0B5F953E" w14:textId="77777777">
        <w:trPr>
          <w:jc w:val="center"/>
        </w:trPr>
        <w:tc>
          <w:tcPr>
            <w:tcW w:w="2736" w:type="dxa"/>
          </w:tcPr>
          <w:p w14:paraId="17EEB77E" w14:textId="77777777" w:rsidR="002A3C9D" w:rsidRDefault="00431ECA">
            <w:r>
              <w:rPr>
                <w:sz w:val="19"/>
              </w:rPr>
              <w:t>7. Rolling Horizon</w:t>
            </w:r>
          </w:p>
        </w:tc>
        <w:tc>
          <w:tcPr>
            <w:tcW w:w="1296" w:type="dxa"/>
          </w:tcPr>
          <w:p w14:paraId="3C0228AD" w14:textId="77777777" w:rsidR="002A3C9D" w:rsidRDefault="00431ECA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296" w:type="dxa"/>
          </w:tcPr>
          <w:p w14:paraId="39DF4EC3" w14:textId="77777777" w:rsidR="002A3C9D" w:rsidRDefault="00431ECA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440" w:type="dxa"/>
          </w:tcPr>
          <w:p w14:paraId="46DD677B" w14:textId="77777777" w:rsidR="002A3C9D" w:rsidRDefault="00431ECA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68" w:type="dxa"/>
          </w:tcPr>
          <w:p w14:paraId="36D7AEF4" w14:textId="77777777" w:rsidR="002A3C9D" w:rsidRDefault="00431ECA">
            <w:pPr>
              <w:jc w:val="center"/>
            </w:pPr>
            <w:r>
              <w:rPr>
                <w:sz w:val="19"/>
              </w:rPr>
              <w:t>100</w:t>
            </w:r>
          </w:p>
        </w:tc>
      </w:tr>
    </w:tbl>
    <w:p w14:paraId="6CED33C0" w14:textId="77777777" w:rsidR="002A3C9D" w:rsidRDefault="00431ECA">
      <w:pPr>
        <w:spacing w:before="60" w:after="160"/>
      </w:pPr>
      <w:r>
        <w:rPr>
          <w:i/>
          <w:sz w:val="18"/>
        </w:rPr>
        <w:t>Table 1. Cold-starts per year by strategy and site (perfect forecast). Complexity is a manually assigned 1-5 sophistication score, not a measured runtime (all 84 runs together take under a minute).</w:t>
      </w:r>
    </w:p>
    <w:p w14:paraId="62E750D9" w14:textId="77777777" w:rsidR="002A3C9D" w:rsidRDefault="00431ECA">
      <w:pPr>
        <w:spacing w:after="80"/>
      </w:pPr>
      <w:r>
        <w:t>Complexity turned out to be a poor predictor of effectiveness. Under a perfect forecast, the simplest eager strategy (Precharge, which pre-charges the battery the moment a cloudy stretch is forecast, without computing a deficit at all) outperforms the most computationally sophisticated one (Rolling Horizon, which re-projects the full battery trajectory every hour) in Edinburgh: 66 cold-starts a year versus 100.</w:t>
      </w:r>
    </w:p>
    <w:p w14:paraId="5F1577A9" w14:textId="77777777" w:rsidR="002A3C9D" w:rsidRDefault="00431ECA">
      <w:pPr>
        <w:spacing w:after="40"/>
        <w:jc w:val="center"/>
      </w:pPr>
      <w:r>
        <w:rPr>
          <w:noProof/>
        </w:rPr>
        <w:drawing>
          <wp:inline distT="0" distB="0" distL="0" distR="0" wp14:anchorId="41F8FC53" wp14:editId="07F4CBA8">
            <wp:extent cx="1920240" cy="1440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robustnes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7EA3" w14:textId="77777777" w:rsidR="002A3C9D" w:rsidRDefault="00431ECA">
      <w:pPr>
        <w:spacing w:after="160"/>
      </w:pPr>
      <w:r>
        <w:rPr>
          <w:i/>
          <w:sz w:val="18"/>
        </w:rPr>
        <w:t>Figure 2. Cold-starts per year in Edinburgh as injected forecast error grows, one line per strategy. Precharge's advantage erodes fastest; Rolling Horizon degrades more gradually and overtakes it once forecast error passes roughly 10-20%.</w:t>
      </w:r>
    </w:p>
    <w:p w14:paraId="6FB310CC" w14:textId="77777777" w:rsidR="002A3C9D" w:rsidRDefault="00431ECA">
      <w:pPr>
        <w:spacing w:after="160"/>
      </w:pPr>
      <w:r>
        <w:t>That reversal is the point: a ranking under a perfect forecast need not survive realistic forecast uncertainty. A third strategy, reserve sized from reactor thermodynamics using Newton's law of cooling, looks like the most physically principled approach but performs no better than doing nothing: the reactor's own maintenance-mode logic keeps it pinned at its minimum temperature within about two hours of every night, leaving the formula almost nothing to compute. A sizing formula does not help if its trigger</w:t>
      </w:r>
      <w:r>
        <w:t xml:space="preserve"> never sees the risk in time.</w:t>
      </w:r>
    </w:p>
    <w:p w14:paraId="43985D4B" w14:textId="77777777" w:rsidR="002A3C9D" w:rsidRDefault="00431ECA">
      <w:pPr>
        <w:spacing w:after="120"/>
      </w:pPr>
      <w:r>
        <w:t>The answer to “which life-insurance strategy is worth its complexity” depends on climate and on how much you trust your forecast, and this project turns that into something I can compute instead of guess at: a simulation framework that, for a given site and forecast quality, points to which of the seven strategies to deploy.</w:t>
      </w:r>
    </w:p>
    <w:p w14:paraId="473FD166" w14:textId="77777777" w:rsidR="002A3C9D" w:rsidRDefault="00431ECA">
      <w:pPr>
        <w:pStyle w:val="ListBullet"/>
      </w:pPr>
      <w:r>
        <w:t>A tested seven-strategy comparison framework (84 full-year runs, sub-minute runtime), reusable for any new site or strategy.</w:t>
      </w:r>
    </w:p>
    <w:p w14:paraId="76511702" w14:textId="77777777" w:rsidR="002A3C9D" w:rsidRDefault="00431ECA">
      <w:pPr>
        <w:pStyle w:val="ListBullet"/>
      </w:pPr>
      <w:r>
        <w:t>A non-obvious finding: reserve-trigger design matters more than reserve-sizing sophistication, including a case where the more “principled” formula underperforms due to a subtle interaction with the plant's own thermal-maintenance design.</w:t>
      </w:r>
    </w:p>
    <w:p w14:paraId="1FECA994" w14:textId="77777777" w:rsidR="002A3C9D" w:rsidRDefault="00431ECA">
      <w:pPr>
        <w:pStyle w:val="ListBullet"/>
      </w:pPr>
      <w:r>
        <w:t>Evidence that the right strategy depends on site and forecast quality, not on a universal rule, visible only through systematic simulation rather than a single hand-picked comparison.</w:t>
      </w:r>
    </w:p>
    <w:p w14:paraId="5532645D" w14:textId="77777777" w:rsidR="002A3C9D" w:rsidRDefault="00431ECA">
      <w:pPr>
        <w:spacing w:after="0"/>
      </w:pPr>
      <w:r>
        <w:t>Together, these results turn “add a battery for insurance” into an answerable design question: which mechanism, sized how, for which climate.</w:t>
      </w:r>
    </w:p>
    <w:sectPr w:rsidR="002A3C9D" w:rsidSect="00034616"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129496">
    <w:abstractNumId w:val="8"/>
  </w:num>
  <w:num w:numId="2" w16cid:durableId="2144418443">
    <w:abstractNumId w:val="6"/>
  </w:num>
  <w:num w:numId="3" w16cid:durableId="600140719">
    <w:abstractNumId w:val="5"/>
  </w:num>
  <w:num w:numId="4" w16cid:durableId="1373461434">
    <w:abstractNumId w:val="4"/>
  </w:num>
  <w:num w:numId="5" w16cid:durableId="76027823">
    <w:abstractNumId w:val="7"/>
  </w:num>
  <w:num w:numId="6" w16cid:durableId="1200244637">
    <w:abstractNumId w:val="3"/>
  </w:num>
  <w:num w:numId="7" w16cid:durableId="2110272065">
    <w:abstractNumId w:val="2"/>
  </w:num>
  <w:num w:numId="8" w16cid:durableId="1694574445">
    <w:abstractNumId w:val="1"/>
  </w:num>
  <w:num w:numId="9" w16cid:durableId="648747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C9D"/>
    <w:rsid w:val="00326F90"/>
    <w:rsid w:val="00431ECA"/>
    <w:rsid w:val="007124D7"/>
    <w:rsid w:val="00AA1D8D"/>
    <w:rsid w:val="00B47730"/>
    <w:rsid w:val="00CB0664"/>
    <w:rsid w:val="00DF1F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5C1C25"/>
  <w14:defaultImageDpi w14:val="300"/>
  <w15:docId w15:val="{05F467B4-8D2A-4D1E-AAD1-C8E4CF6B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832</Words>
  <Characters>4741</Characters>
  <Application>Microsoft Office Word</Application>
  <DocSecurity>0</DocSecurity>
  <Lines>105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Csontos Tamás Márton</cp:lastModifiedBy>
  <cp:revision>2</cp:revision>
  <cp:lastPrinted>2026-09-17T15:28:00Z</cp:lastPrinted>
  <dcterms:created xsi:type="dcterms:W3CDTF">2013-12-23T23:15:00Z</dcterms:created>
  <dcterms:modified xsi:type="dcterms:W3CDTF">2026-09-17T15:28:00Z</dcterms:modified>
  <cp:category/>
</cp:coreProperties>
</file>