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1415B" w14:textId="77777777" w:rsidR="00685061" w:rsidRDefault="00AB6A7C">
      <w:pPr>
        <w:spacing w:after="40"/>
      </w:pPr>
      <w:r>
        <w:rPr>
          <w:b/>
          <w:sz w:val="44"/>
        </w:rPr>
        <w:t>BESS as Process Life-Insurance</w:t>
      </w:r>
    </w:p>
    <w:p w14:paraId="2415456F" w14:textId="77777777" w:rsidR="00685061" w:rsidRDefault="00AB6A7C">
      <w:pPr>
        <w:spacing w:after="40"/>
      </w:pPr>
      <w:r>
        <w:rPr>
          <w:sz w:val="25"/>
        </w:rPr>
        <w:t>Which Reservation Strategy, and When? A Systematic Comparison for Intermittent Solar-to-Methane Production</w:t>
      </w:r>
    </w:p>
    <w:p w14:paraId="5F157316" w14:textId="77777777" w:rsidR="00685061" w:rsidRDefault="00AB6A7C">
      <w:r>
        <w:rPr>
          <w:sz w:val="21"/>
        </w:rPr>
        <w:t>SOTA Commission II: Intermittent Abundance</w:t>
      </w:r>
    </w:p>
    <w:p w14:paraId="54ED02EF" w14:textId="77777777" w:rsidR="00685061" w:rsidRDefault="00AB6A7C">
      <w:pPr>
        <w:pStyle w:val="Heading1"/>
      </w:pPr>
      <w:r>
        <w:t>The Idea</w:t>
      </w:r>
    </w:p>
    <w:p w14:paraId="239672E7" w14:textId="77777777" w:rsidR="00685061" w:rsidRDefault="00AB6A7C">
      <w:pPr>
        <w:spacing w:after="120"/>
      </w:pPr>
      <w:r>
        <w:t>Remote, off-grid plants that convert solar electricity into a storable fuel, here synthetic methane via Sabatier synthesis, run into an intermittency problem that conventional battery (BESS) controllers do not account for: a controller that only tracks the electrical balance treats every kilowatt-hour the same, whether it idles an electrolyzer that can restart instantly or lets the reactor go cold, which then costs 4–6 hours of dedicated reheating before production can resume. This is the Intermittent Abund</w:t>
      </w:r>
      <w:r>
        <w:t>ance problem in miniature: solar energy is abundant on average, but a process built on it is only as reliable as its ability to survive the gaps.</w:t>
      </w:r>
    </w:p>
    <w:p w14:paraId="5DC2C6DB" w14:textId="77777777" w:rsidR="00685061" w:rsidRDefault="00AB6A7C">
      <w:pPr>
        <w:spacing w:after="120"/>
      </w:pPr>
      <w:r>
        <w:t>An earlier prototype tested whether proactively reserving battery capacity ahead of a forecasted shortfall helps at all: it does, eliminating reactor cold-starts entirely in a Mediterranean climate. That raised the actual problem this project tackles: proactive reservation spans a whole design space of plausible mechanisms, a fixed reserve, a forecast-triggered switch, a severity-scaled reserve, a physics-based reserve, eager pre-charging, and full trajectory projection, and it was not obvious which is wort</w:t>
      </w:r>
      <w:r>
        <w:t>h building, or where. I built all seven strategies (these six plus the conventional reactive baseline) and compared them systematically across three climates and four forecast-error levels.</w:t>
      </w:r>
    </w:p>
    <w:p w14:paraId="1453AF94" w14:textId="77777777" w:rsidR="00685061" w:rsidRDefault="00AB6A7C">
      <w:pPr>
        <w:spacing w:after="120"/>
      </w:pPr>
      <w:r>
        <w:rPr>
          <w:b/>
        </w:rPr>
        <w:t xml:space="preserve">Architecture. </w:t>
      </w:r>
      <w:r>
        <w:t>All seven strategies share one hourly digital twin, a physically modelled PV array, battery, a four-state Newtonian Sabatier-reactor thermal model, electrolyzer, DAC unit, and a hard-limit RTU protection layer, plus one common software interface (a shared strategy base class), so only the control logic changes between runs, never the underlying plant or simulation loop.</w:t>
      </w:r>
    </w:p>
    <w:p w14:paraId="69838972" w14:textId="77777777" w:rsidR="00685061" w:rsidRDefault="00AB6A7C">
      <w:pPr>
        <w:spacing w:after="80"/>
      </w:pPr>
      <w:r>
        <w:rPr>
          <w:b/>
        </w:rPr>
        <w:t xml:space="preserve">Assumptions. </w:t>
      </w:r>
      <w:r>
        <w:t>The Sabatier cooling model omits the reaction's own exothermic heat (a conservative simplification; real reactors cool somewhat more slowly); the battery model excludes long-term degradation; forecast error is modelled as additive Gaussian noise rather than the time-correlated, often-asymmetric error of real weather forecasts; and the RTU layer is a generic hard-limit abstraction, not a specific real device's configuration.</w:t>
      </w:r>
    </w:p>
    <w:p w14:paraId="763CBB98" w14:textId="77777777" w:rsidR="00685061" w:rsidRDefault="00AB6A7C">
      <w:pPr>
        <w:pStyle w:val="Heading1"/>
      </w:pPr>
      <w:r>
        <w:t>Results</w:t>
      </w:r>
    </w:p>
    <w:p w14:paraId="12F5A69D" w14:textId="77777777" w:rsidR="00685061" w:rsidRDefault="00AB6A7C">
      <w:pPr>
        <w:spacing w:after="80"/>
      </w:pPr>
      <w:r>
        <w:t>I ran all seven strategies across three climatically distinct sites (Seville, Spain: Mediterranean; Ouarzazate, Morocco: desert; Edinburgh, Scotland: persistently overcast) and four levels of injected forecast error (0–40% Gaussian noise on PV output): 84 full-year simulations in total, completing in under a minute.</w:t>
      </w:r>
    </w:p>
    <w:p w14:paraId="75059A31" w14:textId="77777777" w:rsidR="00685061" w:rsidRDefault="00AB6A7C">
      <w:pPr>
        <w:spacing w:after="40"/>
        <w:jc w:val="center"/>
      </w:pPr>
      <w:r>
        <w:rPr>
          <w:noProof/>
        </w:rPr>
        <w:lastRenderedPageBreak/>
        <w:drawing>
          <wp:inline distT="0" distB="0" distL="0" distR="0" wp14:anchorId="3906211E" wp14:editId="3B31555D">
            <wp:extent cx="5760720" cy="20993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trategy_comparison.png"/>
                    <pic:cNvPicPr/>
                  </pic:nvPicPr>
                  <pic:blipFill>
                    <a:blip r:embed="rId6"/>
                    <a:stretch>
                      <a:fillRect/>
                    </a:stretch>
                  </pic:blipFill>
                  <pic:spPr>
                    <a:xfrm>
                      <a:off x="0" y="0"/>
                      <a:ext cx="5760720" cy="2099373"/>
                    </a:xfrm>
                    <a:prstGeom prst="rect">
                      <a:avLst/>
                    </a:prstGeom>
                  </pic:spPr>
                </pic:pic>
              </a:graphicData>
            </a:graphic>
          </wp:inline>
        </w:drawing>
      </w:r>
    </w:p>
    <w:p w14:paraId="72F93CBD" w14:textId="77777777" w:rsidR="00685061" w:rsidRDefault="00AB6A7C">
      <w:pPr>
        <w:spacing w:after="160"/>
      </w:pPr>
      <w:r>
        <w:rPr>
          <w:i/>
          <w:sz w:val="18"/>
        </w:rPr>
        <w:t>Figure 1. Annual cold-start count by strategy, per site, under perfect forecast. Ouarzazate stays at zero for every strategy, including the baseline: its desert climate never produces a shortfall severe enough to matter, so it is a control case rather than one where strategy choice matters. Strategies 6 (Precharge) and 7 (Rolling Horizon) are the only ones to fully eliminate cold-starts in Seville; none fully eliminates them in Edinburgh's harsher climate.</w:t>
      </w:r>
    </w:p>
    <w:tbl>
      <w:tblPr>
        <w:tblStyle w:val="TableGrid"/>
        <w:tblW w:w="0" w:type="auto"/>
        <w:jc w:val="center"/>
        <w:tblLook w:val="04A0" w:firstRow="1" w:lastRow="0" w:firstColumn="1" w:lastColumn="0" w:noHBand="0" w:noVBand="1"/>
      </w:tblPr>
      <w:tblGrid>
        <w:gridCol w:w="2736"/>
        <w:gridCol w:w="1296"/>
        <w:gridCol w:w="1296"/>
        <w:gridCol w:w="1440"/>
        <w:gridCol w:w="1368"/>
      </w:tblGrid>
      <w:tr w:rsidR="00685061" w14:paraId="2EE87410" w14:textId="77777777">
        <w:trPr>
          <w:jc w:val="center"/>
        </w:trPr>
        <w:tc>
          <w:tcPr>
            <w:tcW w:w="2736" w:type="dxa"/>
            <w:shd w:val="clear" w:color="auto" w:fill="1E293B"/>
          </w:tcPr>
          <w:p w14:paraId="5E9C1113" w14:textId="77777777" w:rsidR="00685061" w:rsidRDefault="00AB6A7C">
            <w:r>
              <w:rPr>
                <w:b/>
                <w:color w:val="FFFFFF"/>
                <w:sz w:val="19"/>
              </w:rPr>
              <w:t>Strategy</w:t>
            </w:r>
          </w:p>
        </w:tc>
        <w:tc>
          <w:tcPr>
            <w:tcW w:w="1296" w:type="dxa"/>
            <w:shd w:val="clear" w:color="auto" w:fill="1E293B"/>
          </w:tcPr>
          <w:p w14:paraId="2447EDD4" w14:textId="77777777" w:rsidR="00685061" w:rsidRDefault="00AB6A7C">
            <w:pPr>
              <w:jc w:val="center"/>
            </w:pPr>
            <w:r>
              <w:rPr>
                <w:b/>
                <w:color w:val="FFFFFF"/>
                <w:sz w:val="19"/>
              </w:rPr>
              <w:t>Complexity</w:t>
            </w:r>
          </w:p>
        </w:tc>
        <w:tc>
          <w:tcPr>
            <w:tcW w:w="1296" w:type="dxa"/>
            <w:shd w:val="clear" w:color="auto" w:fill="1E293B"/>
          </w:tcPr>
          <w:p w14:paraId="767BB561" w14:textId="77777777" w:rsidR="00685061" w:rsidRDefault="00AB6A7C">
            <w:pPr>
              <w:jc w:val="center"/>
            </w:pPr>
            <w:r>
              <w:rPr>
                <w:b/>
                <w:color w:val="FFFFFF"/>
                <w:sz w:val="19"/>
              </w:rPr>
              <w:t>Seville</w:t>
            </w:r>
          </w:p>
        </w:tc>
        <w:tc>
          <w:tcPr>
            <w:tcW w:w="1440" w:type="dxa"/>
            <w:shd w:val="clear" w:color="auto" w:fill="1E293B"/>
          </w:tcPr>
          <w:p w14:paraId="02EA4281" w14:textId="77777777" w:rsidR="00685061" w:rsidRDefault="00AB6A7C">
            <w:pPr>
              <w:jc w:val="center"/>
            </w:pPr>
            <w:r>
              <w:rPr>
                <w:b/>
                <w:color w:val="FFFFFF"/>
                <w:sz w:val="19"/>
              </w:rPr>
              <w:t>Ouarzazate</w:t>
            </w:r>
          </w:p>
        </w:tc>
        <w:tc>
          <w:tcPr>
            <w:tcW w:w="1368" w:type="dxa"/>
            <w:shd w:val="clear" w:color="auto" w:fill="1E293B"/>
          </w:tcPr>
          <w:p w14:paraId="7005F081" w14:textId="77777777" w:rsidR="00685061" w:rsidRDefault="00AB6A7C">
            <w:pPr>
              <w:jc w:val="center"/>
            </w:pPr>
            <w:r>
              <w:rPr>
                <w:b/>
                <w:color w:val="FFFFFF"/>
                <w:sz w:val="19"/>
              </w:rPr>
              <w:t>Edinburgh</w:t>
            </w:r>
          </w:p>
        </w:tc>
      </w:tr>
      <w:tr w:rsidR="00685061" w14:paraId="521CF307" w14:textId="77777777">
        <w:trPr>
          <w:jc w:val="center"/>
        </w:trPr>
        <w:tc>
          <w:tcPr>
            <w:tcW w:w="2736" w:type="dxa"/>
          </w:tcPr>
          <w:p w14:paraId="26B94349" w14:textId="77777777" w:rsidR="00685061" w:rsidRDefault="00AB6A7C">
            <w:r>
              <w:rPr>
                <w:sz w:val="19"/>
              </w:rPr>
              <w:t>1. Reactive Baseline</w:t>
            </w:r>
          </w:p>
        </w:tc>
        <w:tc>
          <w:tcPr>
            <w:tcW w:w="1296" w:type="dxa"/>
          </w:tcPr>
          <w:p w14:paraId="2C570736" w14:textId="77777777" w:rsidR="00685061" w:rsidRDefault="00AB6A7C">
            <w:pPr>
              <w:jc w:val="center"/>
            </w:pPr>
            <w:r>
              <w:rPr>
                <w:sz w:val="19"/>
              </w:rPr>
              <w:t>1</w:t>
            </w:r>
          </w:p>
        </w:tc>
        <w:tc>
          <w:tcPr>
            <w:tcW w:w="1296" w:type="dxa"/>
          </w:tcPr>
          <w:p w14:paraId="21BC653B" w14:textId="77777777" w:rsidR="00685061" w:rsidRDefault="00AB6A7C">
            <w:pPr>
              <w:jc w:val="center"/>
            </w:pPr>
            <w:r>
              <w:rPr>
                <w:sz w:val="19"/>
              </w:rPr>
              <w:t>29</w:t>
            </w:r>
          </w:p>
        </w:tc>
        <w:tc>
          <w:tcPr>
            <w:tcW w:w="1440" w:type="dxa"/>
          </w:tcPr>
          <w:p w14:paraId="53844E44" w14:textId="77777777" w:rsidR="00685061" w:rsidRDefault="00AB6A7C">
            <w:pPr>
              <w:jc w:val="center"/>
            </w:pPr>
            <w:r>
              <w:rPr>
                <w:sz w:val="19"/>
              </w:rPr>
              <w:t>0</w:t>
            </w:r>
          </w:p>
        </w:tc>
        <w:tc>
          <w:tcPr>
            <w:tcW w:w="1368" w:type="dxa"/>
          </w:tcPr>
          <w:p w14:paraId="15BB6BA2" w14:textId="77777777" w:rsidR="00685061" w:rsidRDefault="00AB6A7C">
            <w:pPr>
              <w:jc w:val="center"/>
            </w:pPr>
            <w:r>
              <w:rPr>
                <w:sz w:val="19"/>
              </w:rPr>
              <w:t>230</w:t>
            </w:r>
          </w:p>
        </w:tc>
      </w:tr>
      <w:tr w:rsidR="00685061" w14:paraId="62AFB62B" w14:textId="77777777">
        <w:trPr>
          <w:jc w:val="center"/>
        </w:trPr>
        <w:tc>
          <w:tcPr>
            <w:tcW w:w="2736" w:type="dxa"/>
          </w:tcPr>
          <w:p w14:paraId="3BA430D4" w14:textId="77777777" w:rsidR="00685061" w:rsidRDefault="00AB6A7C">
            <w:r>
              <w:rPr>
                <w:sz w:val="19"/>
              </w:rPr>
              <w:t>2. Fixed Reserve</w:t>
            </w:r>
          </w:p>
        </w:tc>
        <w:tc>
          <w:tcPr>
            <w:tcW w:w="1296" w:type="dxa"/>
          </w:tcPr>
          <w:p w14:paraId="24F21454" w14:textId="77777777" w:rsidR="00685061" w:rsidRDefault="00AB6A7C">
            <w:pPr>
              <w:jc w:val="center"/>
            </w:pPr>
            <w:r>
              <w:rPr>
                <w:sz w:val="19"/>
              </w:rPr>
              <w:t>1</w:t>
            </w:r>
          </w:p>
        </w:tc>
        <w:tc>
          <w:tcPr>
            <w:tcW w:w="1296" w:type="dxa"/>
          </w:tcPr>
          <w:p w14:paraId="76028FC9" w14:textId="77777777" w:rsidR="00685061" w:rsidRDefault="00AB6A7C">
            <w:pPr>
              <w:jc w:val="center"/>
            </w:pPr>
            <w:r>
              <w:rPr>
                <w:sz w:val="19"/>
              </w:rPr>
              <w:t>21</w:t>
            </w:r>
          </w:p>
        </w:tc>
        <w:tc>
          <w:tcPr>
            <w:tcW w:w="1440" w:type="dxa"/>
          </w:tcPr>
          <w:p w14:paraId="5B5317D7" w14:textId="77777777" w:rsidR="00685061" w:rsidRDefault="00AB6A7C">
            <w:pPr>
              <w:jc w:val="center"/>
            </w:pPr>
            <w:r>
              <w:rPr>
                <w:sz w:val="19"/>
              </w:rPr>
              <w:t>0</w:t>
            </w:r>
          </w:p>
        </w:tc>
        <w:tc>
          <w:tcPr>
            <w:tcW w:w="1368" w:type="dxa"/>
          </w:tcPr>
          <w:p w14:paraId="1DC67CD5" w14:textId="77777777" w:rsidR="00685061" w:rsidRDefault="00AB6A7C">
            <w:pPr>
              <w:jc w:val="center"/>
            </w:pPr>
            <w:r>
              <w:rPr>
                <w:sz w:val="19"/>
              </w:rPr>
              <w:t>180</w:t>
            </w:r>
          </w:p>
        </w:tc>
      </w:tr>
      <w:tr w:rsidR="00685061" w14:paraId="6AD0FEF4" w14:textId="77777777">
        <w:trPr>
          <w:jc w:val="center"/>
        </w:trPr>
        <w:tc>
          <w:tcPr>
            <w:tcW w:w="2736" w:type="dxa"/>
          </w:tcPr>
          <w:p w14:paraId="09EC71B5" w14:textId="77777777" w:rsidR="00685061" w:rsidRDefault="00AB6A7C">
            <w:r>
              <w:rPr>
                <w:sz w:val="19"/>
              </w:rPr>
              <w:t>3. Forecast Binary</w:t>
            </w:r>
          </w:p>
        </w:tc>
        <w:tc>
          <w:tcPr>
            <w:tcW w:w="1296" w:type="dxa"/>
          </w:tcPr>
          <w:p w14:paraId="4ED2D750" w14:textId="77777777" w:rsidR="00685061" w:rsidRDefault="00AB6A7C">
            <w:pPr>
              <w:jc w:val="center"/>
            </w:pPr>
            <w:r>
              <w:rPr>
                <w:sz w:val="19"/>
              </w:rPr>
              <w:t>2</w:t>
            </w:r>
          </w:p>
        </w:tc>
        <w:tc>
          <w:tcPr>
            <w:tcW w:w="1296" w:type="dxa"/>
          </w:tcPr>
          <w:p w14:paraId="099AF880" w14:textId="77777777" w:rsidR="00685061" w:rsidRDefault="00AB6A7C">
            <w:pPr>
              <w:jc w:val="center"/>
            </w:pPr>
            <w:r>
              <w:rPr>
                <w:sz w:val="19"/>
              </w:rPr>
              <w:t>27</w:t>
            </w:r>
          </w:p>
        </w:tc>
        <w:tc>
          <w:tcPr>
            <w:tcW w:w="1440" w:type="dxa"/>
          </w:tcPr>
          <w:p w14:paraId="193BF136" w14:textId="77777777" w:rsidR="00685061" w:rsidRDefault="00AB6A7C">
            <w:pPr>
              <w:jc w:val="center"/>
            </w:pPr>
            <w:r>
              <w:rPr>
                <w:sz w:val="19"/>
              </w:rPr>
              <w:t>0</w:t>
            </w:r>
          </w:p>
        </w:tc>
        <w:tc>
          <w:tcPr>
            <w:tcW w:w="1368" w:type="dxa"/>
          </w:tcPr>
          <w:p w14:paraId="2BA16CA0" w14:textId="77777777" w:rsidR="00685061" w:rsidRDefault="00AB6A7C">
            <w:pPr>
              <w:jc w:val="center"/>
            </w:pPr>
            <w:r>
              <w:rPr>
                <w:sz w:val="19"/>
              </w:rPr>
              <w:t>232</w:t>
            </w:r>
          </w:p>
        </w:tc>
      </w:tr>
      <w:tr w:rsidR="00685061" w14:paraId="7EC94806" w14:textId="77777777">
        <w:trPr>
          <w:jc w:val="center"/>
        </w:trPr>
        <w:tc>
          <w:tcPr>
            <w:tcW w:w="2736" w:type="dxa"/>
          </w:tcPr>
          <w:p w14:paraId="6ED1C5C2" w14:textId="77777777" w:rsidR="00685061" w:rsidRDefault="00AB6A7C">
            <w:r>
              <w:rPr>
                <w:sz w:val="19"/>
              </w:rPr>
              <w:t>4. Proportional Reserve</w:t>
            </w:r>
          </w:p>
        </w:tc>
        <w:tc>
          <w:tcPr>
            <w:tcW w:w="1296" w:type="dxa"/>
          </w:tcPr>
          <w:p w14:paraId="009C8BB5" w14:textId="77777777" w:rsidR="00685061" w:rsidRDefault="00AB6A7C">
            <w:pPr>
              <w:jc w:val="center"/>
            </w:pPr>
            <w:r>
              <w:rPr>
                <w:sz w:val="19"/>
              </w:rPr>
              <w:t>3</w:t>
            </w:r>
          </w:p>
        </w:tc>
        <w:tc>
          <w:tcPr>
            <w:tcW w:w="1296" w:type="dxa"/>
          </w:tcPr>
          <w:p w14:paraId="10A84558" w14:textId="77777777" w:rsidR="00685061" w:rsidRDefault="00AB6A7C">
            <w:pPr>
              <w:jc w:val="center"/>
            </w:pPr>
            <w:r>
              <w:rPr>
                <w:sz w:val="19"/>
              </w:rPr>
              <w:t>12</w:t>
            </w:r>
          </w:p>
        </w:tc>
        <w:tc>
          <w:tcPr>
            <w:tcW w:w="1440" w:type="dxa"/>
          </w:tcPr>
          <w:p w14:paraId="2279095A" w14:textId="77777777" w:rsidR="00685061" w:rsidRDefault="00AB6A7C">
            <w:pPr>
              <w:jc w:val="center"/>
            </w:pPr>
            <w:r>
              <w:rPr>
                <w:sz w:val="19"/>
              </w:rPr>
              <w:t>0</w:t>
            </w:r>
          </w:p>
        </w:tc>
        <w:tc>
          <w:tcPr>
            <w:tcW w:w="1368" w:type="dxa"/>
          </w:tcPr>
          <w:p w14:paraId="18689282" w14:textId="77777777" w:rsidR="00685061" w:rsidRDefault="00AB6A7C">
            <w:pPr>
              <w:jc w:val="center"/>
            </w:pPr>
            <w:r>
              <w:rPr>
                <w:sz w:val="19"/>
              </w:rPr>
              <w:t>141</w:t>
            </w:r>
          </w:p>
        </w:tc>
      </w:tr>
      <w:tr w:rsidR="00685061" w14:paraId="4D149477" w14:textId="77777777">
        <w:trPr>
          <w:jc w:val="center"/>
        </w:trPr>
        <w:tc>
          <w:tcPr>
            <w:tcW w:w="2736" w:type="dxa"/>
          </w:tcPr>
          <w:p w14:paraId="0ADCF89E" w14:textId="77777777" w:rsidR="00685061" w:rsidRDefault="00AB6A7C">
            <w:r>
              <w:rPr>
                <w:sz w:val="19"/>
              </w:rPr>
              <w:t>5. Temperature-Based</w:t>
            </w:r>
          </w:p>
        </w:tc>
        <w:tc>
          <w:tcPr>
            <w:tcW w:w="1296" w:type="dxa"/>
          </w:tcPr>
          <w:p w14:paraId="5A3A8CF4" w14:textId="77777777" w:rsidR="00685061" w:rsidRDefault="00AB6A7C">
            <w:pPr>
              <w:jc w:val="center"/>
            </w:pPr>
            <w:r>
              <w:rPr>
                <w:sz w:val="19"/>
              </w:rPr>
              <w:t>4</w:t>
            </w:r>
          </w:p>
        </w:tc>
        <w:tc>
          <w:tcPr>
            <w:tcW w:w="1296" w:type="dxa"/>
          </w:tcPr>
          <w:p w14:paraId="133E5864" w14:textId="77777777" w:rsidR="00685061" w:rsidRDefault="00AB6A7C">
            <w:pPr>
              <w:jc w:val="center"/>
            </w:pPr>
            <w:r>
              <w:rPr>
                <w:sz w:val="19"/>
              </w:rPr>
              <w:t>29</w:t>
            </w:r>
          </w:p>
        </w:tc>
        <w:tc>
          <w:tcPr>
            <w:tcW w:w="1440" w:type="dxa"/>
          </w:tcPr>
          <w:p w14:paraId="59D1AF72" w14:textId="77777777" w:rsidR="00685061" w:rsidRDefault="00AB6A7C">
            <w:pPr>
              <w:jc w:val="center"/>
            </w:pPr>
            <w:r>
              <w:rPr>
                <w:sz w:val="19"/>
              </w:rPr>
              <w:t>0</w:t>
            </w:r>
          </w:p>
        </w:tc>
        <w:tc>
          <w:tcPr>
            <w:tcW w:w="1368" w:type="dxa"/>
          </w:tcPr>
          <w:p w14:paraId="5C448E51" w14:textId="77777777" w:rsidR="00685061" w:rsidRDefault="00AB6A7C">
            <w:pPr>
              <w:jc w:val="center"/>
            </w:pPr>
            <w:r>
              <w:rPr>
                <w:sz w:val="19"/>
              </w:rPr>
              <w:t>231</w:t>
            </w:r>
          </w:p>
        </w:tc>
      </w:tr>
      <w:tr w:rsidR="00685061" w14:paraId="4E1CAC5B" w14:textId="77777777">
        <w:trPr>
          <w:jc w:val="center"/>
        </w:trPr>
        <w:tc>
          <w:tcPr>
            <w:tcW w:w="2736" w:type="dxa"/>
          </w:tcPr>
          <w:p w14:paraId="2990674F" w14:textId="77777777" w:rsidR="00685061" w:rsidRDefault="00AB6A7C">
            <w:r>
              <w:rPr>
                <w:sz w:val="19"/>
              </w:rPr>
              <w:t>6. Precharge</w:t>
            </w:r>
          </w:p>
        </w:tc>
        <w:tc>
          <w:tcPr>
            <w:tcW w:w="1296" w:type="dxa"/>
          </w:tcPr>
          <w:p w14:paraId="23D7FF84" w14:textId="77777777" w:rsidR="00685061" w:rsidRDefault="00AB6A7C">
            <w:pPr>
              <w:jc w:val="center"/>
            </w:pPr>
            <w:r>
              <w:rPr>
                <w:sz w:val="19"/>
              </w:rPr>
              <w:t>3</w:t>
            </w:r>
          </w:p>
        </w:tc>
        <w:tc>
          <w:tcPr>
            <w:tcW w:w="1296" w:type="dxa"/>
          </w:tcPr>
          <w:p w14:paraId="30723F2C" w14:textId="77777777" w:rsidR="00685061" w:rsidRDefault="00AB6A7C">
            <w:pPr>
              <w:jc w:val="center"/>
            </w:pPr>
            <w:r>
              <w:rPr>
                <w:sz w:val="19"/>
              </w:rPr>
              <w:t>0</w:t>
            </w:r>
          </w:p>
        </w:tc>
        <w:tc>
          <w:tcPr>
            <w:tcW w:w="1440" w:type="dxa"/>
          </w:tcPr>
          <w:p w14:paraId="29EE5B1E" w14:textId="77777777" w:rsidR="00685061" w:rsidRDefault="00AB6A7C">
            <w:pPr>
              <w:jc w:val="center"/>
            </w:pPr>
            <w:r>
              <w:rPr>
                <w:sz w:val="19"/>
              </w:rPr>
              <w:t>0</w:t>
            </w:r>
          </w:p>
        </w:tc>
        <w:tc>
          <w:tcPr>
            <w:tcW w:w="1368" w:type="dxa"/>
          </w:tcPr>
          <w:p w14:paraId="382A6976" w14:textId="77777777" w:rsidR="00685061" w:rsidRDefault="00AB6A7C">
            <w:pPr>
              <w:jc w:val="center"/>
            </w:pPr>
            <w:r>
              <w:rPr>
                <w:sz w:val="19"/>
              </w:rPr>
              <w:t>66</w:t>
            </w:r>
          </w:p>
        </w:tc>
      </w:tr>
      <w:tr w:rsidR="00685061" w14:paraId="6D568C24" w14:textId="77777777">
        <w:trPr>
          <w:jc w:val="center"/>
        </w:trPr>
        <w:tc>
          <w:tcPr>
            <w:tcW w:w="2736" w:type="dxa"/>
          </w:tcPr>
          <w:p w14:paraId="3D0D0CC1" w14:textId="77777777" w:rsidR="00685061" w:rsidRDefault="00AB6A7C">
            <w:r>
              <w:rPr>
                <w:sz w:val="19"/>
              </w:rPr>
              <w:t>7. Rolling Horizon</w:t>
            </w:r>
          </w:p>
        </w:tc>
        <w:tc>
          <w:tcPr>
            <w:tcW w:w="1296" w:type="dxa"/>
          </w:tcPr>
          <w:p w14:paraId="38AF1EF5" w14:textId="77777777" w:rsidR="00685061" w:rsidRDefault="00AB6A7C">
            <w:pPr>
              <w:jc w:val="center"/>
            </w:pPr>
            <w:r>
              <w:rPr>
                <w:sz w:val="19"/>
              </w:rPr>
              <w:t>5</w:t>
            </w:r>
          </w:p>
        </w:tc>
        <w:tc>
          <w:tcPr>
            <w:tcW w:w="1296" w:type="dxa"/>
          </w:tcPr>
          <w:p w14:paraId="3143647D" w14:textId="77777777" w:rsidR="00685061" w:rsidRDefault="00AB6A7C">
            <w:pPr>
              <w:jc w:val="center"/>
            </w:pPr>
            <w:r>
              <w:rPr>
                <w:sz w:val="19"/>
              </w:rPr>
              <w:t>0</w:t>
            </w:r>
          </w:p>
        </w:tc>
        <w:tc>
          <w:tcPr>
            <w:tcW w:w="1440" w:type="dxa"/>
          </w:tcPr>
          <w:p w14:paraId="0172CDD4" w14:textId="77777777" w:rsidR="00685061" w:rsidRDefault="00AB6A7C">
            <w:pPr>
              <w:jc w:val="center"/>
            </w:pPr>
            <w:r>
              <w:rPr>
                <w:sz w:val="19"/>
              </w:rPr>
              <w:t>0</w:t>
            </w:r>
          </w:p>
        </w:tc>
        <w:tc>
          <w:tcPr>
            <w:tcW w:w="1368" w:type="dxa"/>
          </w:tcPr>
          <w:p w14:paraId="2C4EFD42" w14:textId="77777777" w:rsidR="00685061" w:rsidRDefault="00AB6A7C">
            <w:pPr>
              <w:jc w:val="center"/>
            </w:pPr>
            <w:r>
              <w:rPr>
                <w:sz w:val="19"/>
              </w:rPr>
              <w:t>100</w:t>
            </w:r>
          </w:p>
        </w:tc>
      </w:tr>
    </w:tbl>
    <w:p w14:paraId="2C4B2B24" w14:textId="77777777" w:rsidR="00685061" w:rsidRDefault="00AB6A7C">
      <w:pPr>
        <w:spacing w:before="60" w:after="160"/>
      </w:pPr>
      <w:r>
        <w:rPr>
          <w:i/>
          <w:sz w:val="18"/>
        </w:rPr>
        <w:t>Table 1. Cold-starts per year by strategy and site (perfect forecast). Complexity is a manually assigned 1-5 sophistication score, not a measured runtime (all 84 runs together take under a minute).</w:t>
      </w:r>
    </w:p>
    <w:p w14:paraId="5AC2CF14" w14:textId="77777777" w:rsidR="00685061" w:rsidRDefault="00AB6A7C">
      <w:pPr>
        <w:spacing w:after="120"/>
      </w:pPr>
      <w:r>
        <w:rPr>
          <w:b/>
        </w:rPr>
        <w:t xml:space="preserve">What worked. </w:t>
      </w:r>
      <w:r>
        <w:t>Precharge and Rolling Horizon fully eliminate cold-starts in Seville, but complexity does not predict effectiveness: under a perfect forecast, the simplest eager strategy (Precharge) beats the most computationally expensive one (Rolling Horizon) in Edinburgh, 66 cold-starts a year versus 100, yet that ranking reverses as forecast error grows, Precharge's advantage erodes fast while Rolling Horizon degrades gracefully and overtakes it past roughly 10–20% forecast error. No strategy reaches zero in Edinburgh;</w:t>
      </w:r>
      <w:r>
        <w:t xml:space="preserve"> a 2,000 kWh battery is undersized for that climate's worst multi-day deficit, a limit the simulation makes visible rather than assumed.</w:t>
      </w:r>
    </w:p>
    <w:p w14:paraId="7E8F2BA5" w14:textId="77777777" w:rsidR="00685061" w:rsidRDefault="00AB6A7C">
      <w:pPr>
        <w:spacing w:after="120"/>
      </w:pPr>
      <w:r>
        <w:rPr>
          <w:b/>
        </w:rPr>
        <w:t xml:space="preserve">What failed. </w:t>
      </w:r>
      <w:r>
        <w:t>Two designs failed outright before the final architecture worked. Letting the electrolyzer/DAC draw partially from the battery above a reserve floor caused a catastrophic regression (300+ cold-starts a year, worse than doing nothing at all), because a single winter night's reactor-protection need (~760 kWh) already exceeds the largest reserve tested (800 kWh); the final design gives industrial loads PV-surplus only, with the reserve instead controlling a full on/off cutoff. Separately, the Temperature-Based</w:t>
      </w:r>
      <w:r>
        <w:t xml:space="preserve"> strategy's reserve formula was implemented backwards during development (larger reserve when the reactor was hottest, none when it was coldest); corrected, it still performs no better than doing nothing, since the reactor's own maintenance logic pins it at minimum temperature within about two hours of every night, leaving the formula almost nothing to compute by the time it would matter.</w:t>
      </w:r>
    </w:p>
    <w:p w14:paraId="558A6309" w14:textId="77777777" w:rsidR="00685061" w:rsidRDefault="00AB6A7C">
      <w:pPr>
        <w:spacing w:after="0"/>
      </w:pPr>
      <w:r>
        <w:rPr>
          <w:b/>
        </w:rPr>
        <w:t xml:space="preserve">Next. </w:t>
      </w:r>
      <w:r>
        <w:t>Replace this study's perfect-hindsight forecast with a live weather feed; test hybrid designs, for instance a thermodynamic trigger paired with a rolling-horizon projection, that no single strategy tested here covers alone; and couple the reactor's thermal state to an explicit H2/CO2 mass balance for a fully closed-loop chemical-yield model.</w:t>
      </w:r>
    </w:p>
    <w:sectPr w:rsidR="00685061" w:rsidSect="00034616">
      <w:pgSz w:w="11906" w:h="16838"/>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1188332">
    <w:abstractNumId w:val="8"/>
  </w:num>
  <w:num w:numId="2" w16cid:durableId="210117003">
    <w:abstractNumId w:val="6"/>
  </w:num>
  <w:num w:numId="3" w16cid:durableId="39982743">
    <w:abstractNumId w:val="5"/>
  </w:num>
  <w:num w:numId="4" w16cid:durableId="527915550">
    <w:abstractNumId w:val="4"/>
  </w:num>
  <w:num w:numId="5" w16cid:durableId="602765864">
    <w:abstractNumId w:val="7"/>
  </w:num>
  <w:num w:numId="6" w16cid:durableId="58556340">
    <w:abstractNumId w:val="3"/>
  </w:num>
  <w:num w:numId="7" w16cid:durableId="832381894">
    <w:abstractNumId w:val="2"/>
  </w:num>
  <w:num w:numId="8" w16cid:durableId="242760799">
    <w:abstractNumId w:val="1"/>
  </w:num>
  <w:num w:numId="9" w16cid:durableId="1388845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5061"/>
    <w:rsid w:val="00962B33"/>
    <w:rsid w:val="00AA1D8D"/>
    <w:rsid w:val="00AB6A7C"/>
    <w:rsid w:val="00B47730"/>
    <w:rsid w:val="00CB0664"/>
    <w:rsid w:val="00F95C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A162427"/>
  <w14:defaultImageDpi w14:val="300"/>
  <w15:docId w15:val="{A63654AF-ABDB-4547-BB34-F3CB5CBBF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815</Words>
  <Characters>4737</Characters>
  <Application>Microsoft Office Word</Application>
  <DocSecurity>0</DocSecurity>
  <Lines>104</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Csontos Tamás Márton</cp:lastModifiedBy>
  <cp:revision>2</cp:revision>
  <dcterms:created xsi:type="dcterms:W3CDTF">2013-12-23T23:15:00Z</dcterms:created>
  <dcterms:modified xsi:type="dcterms:W3CDTF">2026-09-17T16:11:00Z</dcterms:modified>
  <cp:category/>
</cp:coreProperties>
</file>