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 отчёта по лабораторной работе</w:t>
      </w:r>
    </w:p>
    <w:p>
      <w:pPr>
        <w:pStyle w:val="Subtitle"/>
      </w:pPr>
      <w:r>
        <w:t xml:space="preserve">Простейший вариант</w:t>
      </w:r>
    </w:p>
    <w:p>
      <w:pPr>
        <w:pStyle w:val="Author"/>
      </w:pPr>
      <w:r>
        <w:t xml:space="preserve">Дмитрий Сергеевич 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</w:t>
      </w:r>
      <w:r>
        <w:t xml:space="preserve"> </w:t>
      </w:r>
      <w:r>
        <w:t xml:space="preserve">Формулировки цели для каждой лабораторной работы приведены в методических 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 лабораторным работам.</w:t>
      </w:r>
      <w:r>
        <w:t xml:space="preserve"> </w:t>
      </w:r>
      <w:r>
        <w:t xml:space="preserve">Модифицируя данный шаблон, студенты смогут без труда подготовить отчёт по лабораторным работам, а также познакомиться с основными возможностями разметки Markdown.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 методического пособия и выданным вариантом.</w:t>
      </w:r>
    </w:p>
    <w:bookmarkEnd w:id="21"/>
    <w:bookmarkStart w:id="23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</w:t>
      </w:r>
      <w:r>
        <w:t xml:space="preserve"> </w:t>
      </w:r>
      <w:hyperlink w:anchor="tbl-std-dir">
        <w:r>
          <w:rPr>
            <w:rStyle w:val="Hyperlink"/>
          </w:rPr>
          <w:t xml:space="preserve">табл. 1</w:t>
        </w:r>
      </w:hyperlink>
      <w:r>
        <w:t xml:space="preserve"> </w:t>
      </w:r>
      <w:r>
        <w:t xml:space="preserve">приведено краткое описание стандартных каталогов Unix.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std-dir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1: Описание некоторых каталогов файловой системы GNU Linux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803"/>
              <w:gridCol w:w="711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Имя каталога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Описание каталога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Корневая директория, содержащая всю файловую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/bin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Основные системные утилиты, необходимые как в однопользовательском режиме, так и при обычной работе всем пользователям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/etc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Общесистемные конфигурационные файлы и файлы конфигурации установленных программ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/home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/media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Точки монтирования для сменных носителей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/root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Домашняя директория пользователя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root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/tmp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Временные файлы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/usr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Вторичная иерархия для данных пользователя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3"/>
    <w:bookmarkStart w:id="28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001"/>
          <w:p>
            <w:pPr>
              <w:pStyle w:val="Compact"/>
              <w:jc w:val="center"/>
            </w:pPr>
            <w:r>
              <w:drawing>
                <wp:inline>
                  <wp:extent cx="3733800" cy="1938906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image/solvay.jp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389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V Сольвеевский конгресс (1927) «Электроны и фотоны»</w:t>
            </w:r>
          </w:p>
          <w:bookmarkEnd w:id="27"/>
        </w:tc>
      </w:tr>
    </w:tbl>
    <w:bookmarkEnd w:id="28"/>
    <w:bookmarkStart w:id="29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29"/>
    <w:bookmarkStart w:id="36" w:name="список-литературы"/>
    <w:p>
      <w:pPr>
        <w:pStyle w:val="Heading1"/>
      </w:pPr>
      <w:r>
        <w:t xml:space="preserve">Список литературы</w:t>
      </w:r>
    </w:p>
    <w:bookmarkStart w:id="35" w:name="refs"/>
    <w:bookmarkStart w:id="30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</w:t>
      </w:r>
      <w:r>
        <w:t xml:space="preserve"> </w:t>
      </w:r>
      <w:r>
        <w:t xml:space="preserve">Современные операционные системы</w:t>
      </w:r>
      <w:r>
        <w:t xml:space="preserve">. 4-е изд. СПб.: Питер, 2015. 1120 с.</w:t>
      </w:r>
    </w:p>
    <w:bookmarkEnd w:id="30"/>
    <w:bookmarkStart w:id="31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31"/>
    <w:bookmarkStart w:id="32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32"/>
    <w:bookmarkStart w:id="34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33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jpg" /><Relationship Type="http://schemas.openxmlformats.org/officeDocument/2006/relationships/hyperlink" Id="rId33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2026-02-21T13:48:48Z</dcterms:created>
  <dcterms:modified xsi:type="dcterms:W3CDTF">2026-02-21T13:48:48Z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Простейший вариант</vt:lpwstr>
  </property>
  <property fmtid="{D5CDD505-2E9C-101B-9397-08002B2CF9AE}" pid="16" name="toc-title">
    <vt:lpwstr>Содержание</vt:lpwstr>
  </property>
</Properties>
</file>