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51.png" ContentType="image/png"/>
  <Override PartName="/word/media/rId54.png" ContentType="image/png"/>
  <Override PartName="/word/media/rId57.png" ContentType="image/png"/>
  <Override PartName="/word/media/rId60.png" ContentType="image/png"/>
  <Override PartName="/word/media/rId63.png" ContentType="image/png"/>
  <Override PartName="/word/media/rId66.png" ContentType="image/png"/>
  <Override PartName="/word/media/rId71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  <Override PartName="/word/media/rId4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Курушин</w:t>
      </w:r>
      <w:r>
        <w:t xml:space="preserve"> </w:t>
      </w:r>
      <w:r>
        <w:t xml:space="preserve">Георгий</w:t>
      </w:r>
      <w:r>
        <w:t xml:space="preserve"> </w:t>
      </w:r>
      <w:r>
        <w:t xml:space="preserve">Романович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 данной лабораторной работы - освоение арифметческих инструкций</w:t>
      </w:r>
      <w:r>
        <w:t xml:space="preserve"> </w:t>
      </w:r>
      <w:r>
        <w:t xml:space="preserve">языка ассемблера NASM.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Символьные и численные данные в NASM</w:t>
      </w:r>
    </w:p>
    <w:p>
      <w:pPr>
        <w:numPr>
          <w:ilvl w:val="0"/>
          <w:numId w:val="1001"/>
        </w:numPr>
        <w:pStyle w:val="Compact"/>
      </w:pPr>
      <w:r>
        <w:t xml:space="preserve">Выполнение арифметических операций в NASM</w:t>
      </w:r>
    </w:p>
    <w:p>
      <w:pPr>
        <w:numPr>
          <w:ilvl w:val="0"/>
          <w:numId w:val="1001"/>
        </w:numPr>
        <w:pStyle w:val="Compact"/>
      </w:pPr>
      <w:r>
        <w:t xml:space="preserve">Выполнение заданий для самостоятельной работы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Большинство инструкций на языке ассемблера требуют обработки операндов.</w:t>
      </w:r>
      <w:r>
        <w:t xml:space="preserve"> </w:t>
      </w:r>
      <w:r>
        <w:t xml:space="preserve">Адрес операнда предоставляет место, где хранятся данные, подлежащие обработке. Это могут быть данные хранящиеся в регистре или в ячейке памяти. -</w:t>
      </w:r>
      <w:r>
        <w:t xml:space="preserve"> </w:t>
      </w:r>
      <w:r>
        <w:t xml:space="preserve">Регистровая адресация – операнды хранятся в регистрах и в команде используются имена этих регистров, например: mov ax,bx. - Непосредственная адресация</w:t>
      </w:r>
      <w:r>
        <w:t xml:space="preserve"> </w:t>
      </w:r>
      <w:r>
        <w:t xml:space="preserve">– значение операнда задается непосредственно в команде, Например: mov ax,2.</w:t>
      </w:r>
      <w:r>
        <w:t xml:space="preserve"> </w:t>
      </w:r>
      <w:r>
        <w:t xml:space="preserve">- Адресация памяти – операнд задает адрес в памяти. В команде указывается</w:t>
      </w:r>
      <w:r>
        <w:t xml:space="preserve"> </w:t>
      </w:r>
      <w:r>
        <w:t xml:space="preserve">символическое обозначение ячейки памяти, над содержимым которой требуется</w:t>
      </w:r>
      <w:r>
        <w:t xml:space="preserve"> </w:t>
      </w:r>
      <w:r>
        <w:t xml:space="preserve">выполнить операцию.</w:t>
      </w:r>
      <w:r>
        <w:t xml:space="preserve"> </w:t>
      </w:r>
      <w:r>
        <w:t xml:space="preserve">Ввод информации с клавиатуры и вывод её на экран осуществляется в символьном виде. Кодирование этой информации производится согласно кодовой таблице символов ASCII. ASCII – сокращение от American Standard Code for Information</w:t>
      </w:r>
      <w:r>
        <w:t xml:space="preserve"> </w:t>
      </w:r>
      <w:r>
        <w:t xml:space="preserve">Interchange (Американский стандартный код для обмена информацией). Согласно стандарту ASCII каждый символ кодируется одним байтом. Среди инструкций</w:t>
      </w:r>
      <w:r>
        <w:t xml:space="preserve"> </w:t>
      </w:r>
      <w:r>
        <w:t xml:space="preserve">NASM нет такой, которая выводит числа (не в символьном виде). Поэтому, например, чтобы вывести число, надо предварительно преобразовать его цифры в</w:t>
      </w:r>
      <w:r>
        <w:t xml:space="preserve"> </w:t>
      </w:r>
      <w:r>
        <w:t xml:space="preserve">ASCII-коды этих цифр и выводить на экран эти коды, а не само число. Если же</w:t>
      </w:r>
      <w:r>
        <w:t xml:space="preserve"> </w:t>
      </w:r>
      <w:r>
        <w:t xml:space="preserve">выводить число на экран непосредственно, то экран воспримет его не как число,</w:t>
      </w:r>
      <w:r>
        <w:t xml:space="preserve"> </w:t>
      </w:r>
      <w:r>
        <w:t xml:space="preserve">а как последовательность ASCII-символов – каждый байт числа будет воспринят</w:t>
      </w:r>
      <w:r>
        <w:t xml:space="preserve"> </w:t>
      </w:r>
      <w:r>
        <w:t xml:space="preserve">как один ASCII-символ – и выведет на экран эти символы. Аналогичная ситуация происходит и при вводе данных с клавиатуры. Введенные данные будут</w:t>
      </w:r>
      <w:r>
        <w:t xml:space="preserve"> </w:t>
      </w:r>
      <w:r>
        <w:t xml:space="preserve">представлять собой символы, что сделает невозможным получение корректного</w:t>
      </w:r>
      <w:r>
        <w:t xml:space="preserve"> </w:t>
      </w:r>
      <w:r>
        <w:t xml:space="preserve">результата при выполнении над ними арифметических операций. Для решения</w:t>
      </w:r>
      <w:r>
        <w:t xml:space="preserve"> </w:t>
      </w:r>
      <w:r>
        <w:t xml:space="preserve">этой проблемы необходимо проводить преобразование ASCII символов в числа</w:t>
      </w:r>
      <w:r>
        <w:t xml:space="preserve"> </w:t>
      </w:r>
      <w:r>
        <w:t xml:space="preserve">и обратно.</w:t>
      </w:r>
    </w:p>
    <w:bookmarkEnd w:id="22"/>
    <w:bookmarkStart w:id="75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50" w:name="символьные-и-численные-данные-в-nasm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Символьные и численные данные в NASM</w:t>
      </w:r>
    </w:p>
    <w:p>
      <w:pPr>
        <w:pStyle w:val="FirstParagraph"/>
      </w:pPr>
      <w:r>
        <w:t xml:space="preserve">Создаю каталог для программ лабораторной работы №6 и перехожу в него, создаю там файл (рис. -fig. 1).</w:t>
      </w:r>
    </w:p>
    <w:p>
      <w:pPr>
        <w:pStyle w:val="CaptionedFigure"/>
      </w:pPr>
      <w:r>
        <w:drawing>
          <wp:inline>
            <wp:extent cx="3733800" cy="2505500"/>
            <wp:effectExtent b="0" l="0" r="0" t="0"/>
            <wp:docPr descr="Создание нового каталога" title="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05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Создание нового каталога</w:t>
      </w:r>
    </w:p>
    <w:p>
      <w:pPr>
        <w:pStyle w:val="BodyText"/>
      </w:pPr>
      <w:r>
        <w:t xml:space="preserve">В созданном файле ввожу программу из листинга (рис. -fig. 2).</w:t>
      </w:r>
    </w:p>
    <w:p>
      <w:pPr>
        <w:pStyle w:val="CaptionedFigure"/>
      </w:pPr>
      <w:r>
        <w:drawing>
          <wp:inline>
            <wp:extent cx="3733800" cy="2954064"/>
            <wp:effectExtent b="0" l="0" r="0" t="0"/>
            <wp:docPr descr="Сохрание новой программы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540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Сохрание новой программы</w:t>
      </w:r>
    </w:p>
    <w:p>
      <w:pPr>
        <w:pStyle w:val="BodyText"/>
      </w:pPr>
      <w:r>
        <w:t xml:space="preserve">Создаю исполняемый файл и запускаю его, вывод программы отличается от предполагаемого изначально, ибо коды символов в сумме дают символ j по таблице ASCII. {#fig:003 width=70%}</w:t>
      </w:r>
    </w:p>
    <w:p>
      <w:pPr>
        <w:pStyle w:val="CaptionedFigure"/>
      </w:pPr>
      <w:r>
        <w:drawing>
          <wp:inline>
            <wp:extent cx="3733800" cy="2505500"/>
            <wp:effectExtent b="0" l="0" r="0" t="0"/>
            <wp:docPr descr="Запуск изначальной программы" title="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05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Запуск изначальной программы</w:t>
      </w:r>
    </w:p>
    <w:p>
      <w:pPr>
        <w:pStyle w:val="BodyText"/>
      </w:pPr>
      <w:r>
        <w:t xml:space="preserve">Изменяю текст изначальной программы, убрав кавычки (рис. -fig. 4).</w:t>
      </w:r>
    </w:p>
    <w:p>
      <w:pPr>
        <w:pStyle w:val="CaptionedFigure"/>
      </w:pPr>
      <w:r>
        <w:drawing>
          <wp:inline>
            <wp:extent cx="3733800" cy="2913599"/>
            <wp:effectExtent b="0" l="0" r="0" t="0"/>
            <wp:docPr descr="Измененная программа" title="" id="33" name="Picture"/>
            <a:graphic>
              <a:graphicData uri="http://schemas.openxmlformats.org/drawingml/2006/picture">
                <pic:pic>
                  <pic:nvPicPr>
                    <pic:cNvPr descr="image/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135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Измененная программа</w:t>
      </w:r>
    </w:p>
    <w:p>
      <w:pPr>
        <w:pStyle w:val="BodyText"/>
      </w:pPr>
      <w:r>
        <w:t xml:space="preserve">На этот раз программа выдала пустую строчку, это связано с тем, что символ 10 означает переход на новую строку (рис. -fig. 5).</w:t>
      </w:r>
    </w:p>
    <w:p>
      <w:pPr>
        <w:pStyle w:val="CaptionedFigure"/>
      </w:pPr>
      <w:r>
        <w:drawing>
          <wp:inline>
            <wp:extent cx="3733800" cy="2913599"/>
            <wp:effectExtent b="0" l="0" r="0" t="0"/>
            <wp:docPr descr="Запуск измененной программы" title="" id="36" name="Picture"/>
            <a:graphic>
              <a:graphicData uri="http://schemas.openxmlformats.org/drawingml/2006/picture">
                <pic:pic>
                  <pic:nvPicPr>
                    <pic:cNvPr descr="image/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135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Запуск измененной программы</w:t>
      </w:r>
    </w:p>
    <w:p>
      <w:pPr>
        <w:pStyle w:val="BodyText"/>
      </w:pPr>
      <w:r>
        <w:t xml:space="preserve">Создаю новый файл для будущей программы и записываю в нее код из листинга (рис. -fig. 6).</w:t>
      </w:r>
    </w:p>
    <w:p>
      <w:pPr>
        <w:pStyle w:val="CaptionedFigure"/>
      </w:pPr>
      <w:r>
        <w:drawing>
          <wp:inline>
            <wp:extent cx="3733800" cy="2954064"/>
            <wp:effectExtent b="0" l="0" r="0" t="0"/>
            <wp:docPr descr="Вторая программа" title="" id="39" name="Picture"/>
            <a:graphic>
              <a:graphicData uri="http://schemas.openxmlformats.org/drawingml/2006/picture">
                <pic:pic>
                  <pic:nvPicPr>
                    <pic:cNvPr descr="image/6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540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Вторая программа</w:t>
      </w:r>
    </w:p>
    <w:p>
      <w:pPr>
        <w:pStyle w:val="BodyText"/>
      </w:pPr>
      <w:r>
        <w:t xml:space="preserve">Создаю исполняемый файл и запускаю его, теперь отображается результат 106, программа, как и в первый раз, сложила коды символов, но вывела само число, а не его символ, благодяря замене функции вывода на iprintLF (рис. -fig. 7).</w:t>
      </w:r>
    </w:p>
    <w:p>
      <w:pPr>
        <w:pStyle w:val="CaptionedFigure"/>
      </w:pPr>
      <w:r>
        <w:drawing>
          <wp:inline>
            <wp:extent cx="3733800" cy="2913599"/>
            <wp:effectExtent b="0" l="0" r="0" t="0"/>
            <wp:docPr descr="Вывод второй программы" title="" id="42" name="Picture"/>
            <a:graphic>
              <a:graphicData uri="http://schemas.openxmlformats.org/drawingml/2006/picture">
                <pic:pic>
                  <pic:nvPicPr>
                    <pic:cNvPr descr="image/7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135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Вывод второй программы</w:t>
      </w:r>
    </w:p>
    <w:p>
      <w:pPr>
        <w:pStyle w:val="BodyText"/>
      </w:pPr>
      <w:r>
        <w:t xml:space="preserve">Убрав кавычки в программе, я снова ее запускаю и получаю предполагаемый изначально результат. (рис. -fig. 8).</w:t>
      </w:r>
    </w:p>
    <w:p>
      <w:pPr>
        <w:pStyle w:val="CaptionedFigure"/>
      </w:pPr>
      <w:r>
        <w:drawing>
          <wp:inline>
            <wp:extent cx="3733800" cy="2913599"/>
            <wp:effectExtent b="0" l="0" r="0" t="0"/>
            <wp:docPr descr="Вывод измененной второй программы" title="" id="45" name="Picture"/>
            <a:graphic>
              <a:graphicData uri="http://schemas.openxmlformats.org/drawingml/2006/picture">
                <pic:pic>
                  <pic:nvPicPr>
                    <pic:cNvPr descr="image/8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135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Вывод измененной второй программы</w:t>
      </w:r>
    </w:p>
    <w:p>
      <w:pPr>
        <w:pStyle w:val="BodyText"/>
      </w:pPr>
      <w:r>
        <w:t xml:space="preserve">Заменив функцию вывода на iprint, я получаю тот же результат, но без переноса строки (рис. -fig. 9).</w:t>
      </w:r>
    </w:p>
    <w:p>
      <w:pPr>
        <w:pStyle w:val="CaptionedFigure"/>
      </w:pPr>
      <w:r>
        <w:drawing>
          <wp:inline>
            <wp:extent cx="3733800" cy="2913599"/>
            <wp:effectExtent b="0" l="0" r="0" t="0"/>
            <wp:docPr descr="Замена функции вывода во второй программе" title="" id="48" name="Picture"/>
            <a:graphic>
              <a:graphicData uri="http://schemas.openxmlformats.org/drawingml/2006/picture">
                <pic:pic>
                  <pic:nvPicPr>
                    <pic:cNvPr descr="image/9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135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Замена функции вывода во второй программе</w:t>
      </w:r>
    </w:p>
    <w:bookmarkEnd w:id="50"/>
    <w:bookmarkStart w:id="69" w:name="X8c0a1c151545696051e31eb8f7e02c7d54dd7c6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Выполнение арифметических операций в NASM</w:t>
      </w:r>
    </w:p>
    <w:p>
      <w:pPr>
        <w:pStyle w:val="FirstParagraph"/>
      </w:pPr>
      <w:r>
        <w:t xml:space="preserve">Создаю новый файл и копирую в него содержимое листинга (рис. -fig. 10).</w:t>
      </w:r>
    </w:p>
    <w:p>
      <w:pPr>
        <w:pStyle w:val="CaptionedFigure"/>
      </w:pPr>
      <w:r>
        <w:drawing>
          <wp:inline>
            <wp:extent cx="3733800" cy="2810353"/>
            <wp:effectExtent b="0" l="0" r="0" t="0"/>
            <wp:docPr descr="Третья программа" title="" id="52" name="Picture"/>
            <a:graphic>
              <a:graphicData uri="http://schemas.openxmlformats.org/drawingml/2006/picture">
                <pic:pic>
                  <pic:nvPicPr>
                    <pic:cNvPr descr="image/10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103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Третья программа</w:t>
      </w:r>
    </w:p>
    <w:p>
      <w:pPr>
        <w:pStyle w:val="BodyText"/>
      </w:pPr>
      <w:r>
        <w:t xml:space="preserve">Программа выполняет арифметические вычисления, на вывод идет результирующее выражения и его остаток от деления (рис. -fig. 11).</w:t>
      </w:r>
    </w:p>
    <w:p>
      <w:pPr>
        <w:pStyle w:val="CaptionedFigure"/>
      </w:pPr>
      <w:r>
        <w:drawing>
          <wp:inline>
            <wp:extent cx="3733800" cy="2913599"/>
            <wp:effectExtent b="0" l="0" r="0" t="0"/>
            <wp:docPr descr="Запуск третьей программы" title="" id="55" name="Picture"/>
            <a:graphic>
              <a:graphicData uri="http://schemas.openxmlformats.org/drawingml/2006/picture">
                <pic:pic>
                  <pic:nvPicPr>
                    <pic:cNvPr descr="image/11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135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Запуск третьей программы</w:t>
      </w:r>
    </w:p>
    <w:p>
      <w:pPr>
        <w:pStyle w:val="BodyText"/>
      </w:pPr>
      <w:r>
        <w:t xml:space="preserve">Заменив переменные в программе для выражения f(x) = (4*6+2)/5 (рис. -fig. 12).</w:t>
      </w:r>
    </w:p>
    <w:p>
      <w:pPr>
        <w:pStyle w:val="CaptionedFigure"/>
      </w:pPr>
      <w:r>
        <w:drawing>
          <wp:inline>
            <wp:extent cx="3733800" cy="2972065"/>
            <wp:effectExtent b="0" l="0" r="0" t="0"/>
            <wp:docPr descr="Изменение третьей программы" title="" id="58" name="Picture"/>
            <a:graphic>
              <a:graphicData uri="http://schemas.openxmlformats.org/drawingml/2006/picture">
                <pic:pic>
                  <pic:nvPicPr>
                    <pic:cNvPr descr="image/12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720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Изменение третьей программы</w:t>
      </w:r>
    </w:p>
    <w:p>
      <w:pPr>
        <w:pStyle w:val="BodyText"/>
      </w:pPr>
      <w:r>
        <w:t xml:space="preserve">Запуск программы дает корректный результат (рис. -fig. 13).</w:t>
      </w:r>
    </w:p>
    <w:p>
      <w:pPr>
        <w:pStyle w:val="CaptionedFigure"/>
      </w:pPr>
      <w:r>
        <w:drawing>
          <wp:inline>
            <wp:extent cx="3733800" cy="2913599"/>
            <wp:effectExtent b="0" l="0" r="0" t="0"/>
            <wp:docPr descr="Запуск измененной третьей программы" title="" id="61" name="Picture"/>
            <a:graphic>
              <a:graphicData uri="http://schemas.openxmlformats.org/drawingml/2006/picture">
                <pic:pic>
                  <pic:nvPicPr>
                    <pic:cNvPr descr="image/13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135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Запуск измененной третьей программы</w:t>
      </w:r>
    </w:p>
    <w:p>
      <w:pPr>
        <w:pStyle w:val="BodyText"/>
      </w:pPr>
      <w:r>
        <w:t xml:space="preserve">Создаю новый файл и помещаю текст из листинга (рис. -fig. 14).</w:t>
      </w:r>
    </w:p>
    <w:p>
      <w:pPr>
        <w:pStyle w:val="CaptionedFigure"/>
      </w:pPr>
      <w:r>
        <w:drawing>
          <wp:inline>
            <wp:extent cx="3733800" cy="2972065"/>
            <wp:effectExtent b="0" l="0" r="0" t="0"/>
            <wp:docPr descr="Программа для подсчета варианта" title="" id="64" name="Picture"/>
            <a:graphic>
              <a:graphicData uri="http://schemas.openxmlformats.org/drawingml/2006/picture">
                <pic:pic>
                  <pic:nvPicPr>
                    <pic:cNvPr descr="image/14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720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Программа для подсчета варианта</w:t>
      </w:r>
    </w:p>
    <w:p>
      <w:pPr>
        <w:pStyle w:val="BodyText"/>
      </w:pPr>
      <w:r>
        <w:t xml:space="preserve">Запустив программу и указав свой номер студенческого билета, я получил свой вариант для дальнейшей работы. (рис. -fig. 15).</w:t>
      </w:r>
    </w:p>
    <w:p>
      <w:pPr>
        <w:pStyle w:val="CaptionedFigure"/>
      </w:pPr>
      <w:r>
        <w:drawing>
          <wp:inline>
            <wp:extent cx="3733800" cy="2913599"/>
            <wp:effectExtent b="0" l="0" r="0" t="0"/>
            <wp:docPr descr="Запуск программы для подсчета варианта" title="" id="67" name="Picture"/>
            <a:graphic>
              <a:graphicData uri="http://schemas.openxmlformats.org/drawingml/2006/picture">
                <pic:pic>
                  <pic:nvPicPr>
                    <pic:cNvPr descr="image/15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135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Запуск программы для подсчета варианта</w:t>
      </w:r>
    </w:p>
    <w:bookmarkEnd w:id="69"/>
    <w:bookmarkStart w:id="70" w:name="ответы-на-контрольные-вопросы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Ответы на контрольные вопросы</w:t>
      </w:r>
    </w:p>
    <w:p>
      <w:pPr>
        <w:numPr>
          <w:ilvl w:val="0"/>
          <w:numId w:val="1002"/>
        </w:numPr>
        <w:pStyle w:val="Compact"/>
      </w:pPr>
      <w:r>
        <w:t xml:space="preserve">За вывод сообщения</w:t>
      </w:r>
      <w:r>
        <w:t xml:space="preserve"> </w:t>
      </w:r>
      <w:r>
        <w:t xml:space="preserve">“</w:t>
      </w:r>
      <w:r>
        <w:t xml:space="preserve">Ваш вариант</w:t>
      </w:r>
      <w:r>
        <w:t xml:space="preserve">”</w:t>
      </w:r>
      <w:r>
        <w:t xml:space="preserve"> </w:t>
      </w:r>
      <w:r>
        <w:t xml:space="preserve">отвечают строки кода:</w:t>
      </w:r>
    </w:p>
    <w:p>
      <w:pPr>
        <w:pStyle w:val="SourceCode"/>
      </w:pP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rem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</w:t>
      </w:r>
    </w:p>
    <w:p>
      <w:pPr>
        <w:numPr>
          <w:ilvl w:val="0"/>
          <w:numId w:val="1003"/>
        </w:numPr>
      </w:pPr>
      <w:r>
        <w:t xml:space="preserve">Инструкция mov ecx, x используется, чтобы положить адрес вводимой строки x в регистр ecx mov edx, 80 - запись в регистр edx длины вводимой строки</w:t>
      </w:r>
      <w:r>
        <w:t xml:space="preserve"> </w:t>
      </w:r>
      <w:r>
        <w:t xml:space="preserve">call sread - вызов подпрограммы из внешнего файла, обеспечивающей ввод</w:t>
      </w:r>
      <w:r>
        <w:t xml:space="preserve"> </w:t>
      </w:r>
      <w:r>
        <w:t xml:space="preserve">сообщения с клавиатуры.</w:t>
      </w:r>
    </w:p>
    <w:p>
      <w:pPr>
        <w:numPr>
          <w:ilvl w:val="0"/>
          <w:numId w:val="1003"/>
        </w:numPr>
      </w:pPr>
      <w:r>
        <w:t xml:space="preserve">call atoi используется для вызова подпрограммы из внешнего файла, которая преобразует ascii-код символа в целое число и записывает результат в</w:t>
      </w:r>
      <w:r>
        <w:t xml:space="preserve"> </w:t>
      </w:r>
      <w:r>
        <w:t xml:space="preserve">регистр eax.</w:t>
      </w:r>
    </w:p>
    <w:p>
      <w:pPr>
        <w:numPr>
          <w:ilvl w:val="0"/>
          <w:numId w:val="1003"/>
        </w:numPr>
      </w:pPr>
      <w:r>
        <w:t xml:space="preserve">За вычисления варианта отвечают строки:</w:t>
      </w:r>
    </w:p>
    <w:p>
      <w:pPr>
        <w:pStyle w:val="SourceCode"/>
      </w:pPr>
      <w:r>
        <w:rPr>
          <w:rStyle w:val="KeywordTok"/>
        </w:rPr>
        <w:t xml:space="preserve">xor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OperatorTok"/>
        </w:rPr>
        <w:t xml:space="preserve">,</w:t>
      </w:r>
      <w:r>
        <w:rPr>
          <w:rStyle w:val="KeywordTok"/>
        </w:rPr>
        <w:t xml:space="preserve">edx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обнуление edx для корректной работы div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ebx = 20</w:t>
      </w:r>
      <w:r>
        <w:br/>
      </w:r>
      <w:r>
        <w:rPr>
          <w:rStyle w:val="KeywordTok"/>
        </w:rPr>
        <w:t xml:space="preserve">div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eax = eax/20, edx - остаток от деления</w:t>
      </w:r>
      <w:r>
        <w:br/>
      </w:r>
      <w:r>
        <w:rPr>
          <w:rStyle w:val="KeywordTok"/>
        </w:rPr>
        <w:t xml:space="preserve">inc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edx = edx + 1</w:t>
      </w:r>
    </w:p>
    <w:p>
      <w:pPr>
        <w:numPr>
          <w:ilvl w:val="0"/>
          <w:numId w:val="1004"/>
        </w:numPr>
      </w:pPr>
      <w:r>
        <w:t xml:space="preserve">При выполнении инструкции div ebx остаток от деления записывается в</w:t>
      </w:r>
      <w:r>
        <w:t xml:space="preserve"> </w:t>
      </w:r>
      <w:r>
        <w:t xml:space="preserve">регистр edx.</w:t>
      </w:r>
    </w:p>
    <w:p>
      <w:pPr>
        <w:numPr>
          <w:ilvl w:val="0"/>
          <w:numId w:val="1004"/>
        </w:numPr>
      </w:pPr>
      <w:r>
        <w:t xml:space="preserve">Инструкция inc edx увеличивает значение регистра edx на 1.</w:t>
      </w:r>
    </w:p>
    <w:p>
      <w:pPr>
        <w:numPr>
          <w:ilvl w:val="0"/>
          <w:numId w:val="1004"/>
        </w:numPr>
      </w:pPr>
      <w:r>
        <w:t xml:space="preserve">За вывод на экран результатов вычислений отвечают строки:</w:t>
      </w:r>
    </w:p>
    <w:p>
      <w:pPr>
        <w:pStyle w:val="SourceCode"/>
      </w:pP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KeywordTok"/>
        </w:rPr>
        <w:t xml:space="preserve">edx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iprintLF</w:t>
      </w:r>
    </w:p>
    <w:bookmarkEnd w:id="70"/>
    <w:bookmarkStart w:id="74" w:name="задание-для-самостоятельной-работы"/>
    <w:p>
      <w:pPr>
        <w:pStyle w:val="Heading2"/>
      </w:pPr>
      <w:r>
        <w:rPr>
          <w:rStyle w:val="SectionNumber"/>
        </w:rPr>
        <w:t xml:space="preserve">4.4</w:t>
      </w:r>
      <w:r>
        <w:tab/>
      </w:r>
      <w:r>
        <w:t xml:space="preserve">Задание для самостоятельной работы</w:t>
      </w:r>
    </w:p>
    <w:p>
      <w:pPr>
        <w:pStyle w:val="FirstParagraph"/>
      </w:pPr>
      <w:r>
        <w:t xml:space="preserve">В соответсвии с выбранным вариантом, я реализую программу для подсчета функции f(x) = (10x-5)^2, проверка на нескольких переменных показывает корректное выполнение программы (рис. -fig. 16).</w:t>
      </w:r>
    </w:p>
    <w:p>
      <w:pPr>
        <w:pStyle w:val="CaptionedFigure"/>
      </w:pPr>
      <w:r>
        <w:drawing>
          <wp:inline>
            <wp:extent cx="3733800" cy="3215597"/>
            <wp:effectExtent b="0" l="0" r="0" t="0"/>
            <wp:docPr descr="Запуск и проверка программы" title="" id="72" name="Picture"/>
            <a:graphic>
              <a:graphicData uri="http://schemas.openxmlformats.org/drawingml/2006/picture">
                <pic:pic>
                  <pic:nvPicPr>
                    <pic:cNvPr descr="image/16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155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Запуск и проверка программы</w:t>
      </w:r>
    </w:p>
    <w:p>
      <w:pPr>
        <w:pStyle w:val="BodyText"/>
      </w:pPr>
      <w:r>
        <w:t xml:space="preserve">Прилагаю код своей программы:</w:t>
      </w:r>
    </w:p>
    <w:p>
      <w:pPr>
        <w:pStyle w:val="SourceCode"/>
      </w:pPr>
      <w:r>
        <w:rPr>
          <w:rStyle w:val="OtherTok"/>
        </w:rPr>
        <w:t xml:space="preserve">%include</w:t>
      </w:r>
      <w:r>
        <w:rPr>
          <w:rStyle w:val="NormalTok"/>
        </w:rPr>
        <w:t xml:space="preserve"> 'in_out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asm</w:t>
      </w:r>
      <w:r>
        <w:rPr>
          <w:rStyle w:val="StringTok"/>
        </w:rPr>
        <w:t xml:space="preserve">'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.data</w:t>
      </w:r>
      <w:r>
        <w:br/>
      </w:r>
      <w:r>
        <w:rPr>
          <w:rStyle w:val="FunctionTok"/>
        </w:rPr>
        <w:t xml:space="preserve">msg: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'Введите значение переменной x: '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0</w:t>
      </w:r>
      <w:r>
        <w:br/>
      </w:r>
      <w:r>
        <w:rPr>
          <w:rStyle w:val="FunctionTok"/>
        </w:rPr>
        <w:t xml:space="preserve">rem: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'Результат: '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0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.bss</w:t>
      </w:r>
      <w:r>
        <w:br/>
      </w:r>
      <w:r>
        <w:rPr>
          <w:rStyle w:val="FunctionTok"/>
        </w:rPr>
        <w:t xml:space="preserve">x: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RESB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.text</w:t>
      </w:r>
      <w:r>
        <w:br/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_start</w:t>
      </w:r>
      <w:r>
        <w:br/>
      </w:r>
      <w:r>
        <w:rPr>
          <w:rStyle w:val="FunctionTok"/>
        </w:rPr>
        <w:t xml:space="preserve">_start: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msg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x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sread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x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atoi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br/>
      </w:r>
      <w:r>
        <w:rPr>
          <w:rStyle w:val="KeywordTok"/>
        </w:rPr>
        <w:t xml:space="preserve">mul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br/>
      </w:r>
      <w:r>
        <w:rPr>
          <w:rStyle w:val="KeywordTok"/>
        </w:rPr>
        <w:t xml:space="preserve">sub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KeywordTok"/>
        </w:rPr>
        <w:t xml:space="preserve">mul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edi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rem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edi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iprintLF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quit</w:t>
      </w:r>
    </w:p>
    <w:bookmarkEnd w:id="74"/>
    <w:bookmarkEnd w:id="75"/>
    <w:bookmarkStart w:id="76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При выполнении данной лабораторной работы я освоил арифметические инструкции языка ассемблера NASM.</w:t>
      </w:r>
    </w:p>
    <w:bookmarkEnd w:id="76"/>
    <w:bookmarkStart w:id="80" w:name="список-литератур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Список литературы</w:t>
      </w:r>
    </w:p>
    <w:p>
      <w:pPr>
        <w:numPr>
          <w:ilvl w:val="0"/>
          <w:numId w:val="1005"/>
        </w:numPr>
        <w:pStyle w:val="Compact"/>
      </w:pPr>
      <w:hyperlink r:id="rId77">
        <w:r>
          <w:rPr>
            <w:rStyle w:val="Hyperlink"/>
          </w:rPr>
          <w:t xml:space="preserve">Курс на ТУИС</w:t>
        </w:r>
      </w:hyperlink>
    </w:p>
    <w:p>
      <w:pPr>
        <w:numPr>
          <w:ilvl w:val="0"/>
          <w:numId w:val="1005"/>
        </w:numPr>
        <w:pStyle w:val="Compact"/>
      </w:pPr>
      <w:hyperlink r:id="rId78">
        <w:r>
          <w:rPr>
            <w:rStyle w:val="Hyperlink"/>
          </w:rPr>
          <w:t xml:space="preserve">Лабораторная работа №6</w:t>
        </w:r>
      </w:hyperlink>
    </w:p>
    <w:p>
      <w:pPr>
        <w:numPr>
          <w:ilvl w:val="0"/>
          <w:numId w:val="1005"/>
        </w:numPr>
        <w:pStyle w:val="Compact"/>
      </w:pPr>
      <w:hyperlink r:id="rId79">
        <w:r>
          <w:rPr>
            <w:rStyle w:val="Hyperlink"/>
          </w:rPr>
          <w:t xml:space="preserve">Программирование на языке ассемблера NASM Столяров А. В.</w:t>
        </w:r>
      </w:hyperlink>
    </w:p>
    <w:bookmarkEnd w:id="8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51" Target="media/rId51.png" /><Relationship Type="http://schemas.openxmlformats.org/officeDocument/2006/relationships/image" Id="rId54" Target="media/rId54.png" /><Relationship Type="http://schemas.openxmlformats.org/officeDocument/2006/relationships/image" Id="rId57" Target="media/rId57.png" /><Relationship Type="http://schemas.openxmlformats.org/officeDocument/2006/relationships/image" Id="rId60" Target="media/rId60.png" /><Relationship Type="http://schemas.openxmlformats.org/officeDocument/2006/relationships/image" Id="rId63" Target="media/rId63.png" /><Relationship Type="http://schemas.openxmlformats.org/officeDocument/2006/relationships/image" Id="rId66" Target="media/rId66.png" /><Relationship Type="http://schemas.openxmlformats.org/officeDocument/2006/relationships/image" Id="rId71" Target="media/rId71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7" Target="media/rId47.png" /><Relationship Type="http://schemas.openxmlformats.org/officeDocument/2006/relationships/hyperlink" Id="rId77" Target="https://esystem.rudn.ru/course/view.php?id=112" TargetMode="External" /><Relationship Type="http://schemas.openxmlformats.org/officeDocument/2006/relationships/hyperlink" Id="rId79" Target="https://esystem.rudn.ru/pluginfile.php/2088953/mod_resource/content/2/%D0%A1%D1%82%D0%BE%D0%BB%D1%8F%D1%80%D0%BE%D0%B2%20%D0%90.%20%D0%92.%20-%20%D0%9F%D1%80%D0%BE%D0%B3%D1%80%D0%B0%D0%BC%D0%BC%D0%B8%D1%80%D0%BE%D0%B2%D0%B0%D0%BD%D0%B8%D0%B5%20%D0%BD%D0%B0%20%D1%8F%D0%B7%D1%8B%D0%BA%D0%B5%20%D0%B0%D1%81%D1%81%D0%B5%D0%BC%D0%B1%D0%BB%D0%B5%D1%80%D0%B0%20NASM%20%D0%B4%D0%BB%D1%8F%20%D0%9E%D0%A1%20Unix.pdf" TargetMode="External" /><Relationship Type="http://schemas.openxmlformats.org/officeDocument/2006/relationships/hyperlink" Id="rId78" Target="https://esystem.rudn.ru/pluginfile.php/2089086/mod_resource/content/0/%D0%9B%D0%B0%D0%B1%D0%BE%D1%80%D0%B0%D1%82%D0%BE%D1%80%D0%BD%D0%B0%D1%8F%20%D1%80%D0%B0%D0%B1%D0%BE%D1%82%D0%B0%20%E2%84%966.%20%D0%90%D1%80%D0%B8%D1%84%D0%BC%D0%B5%D1%82%D0%B8%D1%87%D0%B5%D1%81%D0%BA%D0%B8%D0%B5%20%D0%BE%D0%BF%D0%B5%D1%80%D0%B0%D1%86%D0%B8%D0%B8%20%D0%B2%20NASM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77" Target="https://esystem.rudn.ru/course/view.php?id=112" TargetMode="External" /><Relationship Type="http://schemas.openxmlformats.org/officeDocument/2006/relationships/hyperlink" Id="rId79" Target="https://esystem.rudn.ru/pluginfile.php/2088953/mod_resource/content/2/%D0%A1%D1%82%D0%BE%D0%BB%D1%8F%D1%80%D0%BE%D0%B2%20%D0%90.%20%D0%92.%20-%20%D0%9F%D1%80%D0%BE%D0%B3%D1%80%D0%B0%D0%BC%D0%BC%D0%B8%D1%80%D0%BE%D0%B2%D0%B0%D0%BD%D0%B8%D0%B5%20%D0%BD%D0%B0%20%D1%8F%D0%B7%D1%8B%D0%BA%D0%B5%20%D0%B0%D1%81%D1%81%D0%B5%D0%BC%D0%B1%D0%BB%D0%B5%D1%80%D0%B0%20NASM%20%D0%B4%D0%BB%D1%8F%20%D0%9E%D0%A1%20Unix.pdf" TargetMode="External" /><Relationship Type="http://schemas.openxmlformats.org/officeDocument/2006/relationships/hyperlink" Id="rId78" Target="https://esystem.rudn.ru/pluginfile.php/2089086/mod_resource/content/0/%D0%9B%D0%B0%D0%B1%D0%BE%D1%80%D0%B0%D1%82%D0%BE%D1%80%D0%BD%D0%B0%D1%8F%20%D1%80%D0%B0%D0%B1%D0%BE%D1%82%D0%B0%20%E2%84%966.%20%D0%90%D1%80%D0%B8%D1%84%D0%BC%D0%B5%D1%82%D0%B8%D1%87%D0%B5%D1%81%D0%BA%D0%B8%D0%B5%20%D0%BE%D0%BF%D0%B5%D1%80%D0%B0%D1%86%D0%B8%D0%B8%20%D0%B2%20NASM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№6</dc:title>
  <dc:creator>Курушин Георгий Романович</dc:creator>
  <dc:language>ru-RU</dc:language>
  <cp:keywords/>
  <dcterms:created xsi:type="dcterms:W3CDTF">2024-11-16T18:46:41Z</dcterms:created>
  <dcterms:modified xsi:type="dcterms:W3CDTF">2024-11-16T18:46:41Z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Дисциплина: архитектура компьютера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