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F11322">
      <w:pPr>
        <w:shd w:val="clear" w:color="auto" w:fill="0C304A"/>
        <w:divId w:val="1255820369"/>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 xml:space="preserve"> </w:instrText>
      </w:r>
      <w:r>
        <w:rPr>
          <w:rFonts w:ascii="Helvetica" w:eastAsia="Times New Roman" w:hAnsi="Helvetica" w:cs="Helvetica"/>
          <w:color w:val="FFFFFF"/>
        </w:rPr>
        <w:instrText>HYPERLINK "" \l "home"</w:instrText>
      </w:r>
      <w:r>
        <w:rPr>
          <w:rFonts w:ascii="Helvetica" w:eastAsia="Times New Roman" w:hAnsi="Helvetica" w:cs="Helvetica"/>
          <w:color w:val="FFFFFF"/>
        </w:rPr>
        <w:instrText xml:space="preserve"> </w:instrText>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w:t>
      </w:r>
      <w:hyperlink r:id="rId7" w:history="1">
        <w:r>
          <w:rPr>
            <w:rFonts w:ascii="Helvetica" w:eastAsia="Times New Roman" w:hAnsi="Helvetica" w:cs="Helvetica"/>
            <w:color w:val="FFFFFF"/>
            <w:u w:val="single"/>
          </w:rPr>
          <w:t>Research Infrastructure</w:t>
        </w:r>
      </w:hyperlink>
      <w:r>
        <w:rPr>
          <w:rFonts w:ascii="Helvetica" w:eastAsia="Times New Roman" w:hAnsi="Helvetica" w:cs="Helvetica"/>
          <w:color w:val="FFFFFF"/>
        </w:rPr>
        <w:t xml:space="preserve"> </w:t>
      </w:r>
    </w:p>
    <w:p w:rsidR="00000000" w:rsidRDefault="00F11322">
      <w:pPr>
        <w:shd w:val="clear" w:color="auto" w:fill="0C304A"/>
        <w:spacing w:line="540" w:lineRule="atLeast"/>
        <w:outlineLvl w:val="1"/>
        <w:divId w:val="1480226233"/>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 xml:space="preserve">Genomics Sequencing </w:t>
      </w:r>
    </w:p>
    <w:p w:rsidR="00000000" w:rsidRDefault="00F11322">
      <w:pPr>
        <w:shd w:val="clear" w:color="auto" w:fill="0C304A"/>
        <w:divId w:val="1480226233"/>
        <w:rPr>
          <w:rFonts w:ascii="Helvetica" w:hAnsi="Helvetica" w:cs="Helvetica"/>
          <w:color w:val="000000"/>
          <w:spacing w:val="3"/>
        </w:rPr>
      </w:pPr>
      <w:r>
        <w:rPr>
          <w:rFonts w:ascii="Helvetica" w:hAnsi="Helvetica" w:cs="Helvetica"/>
          <w:color w:val="000000"/>
          <w:spacing w:val="3"/>
        </w:rPr>
        <w:t> </w:t>
      </w:r>
    </w:p>
    <w:p w:rsidR="00000000" w:rsidRDefault="00F11322">
      <w:pPr>
        <w:shd w:val="clear" w:color="auto" w:fill="0C304A"/>
        <w:spacing w:line="540" w:lineRule="atLeast"/>
        <w:outlineLvl w:val="1"/>
        <w:divId w:val="2090420334"/>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The Capability</w:t>
      </w:r>
    </w:p>
    <w:p w:rsidR="00000000" w:rsidRDefault="00F11322">
      <w:pPr>
        <w:shd w:val="clear" w:color="auto" w:fill="0C304A"/>
        <w:divId w:val="2090420334"/>
        <w:rPr>
          <w:rFonts w:ascii="Helvetica" w:hAnsi="Helvetica" w:cs="Helvetica"/>
          <w:color w:val="000000"/>
          <w:spacing w:val="3"/>
        </w:rPr>
      </w:pPr>
      <w:r>
        <w:rPr>
          <w:rFonts w:ascii="Helvetica" w:hAnsi="Helvetica" w:cs="Helvetica"/>
          <w:color w:val="000000"/>
          <w:spacing w:val="3"/>
        </w:rPr>
        <w:t>Genomics is a field of molecular biology that focusing on the function and interaction of genes (and proteins) within plant and animal cells.  The genome refers to the complete set of genetic material within an organism and where genetics focuses on the ma</w:t>
      </w:r>
      <w:r>
        <w:rPr>
          <w:rFonts w:ascii="Helvetica" w:hAnsi="Helvetica" w:cs="Helvetica"/>
          <w:color w:val="000000"/>
          <w:spacing w:val="3"/>
        </w:rPr>
        <w:t>keup and activity of a single gene, genomics is a genome-wide approach to studying these interactions.</w:t>
      </w:r>
    </w:p>
    <w:p w:rsidR="00000000" w:rsidRDefault="00F11322">
      <w:pPr>
        <w:shd w:val="clear" w:color="auto" w:fill="0C304A"/>
        <w:divId w:val="2090420334"/>
        <w:rPr>
          <w:rFonts w:ascii="Helvetica" w:hAnsi="Helvetica" w:cs="Helvetica"/>
          <w:color w:val="000000"/>
          <w:spacing w:val="3"/>
        </w:rPr>
      </w:pPr>
      <w:r>
        <w:rPr>
          <w:rFonts w:ascii="Helvetica" w:hAnsi="Helvetica" w:cs="Helvetica"/>
          <w:color w:val="000000"/>
          <w:spacing w:val="3"/>
        </w:rPr>
        <w:t>Capillary-Electrophoresis (Sanger) sequencing is widely adopted in laboratories around the world as a standard for DNA analysis. Important advances in th</w:t>
      </w:r>
      <w:r>
        <w:rPr>
          <w:rFonts w:ascii="Helvetica" w:hAnsi="Helvetica" w:cs="Helvetica"/>
          <w:color w:val="000000"/>
          <w:spacing w:val="3"/>
        </w:rPr>
        <w:t>is field has led to the development of next generation sequencing (NGS) which extends the DNA analyses across millions of reactions in a massively parallel fashion. This enables rapid sequencing of large stretches of DNA spanning entire genomes in a single</w:t>
      </w:r>
      <w:r>
        <w:rPr>
          <w:rFonts w:ascii="Helvetica" w:hAnsi="Helvetica" w:cs="Helvetica"/>
          <w:color w:val="000000"/>
          <w:spacing w:val="3"/>
        </w:rPr>
        <w:t xml:space="preserve"> sequencing run. With unlimited dynamic range and high sensitivity, it is also used for quantitative applications such as gene expression analysis. The scope of data output resulting from these analyses requires bioinformatics tools and specialised softwar</w:t>
      </w:r>
      <w:r>
        <w:rPr>
          <w:rFonts w:ascii="Helvetica" w:hAnsi="Helvetica" w:cs="Helvetica"/>
          <w:color w:val="000000"/>
          <w:spacing w:val="3"/>
        </w:rPr>
        <w:t>e programs.</w:t>
      </w:r>
    </w:p>
    <w:p w:rsidR="00000000" w:rsidRDefault="00F11322">
      <w:pPr>
        <w:shd w:val="clear" w:color="auto" w:fill="0C304A"/>
        <w:spacing w:line="540" w:lineRule="atLeast"/>
        <w:outlineLvl w:val="1"/>
        <w:divId w:val="2090420334"/>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The University Platforms</w:t>
      </w:r>
    </w:p>
    <w:p w:rsidR="00000000" w:rsidRDefault="00F11322">
      <w:pPr>
        <w:shd w:val="clear" w:color="auto" w:fill="0C304A"/>
        <w:divId w:val="2090420334"/>
        <w:rPr>
          <w:rFonts w:ascii="Helvetica" w:hAnsi="Helvetica" w:cs="Helvetica"/>
          <w:color w:val="000000"/>
          <w:spacing w:val="3"/>
        </w:rPr>
      </w:pPr>
      <w:hyperlink r:id="rId8" w:history="1">
        <w:r>
          <w:rPr>
            <w:rFonts w:ascii="Helvetica" w:hAnsi="Helvetica" w:cs="Helvetica"/>
            <w:color w:val="0076DE"/>
            <w:spacing w:val="3"/>
            <w:u w:val="single"/>
          </w:rPr>
          <w:t>Melbourne Translational Genomics Platform</w:t>
        </w:r>
      </w:hyperlink>
      <w:r>
        <w:rPr>
          <w:rFonts w:ascii="Helvetica" w:hAnsi="Helvetica" w:cs="Helvetica"/>
          <w:color w:val="000000"/>
          <w:spacing w:val="3"/>
        </w:rPr>
        <w:t xml:space="preserve"> located at the Centre for Translational Pathology, leverages a number of different Sanger sequenci</w:t>
      </w:r>
      <w:r>
        <w:rPr>
          <w:rFonts w:ascii="Helvetica" w:hAnsi="Helvetica" w:cs="Helvetica"/>
          <w:color w:val="000000"/>
          <w:spacing w:val="3"/>
        </w:rPr>
        <w:t>ng and NGS capabilities as well as bioinformatics access for clinical and basic research. The platform is NATA-accredited for Sanger sequencing, and is Australia’s first facility to be NATA-accredited for NGS.</w:t>
      </w:r>
    </w:p>
    <w:p w:rsidR="00F11322" w:rsidRDefault="00F11322">
      <w:pPr>
        <w:shd w:val="clear" w:color="auto" w:fill="0C304A"/>
        <w:divId w:val="2090420334"/>
        <w:rPr>
          <w:rFonts w:ascii="Helvetica" w:hAnsi="Helvetica" w:cs="Helvetica"/>
          <w:color w:val="000000"/>
          <w:spacing w:val="3"/>
        </w:rPr>
      </w:pPr>
      <w:r>
        <w:rPr>
          <w:rFonts w:ascii="Helvetica" w:hAnsi="Helvetica" w:cs="Helvetica"/>
          <w:color w:val="000000"/>
          <w:spacing w:val="3"/>
        </w:rPr>
        <w:t xml:space="preserve">The Platform also operates a </w:t>
      </w:r>
      <w:proofErr w:type="spellStart"/>
      <w:r>
        <w:rPr>
          <w:rFonts w:ascii="Helvetica" w:hAnsi="Helvetica" w:cs="Helvetica"/>
          <w:color w:val="000000"/>
          <w:spacing w:val="3"/>
        </w:rPr>
        <w:t>PacBio</w:t>
      </w:r>
      <w:proofErr w:type="spellEnd"/>
      <w:r>
        <w:rPr>
          <w:rFonts w:ascii="Helvetica" w:hAnsi="Helvetica" w:cs="Helvetica"/>
          <w:color w:val="000000"/>
          <w:spacing w:val="3"/>
        </w:rPr>
        <w:t xml:space="preserve"> RS II system, housed in the Department of Microbiology and Immunology. The sequencing system is a long-range sequencer based on single-molecule, real-time (SMRT) technology. It is designed for applications in de novo assembly, characterisation of genetic variation, methylation analysis and microbiology studies.</w:t>
      </w:r>
      <w:bookmarkStart w:id="0" w:name="_GoBack"/>
      <w:bookmarkEnd w:id="0"/>
    </w:p>
    <w:p w:rsidR="00000000" w:rsidRDefault="00F11322">
      <w:pPr>
        <w:numPr>
          <w:ilvl w:val="0"/>
          <w:numId w:val="1"/>
        </w:numPr>
        <w:shd w:val="clear" w:color="auto" w:fill="0C304A"/>
        <w:ind w:left="225"/>
        <w:divId w:val="2090420334"/>
        <w:rPr>
          <w:rFonts w:ascii="Helvetica" w:eastAsia="Times New Roman" w:hAnsi="Helvetica" w:cs="Helvetica"/>
          <w:color w:val="000000"/>
          <w:spacing w:val="3"/>
        </w:rPr>
      </w:pPr>
      <w:r>
        <w:rPr>
          <w:rFonts w:ascii="Helvetica" w:eastAsia="Times New Roman" w:hAnsi="Helvetica" w:cs="Helvetica"/>
          <w:noProof/>
          <w:color w:val="000000"/>
          <w:spacing w:val="3"/>
        </w:rPr>
        <w:lastRenderedPageBreak/>
        <w:drawing>
          <wp:inline distT="0" distB="0" distL="0" distR="0" wp14:anchorId="1A6EAB98" wp14:editId="22B9A9BB">
            <wp:extent cx="4800600" cy="3152775"/>
            <wp:effectExtent l="0" t="0" r="0" b="9525"/>
            <wp:docPr id="1" name="Picture 1" descr="http://research.unimelb.edu.au/images/infrastructure/sanga_t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unimelb.edu.au/images/infrastructure/sanga_tile.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r>
        <w:rPr>
          <w:rStyle w:val="Strong"/>
          <w:rFonts w:ascii="Helvetica" w:eastAsia="Times New Roman" w:hAnsi="Helvetica" w:cs="Helvetica"/>
          <w:color w:val="000000"/>
          <w:spacing w:val="3"/>
        </w:rPr>
        <w:t>Sanger Sequencing</w:t>
      </w:r>
      <w:r>
        <w:rPr>
          <w:rFonts w:ascii="Helvetica" w:eastAsia="Times New Roman" w:hAnsi="Helvetica" w:cs="Helvetica"/>
          <w:color w:val="000000"/>
          <w:spacing w:val="3"/>
        </w:rPr>
        <w:t xml:space="preserve"> </w:t>
      </w:r>
    </w:p>
    <w:p w:rsidR="00000000" w:rsidRDefault="00F11322">
      <w:pPr>
        <w:shd w:val="clear" w:color="auto" w:fill="0C304A"/>
        <w:ind w:left="225"/>
        <w:divId w:val="2090420334"/>
        <w:rPr>
          <w:rFonts w:ascii="Helvetica" w:hAnsi="Helvetica" w:cs="Helvetica"/>
          <w:color w:val="000000"/>
          <w:spacing w:val="3"/>
        </w:rPr>
      </w:pPr>
      <w:r>
        <w:rPr>
          <w:rFonts w:ascii="Helvetica" w:hAnsi="Helvetica" w:cs="Helvetica"/>
          <w:color w:val="000000"/>
          <w:spacing w:val="3"/>
        </w:rPr>
        <w:t>MGTP has 16- and 48-capillary (pictured above) ABI genetic analysers and offers fee-for service se</w:t>
      </w:r>
      <w:r>
        <w:rPr>
          <w:rFonts w:ascii="Helvetica" w:hAnsi="Helvetica" w:cs="Helvetica"/>
          <w:color w:val="000000"/>
          <w:spacing w:val="3"/>
        </w:rPr>
        <w:t xml:space="preserve">quencing and genotyping. </w:t>
      </w:r>
    </w:p>
    <w:p w:rsidR="00000000" w:rsidRDefault="00F11322">
      <w:pPr>
        <w:numPr>
          <w:ilvl w:val="0"/>
          <w:numId w:val="1"/>
        </w:numPr>
        <w:shd w:val="clear" w:color="auto" w:fill="0C304A"/>
        <w:ind w:left="225"/>
        <w:divId w:val="2090420334"/>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14:anchorId="47B137A9" wp14:editId="74B1283B">
            <wp:extent cx="4800600" cy="3152775"/>
            <wp:effectExtent l="0" t="0" r="0" b="9525"/>
            <wp:docPr id="2" name="Picture 2" descr="http://research.unimelb.edu.au/images/infrastructure/next_gen_t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earch.unimelb.edu.au/images/infrastructure/next_gen_tile.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r>
        <w:rPr>
          <w:rStyle w:val="Strong"/>
          <w:rFonts w:ascii="Helvetica" w:eastAsia="Times New Roman" w:hAnsi="Helvetica" w:cs="Helvetica"/>
          <w:color w:val="000000"/>
          <w:spacing w:val="3"/>
        </w:rPr>
        <w:t>Next Generation Sequencing</w:t>
      </w:r>
      <w:r>
        <w:rPr>
          <w:rFonts w:ascii="Helvetica" w:eastAsia="Times New Roman" w:hAnsi="Helvetica" w:cs="Helvetica"/>
          <w:color w:val="000000"/>
          <w:spacing w:val="3"/>
        </w:rPr>
        <w:t xml:space="preserve"> </w:t>
      </w:r>
    </w:p>
    <w:p w:rsidR="00000000" w:rsidRDefault="00F11322">
      <w:pPr>
        <w:shd w:val="clear" w:color="auto" w:fill="0C304A"/>
        <w:ind w:left="225"/>
        <w:divId w:val="2090420334"/>
        <w:rPr>
          <w:rFonts w:ascii="Helvetica" w:hAnsi="Helvetica" w:cs="Helvetica"/>
          <w:color w:val="000000"/>
          <w:spacing w:val="3"/>
        </w:rPr>
      </w:pPr>
      <w:proofErr w:type="spellStart"/>
      <w:r>
        <w:rPr>
          <w:rFonts w:ascii="Helvetica" w:hAnsi="Helvetica" w:cs="Helvetica"/>
          <w:color w:val="000000"/>
          <w:spacing w:val="3"/>
        </w:rPr>
        <w:t>Illumina</w:t>
      </w:r>
      <w:proofErr w:type="spellEnd"/>
      <w:r>
        <w:rPr>
          <w:rFonts w:ascii="Helvetica" w:hAnsi="Helvetica" w:cs="Helvetica"/>
          <w:color w:val="000000"/>
          <w:spacing w:val="3"/>
        </w:rPr>
        <w:t xml:space="preserve"> HiSeq2500 (pictured above) and </w:t>
      </w:r>
      <w:proofErr w:type="spellStart"/>
      <w:r>
        <w:rPr>
          <w:rFonts w:ascii="Helvetica" w:hAnsi="Helvetica" w:cs="Helvetica"/>
          <w:color w:val="000000"/>
          <w:spacing w:val="3"/>
        </w:rPr>
        <w:t>MiSeq</w:t>
      </w:r>
      <w:proofErr w:type="spellEnd"/>
      <w:r>
        <w:rPr>
          <w:rFonts w:ascii="Helvetica" w:hAnsi="Helvetica" w:cs="Helvetica"/>
          <w:color w:val="000000"/>
          <w:spacing w:val="3"/>
        </w:rPr>
        <w:t xml:space="preserve"> leverages massively parallel sequencing technology for whole genome, transcriptome and </w:t>
      </w:r>
      <w:proofErr w:type="spellStart"/>
      <w:r>
        <w:rPr>
          <w:rFonts w:ascii="Helvetica" w:hAnsi="Helvetica" w:cs="Helvetica"/>
          <w:color w:val="000000"/>
          <w:spacing w:val="3"/>
        </w:rPr>
        <w:t>exome</w:t>
      </w:r>
      <w:proofErr w:type="spellEnd"/>
      <w:r>
        <w:rPr>
          <w:rFonts w:ascii="Helvetica" w:hAnsi="Helvetica" w:cs="Helvetica"/>
          <w:color w:val="000000"/>
          <w:spacing w:val="3"/>
        </w:rPr>
        <w:t xml:space="preserve"> analysis. </w:t>
      </w:r>
    </w:p>
    <w:p w:rsidR="00000000" w:rsidRDefault="00F11322">
      <w:pPr>
        <w:shd w:val="clear" w:color="auto" w:fill="0C304A"/>
        <w:divId w:val="2090420334"/>
        <w:rPr>
          <w:rFonts w:ascii="Helvetica" w:hAnsi="Helvetica" w:cs="Helvetica"/>
          <w:color w:val="000000"/>
          <w:spacing w:val="3"/>
        </w:rPr>
      </w:pPr>
      <w:r>
        <w:rPr>
          <w:rFonts w:ascii="Helvetica" w:hAnsi="Helvetica" w:cs="Helvetica"/>
          <w:color w:val="000000"/>
          <w:spacing w:val="3"/>
        </w:rPr>
        <w:t>Importantly, the Genomics Platform personnel have considerable expertise in ge</w:t>
      </w:r>
      <w:r>
        <w:rPr>
          <w:rFonts w:ascii="Helvetica" w:hAnsi="Helvetica" w:cs="Helvetica"/>
          <w:color w:val="000000"/>
          <w:spacing w:val="3"/>
        </w:rPr>
        <w:t>nomic and genetic analysis, clinical and research sample processing and bioinformatics, and can provide training on all available technologies.</w:t>
      </w:r>
    </w:p>
    <w:p w:rsidR="00000000" w:rsidRDefault="00F11322">
      <w:pPr>
        <w:shd w:val="clear" w:color="auto" w:fill="0C304A"/>
        <w:divId w:val="2090420334"/>
        <w:rPr>
          <w:rFonts w:ascii="Helvetica" w:hAnsi="Helvetica" w:cs="Helvetica"/>
          <w:color w:val="000000"/>
          <w:spacing w:val="3"/>
        </w:rPr>
      </w:pPr>
      <w:r>
        <w:rPr>
          <w:rFonts w:ascii="Helvetica" w:hAnsi="Helvetica" w:cs="Helvetica"/>
          <w:color w:val="000000"/>
          <w:spacing w:val="3"/>
        </w:rPr>
        <w:t>The Melbourne Translation Genomics Platform provides open access to all researchers on a fee-for-service basis.</w:t>
      </w:r>
    </w:p>
    <w:p w:rsidR="00000000" w:rsidRDefault="00F11322">
      <w:pPr>
        <w:shd w:val="clear" w:color="auto" w:fill="0C304A"/>
        <w:divId w:val="847864802"/>
        <w:rPr>
          <w:rFonts w:ascii="Helvetica" w:eastAsia="Times New Roman" w:hAnsi="Helvetica" w:cs="Helvetica"/>
          <w:color w:val="000000"/>
        </w:rPr>
      </w:pPr>
      <w:r>
        <w:rPr>
          <w:rFonts w:ascii="Helvetica" w:eastAsia="Times New Roman" w:hAnsi="Helvetica" w:cs="Helvetica"/>
          <w:color w:val="000000"/>
        </w:rPr>
        <w:t>Enquiries</w:t>
      </w:r>
    </w:p>
    <w:p w:rsidR="00000000" w:rsidRDefault="00F11322">
      <w:pPr>
        <w:shd w:val="clear" w:color="auto" w:fill="0C304A"/>
        <w:ind w:left="720"/>
        <w:divId w:val="847864802"/>
        <w:rPr>
          <w:rFonts w:ascii="Helvetica" w:eastAsia="Times New Roman" w:hAnsi="Helvetica" w:cs="Helvetica"/>
          <w:color w:val="000000"/>
        </w:rPr>
      </w:pPr>
      <w:r>
        <w:rPr>
          <w:rFonts w:ascii="Helvetica" w:eastAsia="Times New Roman" w:hAnsi="Helvetica" w:cs="Helvetica"/>
          <w:color w:val="000000"/>
        </w:rPr>
        <w:t>Rachel Ramsdale</w:t>
      </w:r>
    </w:p>
    <w:p w:rsidR="00000000" w:rsidRDefault="00F11322">
      <w:pPr>
        <w:shd w:val="clear" w:color="auto" w:fill="0C304A"/>
        <w:divId w:val="847864802"/>
        <w:rPr>
          <w:rFonts w:ascii="Helvetica" w:eastAsia="Times New Roman" w:hAnsi="Helvetica" w:cs="Helvetica"/>
          <w:color w:val="000000"/>
        </w:rPr>
      </w:pPr>
      <w:r>
        <w:rPr>
          <w:rFonts w:ascii="Helvetica" w:eastAsia="Times New Roman" w:hAnsi="Helvetica" w:cs="Helvetica"/>
          <w:color w:val="000000"/>
        </w:rPr>
        <w:t>Phone</w:t>
      </w:r>
    </w:p>
    <w:p w:rsidR="00000000" w:rsidRDefault="00F11322">
      <w:pPr>
        <w:shd w:val="clear" w:color="auto" w:fill="0C304A"/>
        <w:ind w:left="720"/>
        <w:divId w:val="847864802"/>
        <w:rPr>
          <w:rFonts w:ascii="Helvetica" w:eastAsia="Times New Roman" w:hAnsi="Helvetica" w:cs="Helvetica"/>
          <w:color w:val="000000"/>
        </w:rPr>
      </w:pPr>
      <w:hyperlink r:id="rId11" w:history="1">
        <w:r>
          <w:rPr>
            <w:rFonts w:ascii="Helvetica" w:eastAsia="Times New Roman" w:hAnsi="Helvetica" w:cs="Helvetica"/>
            <w:color w:val="0076DE"/>
            <w:u w:val="single"/>
          </w:rPr>
          <w:t>+61 3 9035 3636</w:t>
        </w:r>
      </w:hyperlink>
    </w:p>
    <w:p w:rsidR="00000000" w:rsidRDefault="00F11322">
      <w:pPr>
        <w:shd w:val="clear" w:color="auto" w:fill="0C304A"/>
        <w:divId w:val="847864802"/>
        <w:rPr>
          <w:rFonts w:ascii="Helvetica" w:eastAsia="Times New Roman" w:hAnsi="Helvetica" w:cs="Helvetica"/>
          <w:color w:val="000000"/>
        </w:rPr>
      </w:pPr>
      <w:r>
        <w:rPr>
          <w:rFonts w:ascii="Helvetica" w:eastAsia="Times New Roman" w:hAnsi="Helvetica" w:cs="Helvetica"/>
          <w:color w:val="000000"/>
        </w:rPr>
        <w:t>Email</w:t>
      </w:r>
    </w:p>
    <w:p w:rsidR="00000000" w:rsidRDefault="00F11322">
      <w:pPr>
        <w:shd w:val="clear" w:color="auto" w:fill="0C304A"/>
        <w:ind w:left="720"/>
        <w:divId w:val="847864802"/>
        <w:rPr>
          <w:rFonts w:ascii="Helvetica" w:eastAsia="Times New Roman" w:hAnsi="Helvetica" w:cs="Helvetica"/>
          <w:color w:val="000000"/>
        </w:rPr>
      </w:pPr>
      <w:hyperlink r:id="rId12" w:history="1">
        <w:r>
          <w:rPr>
            <w:rFonts w:ascii="Helvetica" w:eastAsia="Times New Roman" w:hAnsi="Helvetica" w:cs="Helvetica"/>
            <w:color w:val="0076DE"/>
            <w:u w:val="single"/>
          </w:rPr>
          <w:t>rachel.ramsdale@unimelb.edu.au</w:t>
        </w:r>
      </w:hyperlink>
    </w:p>
    <w:p w:rsidR="00000000" w:rsidRDefault="00F11322">
      <w:pPr>
        <w:numPr>
          <w:ilvl w:val="0"/>
          <w:numId w:val="2"/>
        </w:numPr>
        <w:shd w:val="clear" w:color="auto" w:fill="0C304A"/>
        <w:ind w:left="225"/>
        <w:divId w:val="1026061157"/>
        <w:rPr>
          <w:rFonts w:ascii="Helvetica" w:eastAsia="Times New Roman" w:hAnsi="Helvetica" w:cs="Helvetica"/>
          <w:color w:val="000000"/>
          <w:spacing w:val="3"/>
        </w:rPr>
      </w:pPr>
      <w:hyperlink r:id="rId13"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F11322">
      <w:pPr>
        <w:numPr>
          <w:ilvl w:val="0"/>
          <w:numId w:val="2"/>
        </w:numPr>
        <w:shd w:val="clear" w:color="auto" w:fill="0C304A"/>
        <w:ind w:left="225"/>
        <w:divId w:val="1026061157"/>
        <w:rPr>
          <w:rFonts w:ascii="Helvetica" w:eastAsia="Times New Roman" w:hAnsi="Helvetica" w:cs="Helvetica"/>
          <w:color w:val="000000"/>
          <w:spacing w:val="3"/>
        </w:rPr>
      </w:pPr>
      <w:hyperlink r:id="rId14"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F11322">
      <w:pPr>
        <w:numPr>
          <w:ilvl w:val="0"/>
          <w:numId w:val="2"/>
        </w:numPr>
        <w:shd w:val="clear" w:color="auto" w:fill="0C304A"/>
        <w:ind w:left="225"/>
        <w:divId w:val="1026061157"/>
        <w:rPr>
          <w:rFonts w:ascii="Helvetica" w:eastAsia="Times New Roman" w:hAnsi="Helvetica" w:cs="Helvetica"/>
          <w:color w:val="000000"/>
          <w:spacing w:val="3"/>
        </w:rPr>
      </w:pPr>
      <w:hyperlink r:id="rId15"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F11322">
      <w:pPr>
        <w:shd w:val="clear" w:color="auto" w:fill="0C304A"/>
        <w:spacing w:line="360" w:lineRule="atLeast"/>
        <w:outlineLvl w:val="2"/>
        <w:divId w:val="680161248"/>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F11322">
      <w:pPr>
        <w:numPr>
          <w:ilvl w:val="0"/>
          <w:numId w:val="3"/>
        </w:numPr>
        <w:shd w:val="clear" w:color="auto" w:fill="0C304A"/>
        <w:ind w:left="225"/>
        <w:divId w:val="680161248"/>
        <w:rPr>
          <w:rFonts w:ascii="Helvetica" w:eastAsia="Times New Roman" w:hAnsi="Helvetica" w:cs="Helvetica"/>
          <w:color w:val="000000"/>
          <w:spacing w:val="3"/>
        </w:rPr>
      </w:pPr>
      <w:hyperlink r:id="rId16"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F11322">
      <w:pPr>
        <w:numPr>
          <w:ilvl w:val="0"/>
          <w:numId w:val="3"/>
        </w:numPr>
        <w:shd w:val="clear" w:color="auto" w:fill="0C304A"/>
        <w:ind w:left="225"/>
        <w:divId w:val="680161248"/>
        <w:rPr>
          <w:rFonts w:ascii="Helvetica" w:eastAsia="Times New Roman" w:hAnsi="Helvetica" w:cs="Helvetica"/>
          <w:color w:val="000000"/>
          <w:spacing w:val="3"/>
        </w:rPr>
      </w:pPr>
      <w:hyperlink r:id="rId17"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F11322">
      <w:pPr>
        <w:numPr>
          <w:ilvl w:val="0"/>
          <w:numId w:val="3"/>
        </w:numPr>
        <w:shd w:val="clear" w:color="auto" w:fill="0C304A"/>
        <w:ind w:left="225"/>
        <w:divId w:val="680161248"/>
        <w:rPr>
          <w:rFonts w:ascii="Helvetica" w:eastAsia="Times New Roman" w:hAnsi="Helvetica" w:cs="Helvetica"/>
          <w:color w:val="000000"/>
          <w:spacing w:val="3"/>
        </w:rPr>
      </w:pPr>
      <w:hyperlink r:id="rId18"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F11322">
      <w:pPr>
        <w:numPr>
          <w:ilvl w:val="0"/>
          <w:numId w:val="3"/>
        </w:numPr>
        <w:shd w:val="clear" w:color="auto" w:fill="0C304A"/>
        <w:ind w:left="225"/>
        <w:divId w:val="680161248"/>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F11322">
      <w:pPr>
        <w:numPr>
          <w:ilvl w:val="1"/>
          <w:numId w:val="4"/>
        </w:numPr>
        <w:shd w:val="clear" w:color="auto" w:fill="0C304A"/>
        <w:ind w:left="450"/>
        <w:divId w:val="808789406"/>
        <w:rPr>
          <w:rFonts w:ascii="Helvetica" w:eastAsia="Times New Roman" w:hAnsi="Helvetica" w:cs="Helvetica"/>
          <w:color w:val="000000"/>
          <w:spacing w:val="3"/>
        </w:rPr>
      </w:pPr>
      <w:hyperlink r:id="rId20"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F11322">
      <w:pPr>
        <w:numPr>
          <w:ilvl w:val="1"/>
          <w:numId w:val="4"/>
        </w:numPr>
        <w:shd w:val="clear" w:color="auto" w:fill="0C304A"/>
        <w:ind w:left="450"/>
        <w:divId w:val="808789406"/>
        <w:rPr>
          <w:rFonts w:ascii="Helvetica" w:eastAsia="Times New Roman" w:hAnsi="Helvetica" w:cs="Helvetica"/>
          <w:color w:val="000000"/>
          <w:spacing w:val="3"/>
        </w:rPr>
      </w:pPr>
      <w:hyperlink r:id="rId21"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F11322">
      <w:pPr>
        <w:numPr>
          <w:ilvl w:val="1"/>
          <w:numId w:val="4"/>
        </w:numPr>
        <w:shd w:val="clear" w:color="auto" w:fill="0C304A"/>
        <w:ind w:left="450"/>
        <w:divId w:val="808789406"/>
        <w:rPr>
          <w:rFonts w:ascii="Helvetica" w:eastAsia="Times New Roman" w:hAnsi="Helvetica" w:cs="Helvetica"/>
          <w:color w:val="000000"/>
          <w:spacing w:val="3"/>
        </w:rPr>
      </w:pPr>
      <w:hyperlink r:id="rId22"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F11322">
      <w:pPr>
        <w:numPr>
          <w:ilvl w:val="0"/>
          <w:numId w:val="4"/>
        </w:numPr>
        <w:shd w:val="clear" w:color="auto" w:fill="0C304A"/>
        <w:ind w:left="225"/>
        <w:divId w:val="680161248"/>
        <w:rPr>
          <w:rFonts w:ascii="Helvetica" w:eastAsia="Times New Roman" w:hAnsi="Helvetica" w:cs="Helvetica"/>
          <w:color w:val="000000"/>
          <w:spacing w:val="3"/>
        </w:rPr>
      </w:pPr>
      <w:hyperlink r:id="rId23"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F11322">
      <w:pPr>
        <w:numPr>
          <w:ilvl w:val="1"/>
          <w:numId w:val="4"/>
        </w:numPr>
        <w:shd w:val="clear" w:color="auto" w:fill="0C304A"/>
        <w:ind w:left="450"/>
        <w:divId w:val="932206656"/>
        <w:rPr>
          <w:rFonts w:ascii="Helvetica" w:eastAsia="Times New Roman" w:hAnsi="Helvetica" w:cs="Helvetica"/>
          <w:color w:val="000000"/>
          <w:spacing w:val="3"/>
        </w:rPr>
      </w:pPr>
      <w:hyperlink r:id="rId24"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F11322">
      <w:pPr>
        <w:numPr>
          <w:ilvl w:val="1"/>
          <w:numId w:val="4"/>
        </w:numPr>
        <w:shd w:val="clear" w:color="auto" w:fill="0C304A"/>
        <w:ind w:left="450"/>
        <w:divId w:val="932206656"/>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F11322">
      <w:pPr>
        <w:numPr>
          <w:ilvl w:val="0"/>
          <w:numId w:val="4"/>
        </w:numPr>
        <w:shd w:val="clear" w:color="auto" w:fill="0C304A"/>
        <w:ind w:left="225"/>
        <w:divId w:val="680161248"/>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7EB"/>
    <w:multiLevelType w:val="multilevel"/>
    <w:tmpl w:val="4502D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73FAB"/>
    <w:multiLevelType w:val="multilevel"/>
    <w:tmpl w:val="8B8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D4193"/>
    <w:multiLevelType w:val="multilevel"/>
    <w:tmpl w:val="D9C6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11322"/>
    <w:rsid w:val="00F11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F11322"/>
    <w:rPr>
      <w:rFonts w:ascii="Tahoma" w:hAnsi="Tahoma" w:cs="Tahoma"/>
      <w:sz w:val="16"/>
      <w:szCs w:val="16"/>
    </w:rPr>
  </w:style>
  <w:style w:type="character" w:customStyle="1" w:styleId="BalloonTextChar">
    <w:name w:val="Balloon Text Char"/>
    <w:basedOn w:val="DefaultParagraphFont"/>
    <w:link w:val="BalloonText"/>
    <w:uiPriority w:val="99"/>
    <w:semiHidden/>
    <w:rsid w:val="00F1132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F11322"/>
    <w:rPr>
      <w:rFonts w:ascii="Tahoma" w:hAnsi="Tahoma" w:cs="Tahoma"/>
      <w:sz w:val="16"/>
      <w:szCs w:val="16"/>
    </w:rPr>
  </w:style>
  <w:style w:type="character" w:customStyle="1" w:styleId="BalloonTextChar">
    <w:name w:val="Balloon Text Char"/>
    <w:basedOn w:val="DefaultParagraphFont"/>
    <w:link w:val="BalloonText"/>
    <w:uiPriority w:val="99"/>
    <w:semiHidden/>
    <w:rsid w:val="00F1132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120357">
      <w:marLeft w:val="0"/>
      <w:marRight w:val="0"/>
      <w:marTop w:val="0"/>
      <w:marBottom w:val="0"/>
      <w:divBdr>
        <w:top w:val="none" w:sz="0" w:space="0" w:color="auto"/>
        <w:left w:val="none" w:sz="0" w:space="0" w:color="auto"/>
        <w:bottom w:val="none" w:sz="0" w:space="0" w:color="auto"/>
        <w:right w:val="none" w:sz="0" w:space="0" w:color="auto"/>
      </w:divBdr>
      <w:divsChild>
        <w:div w:id="24214795">
          <w:marLeft w:val="0"/>
          <w:marRight w:val="0"/>
          <w:marTop w:val="0"/>
          <w:marBottom w:val="0"/>
          <w:divBdr>
            <w:top w:val="none" w:sz="0" w:space="0" w:color="auto"/>
            <w:left w:val="none" w:sz="0" w:space="0" w:color="auto"/>
            <w:bottom w:val="none" w:sz="0" w:space="0" w:color="auto"/>
            <w:right w:val="none" w:sz="0" w:space="0" w:color="auto"/>
          </w:divBdr>
          <w:divsChild>
            <w:div w:id="1255820369">
              <w:marLeft w:val="0"/>
              <w:marRight w:val="0"/>
              <w:marTop w:val="0"/>
              <w:marBottom w:val="0"/>
              <w:divBdr>
                <w:top w:val="none" w:sz="0" w:space="0" w:color="auto"/>
                <w:left w:val="none" w:sz="0" w:space="0" w:color="auto"/>
                <w:bottom w:val="none" w:sz="0" w:space="0" w:color="auto"/>
                <w:right w:val="none" w:sz="0" w:space="0" w:color="auto"/>
              </w:divBdr>
            </w:div>
            <w:div w:id="444422927">
              <w:marLeft w:val="0"/>
              <w:marRight w:val="0"/>
              <w:marTop w:val="0"/>
              <w:marBottom w:val="0"/>
              <w:divBdr>
                <w:top w:val="none" w:sz="0" w:space="0" w:color="auto"/>
                <w:left w:val="none" w:sz="0" w:space="0" w:color="auto"/>
                <w:bottom w:val="none" w:sz="0" w:space="0" w:color="auto"/>
                <w:right w:val="none" w:sz="0" w:space="0" w:color="auto"/>
              </w:divBdr>
              <w:divsChild>
                <w:div w:id="1480226233">
                  <w:marLeft w:val="0"/>
                  <w:marRight w:val="0"/>
                  <w:marTop w:val="0"/>
                  <w:marBottom w:val="0"/>
                  <w:divBdr>
                    <w:top w:val="none" w:sz="0" w:space="0" w:color="auto"/>
                    <w:left w:val="none" w:sz="0" w:space="0" w:color="auto"/>
                    <w:bottom w:val="none" w:sz="0" w:space="0" w:color="auto"/>
                    <w:right w:val="none" w:sz="0" w:space="0" w:color="auto"/>
                  </w:divBdr>
                </w:div>
                <w:div w:id="1026061157">
                  <w:marLeft w:val="0"/>
                  <w:marRight w:val="0"/>
                  <w:marTop w:val="0"/>
                  <w:marBottom w:val="0"/>
                  <w:divBdr>
                    <w:top w:val="none" w:sz="0" w:space="0" w:color="auto"/>
                    <w:left w:val="none" w:sz="0" w:space="0" w:color="auto"/>
                    <w:bottom w:val="none" w:sz="0" w:space="0" w:color="auto"/>
                    <w:right w:val="none" w:sz="0" w:space="0" w:color="auto"/>
                  </w:divBdr>
                  <w:divsChild>
                    <w:div w:id="155220597">
                      <w:marLeft w:val="0"/>
                      <w:marRight w:val="0"/>
                      <w:marTop w:val="0"/>
                      <w:marBottom w:val="0"/>
                      <w:divBdr>
                        <w:top w:val="none" w:sz="0" w:space="0" w:color="auto"/>
                        <w:left w:val="none" w:sz="0" w:space="0" w:color="auto"/>
                        <w:bottom w:val="none" w:sz="0" w:space="0" w:color="auto"/>
                        <w:right w:val="none" w:sz="0" w:space="0" w:color="auto"/>
                      </w:divBdr>
                      <w:divsChild>
                        <w:div w:id="847864802">
                          <w:marLeft w:val="0"/>
                          <w:marRight w:val="0"/>
                          <w:marTop w:val="0"/>
                          <w:marBottom w:val="0"/>
                          <w:divBdr>
                            <w:top w:val="none" w:sz="0" w:space="0" w:color="auto"/>
                            <w:left w:val="none" w:sz="0" w:space="0" w:color="auto"/>
                            <w:bottom w:val="none" w:sz="0" w:space="0" w:color="auto"/>
                            <w:right w:val="none" w:sz="0" w:space="0" w:color="auto"/>
                          </w:divBdr>
                          <w:divsChild>
                            <w:div w:id="2090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5471">
                  <w:marLeft w:val="0"/>
                  <w:marRight w:val="0"/>
                  <w:marTop w:val="0"/>
                  <w:marBottom w:val="0"/>
                  <w:divBdr>
                    <w:top w:val="none" w:sz="0" w:space="0" w:color="auto"/>
                    <w:left w:val="none" w:sz="0" w:space="0" w:color="auto"/>
                    <w:bottom w:val="none" w:sz="0" w:space="0" w:color="auto"/>
                    <w:right w:val="none" w:sz="0" w:space="0" w:color="auto"/>
                  </w:divBdr>
                  <w:divsChild>
                    <w:div w:id="680161248">
                      <w:marLeft w:val="0"/>
                      <w:marRight w:val="0"/>
                      <w:marTop w:val="0"/>
                      <w:marBottom w:val="0"/>
                      <w:divBdr>
                        <w:top w:val="none" w:sz="0" w:space="0" w:color="auto"/>
                        <w:left w:val="none" w:sz="0" w:space="0" w:color="auto"/>
                        <w:bottom w:val="none" w:sz="0" w:space="0" w:color="auto"/>
                        <w:right w:val="none" w:sz="0" w:space="0" w:color="auto"/>
                      </w:divBdr>
                      <w:divsChild>
                        <w:div w:id="808789406">
                          <w:marLeft w:val="0"/>
                          <w:marRight w:val="0"/>
                          <w:marTop w:val="0"/>
                          <w:marBottom w:val="0"/>
                          <w:divBdr>
                            <w:top w:val="none" w:sz="0" w:space="0" w:color="auto"/>
                            <w:left w:val="none" w:sz="0" w:space="0" w:color="auto"/>
                            <w:bottom w:val="none" w:sz="0" w:space="0" w:color="auto"/>
                            <w:right w:val="none" w:sz="0" w:space="0" w:color="auto"/>
                          </w:divBdr>
                        </w:div>
                        <w:div w:id="9322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d.path.unimelb.edu.au/electrophoresis-only/index.html" TargetMode="External"/><Relationship Id="rId13" Type="http://schemas.openxmlformats.org/officeDocument/2006/relationships/hyperlink" Target="https://staff.unimelb.edu.au/research" TargetMode="External"/><Relationship Id="rId18" Type="http://schemas.openxmlformats.org/officeDocument/2006/relationships/hyperlink" Target="http://research.unimelb.edu.au/index.html" TargetMode="External"/><Relationship Id="rId26" Type="http://schemas.openxmlformats.org/officeDocument/2006/relationships/hyperlink" Target="http://research.unimelb.edu.au/contact-us.html" TargetMode="External"/><Relationship Id="rId3" Type="http://schemas.microsoft.com/office/2007/relationships/stylesWithEffects" Target="stylesWithEffects.xml"/><Relationship Id="rId21" Type="http://schemas.openxmlformats.org/officeDocument/2006/relationships/hyperlink" Target="http://research.unimelb.edu.au/partner/technology-licensing.html" TargetMode="External"/><Relationship Id="rId7" Type="http://schemas.openxmlformats.org/officeDocument/2006/relationships/hyperlink" Target="http://research.unimelb.edu.au/research-infrastructure.html" TargetMode="External"/><Relationship Id="rId12" Type="http://schemas.openxmlformats.org/officeDocument/2006/relationships/hyperlink" Target="mailto:rachel.ramsdale@unimelb.edu.au?subject=Research%20Infrastructure%20Capabilities%20Enquiry" TargetMode="External"/><Relationship Id="rId17" Type="http://schemas.openxmlformats.org/officeDocument/2006/relationships/hyperlink" Target="http://research.unimelb.edu.au/index.html" TargetMode="External"/><Relationship Id="rId25" Type="http://schemas.openxmlformats.org/officeDocument/2006/relationships/hyperlink" Target="http://research.unimelb.edu.au/how-we-support.html" TargetMode="External"/><Relationship Id="rId2" Type="http://schemas.openxmlformats.org/officeDocument/2006/relationships/styles" Target="styles.xml"/><Relationship Id="rId16" Type="http://schemas.openxmlformats.org/officeDocument/2006/relationships/hyperlink" Target="http://research.unimelb.edu.au/index.html" TargetMode="External"/><Relationship Id="rId20" Type="http://schemas.openxmlformats.org/officeDocument/2006/relationships/hyperlink" Target="http://research.unimelb.edu.au/partner/research-engagement.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hyperlink" Target="tel:0061390359602" TargetMode="External"/><Relationship Id="rId24" Type="http://schemas.openxmlformats.org/officeDocument/2006/relationships/hyperlink" Target="http://research.unimelb.edu.au/index.html" TargetMode="External"/><Relationship Id="rId5" Type="http://schemas.openxmlformats.org/officeDocument/2006/relationships/webSettings" Target="webSettings.xml"/><Relationship Id="rId15" Type="http://schemas.openxmlformats.org/officeDocument/2006/relationships/hyperlink" Target="http://findanexpert.unimelb.edu.au/" TargetMode="External"/><Relationship Id="rId23" Type="http://schemas.openxmlformats.org/officeDocument/2006/relationships/hyperlink" Target="http://research.unimelb.edu.au/" TargetMode="External"/><Relationship Id="rId28" Type="http://schemas.openxmlformats.org/officeDocument/2006/relationships/theme" Target="theme/theme1.xml"/><Relationship Id="rId10" Type="http://schemas.openxmlformats.org/officeDocument/2006/relationships/image" Target="http://research.unimelb.edu.au/images/infrastructure/next_gen_tile.jpg" TargetMode="External"/><Relationship Id="rId19" Type="http://schemas.openxmlformats.org/officeDocument/2006/relationships/hyperlink" Target="http://research.unimelb.edu.au/" TargetMode="External"/><Relationship Id="rId4" Type="http://schemas.openxmlformats.org/officeDocument/2006/relationships/settings" Target="settings.xml"/><Relationship Id="rId9" Type="http://schemas.openxmlformats.org/officeDocument/2006/relationships/image" Target="http://research.unimelb.edu.au/images/infrastructure/sanga_tile.jpg" TargetMode="External"/><Relationship Id="rId14" Type="http://schemas.openxmlformats.org/officeDocument/2006/relationships/hyperlink" Target="http://research.unimelb.edu.au/contact-us.html" TargetMode="External"/><Relationship Id="rId22" Type="http://schemas.openxmlformats.org/officeDocument/2006/relationships/hyperlink" Target="http://research.unimelb.edu.au/partner/program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3156</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Janet Yeo</dc:creator>
  <cp:lastModifiedBy>Janet Yeo </cp:lastModifiedBy>
  <cp:revision>2</cp:revision>
  <dcterms:created xsi:type="dcterms:W3CDTF">2015-12-17T03:46:00Z</dcterms:created>
  <dcterms:modified xsi:type="dcterms:W3CDTF">2015-12-17T03:46:00Z</dcterms:modified>
</cp:coreProperties>
</file>