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69" w:rsidRPr="00062C69" w:rsidRDefault="00062C69" w:rsidP="00062C69">
      <w:pPr>
        <w:spacing w:after="0" w:line="240" w:lineRule="auto"/>
        <w:rPr>
          <w:rFonts w:ascii="Cambria" w:eastAsia="Times New Roman" w:hAnsi="Cambria" w:cs="Times New Roman"/>
          <w:b/>
          <w:sz w:val="32"/>
          <w:szCs w:val="32"/>
        </w:rPr>
      </w:pPr>
      <w:r w:rsidRPr="00062C69">
        <w:rPr>
          <w:rFonts w:ascii="Cambria" w:eastAsia="Times New Roman" w:hAnsi="Cambria" w:cs="Times New Roman"/>
          <w:b/>
          <w:sz w:val="32"/>
          <w:szCs w:val="32"/>
        </w:rPr>
        <w:t>Mechanism for Extracting or Importing Non-PII Data:</w:t>
      </w:r>
    </w:p>
    <w:p w:rsidR="00062C69" w:rsidRPr="00062C69" w:rsidRDefault="00062C69" w:rsidP="00062C69">
      <w:p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</w:p>
    <w:p w:rsidR="00062C69" w:rsidRPr="00062C69" w:rsidRDefault="00062C69" w:rsidP="00062C69">
      <w:p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r w:rsidRPr="00062C69">
        <w:rPr>
          <w:rFonts w:ascii="Cambria" w:eastAsia="Times New Roman" w:hAnsi="Cambria" w:cs="Times New Roman"/>
          <w:sz w:val="24"/>
          <w:szCs w:val="24"/>
        </w:rPr>
        <w:t>The GRS incorporates mechanisms for extracting or importing non-PII data from or into the system in a non-proprietary format. The specific details of this mechanism may depend on the implementation of the GRS. However, some common approaches for extracting or importing non-PII data include:</w:t>
      </w:r>
    </w:p>
    <w:p w:rsidR="00062C69" w:rsidRPr="00062C69" w:rsidRDefault="00062C69" w:rsidP="00062C69">
      <w:p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</w:p>
    <w:p w:rsidR="00062C69" w:rsidRPr="00062C69" w:rsidRDefault="00062C69" w:rsidP="00062C6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sz w:val="24"/>
          <w:szCs w:val="24"/>
        </w:rPr>
      </w:pPr>
      <w:r w:rsidRPr="00062C69">
        <w:rPr>
          <w:rFonts w:ascii="Cambria" w:eastAsia="Times New Roman" w:hAnsi="Cambria" w:cs="Times New Roman"/>
          <w:sz w:val="24"/>
          <w:szCs w:val="24"/>
        </w:rPr>
        <w:t>Data Export/I</w:t>
      </w:r>
      <w:r>
        <w:rPr>
          <w:rFonts w:ascii="Cambria" w:eastAsia="Times New Roman" w:hAnsi="Cambria" w:cs="Times New Roman"/>
          <w:sz w:val="24"/>
          <w:szCs w:val="24"/>
        </w:rPr>
        <w:t>mport Functionality: The GRS</w:t>
      </w:r>
      <w:r w:rsidRPr="00062C69">
        <w:rPr>
          <w:rFonts w:ascii="Cambria" w:eastAsia="Times New Roman" w:hAnsi="Cambria" w:cs="Times New Roman"/>
          <w:sz w:val="24"/>
          <w:szCs w:val="24"/>
        </w:rPr>
        <w:t xml:space="preserve"> offer built-in functionalities within its user interface that allow users with appropriate permissions to initiate the export or import process of non-PII data. This functionality typically supports commonly used non-proprietary formats such as CSV, JSON, or XML.</w:t>
      </w:r>
    </w:p>
    <w:p w:rsidR="00062C69" w:rsidRPr="00062C69" w:rsidRDefault="00062C69" w:rsidP="00062C6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sz w:val="24"/>
          <w:szCs w:val="24"/>
        </w:rPr>
      </w:pPr>
      <w:r w:rsidRPr="00062C69">
        <w:rPr>
          <w:rFonts w:ascii="Cambria" w:eastAsia="Times New Roman" w:hAnsi="Cambria" w:cs="Times New Roman"/>
          <w:sz w:val="24"/>
          <w:szCs w:val="24"/>
        </w:rPr>
        <w:t>API-based Data Exchange: The GRS can provide Application Programming Interfaces (APIs) that enable authorized external systems or applications to programmatically extract or import non-PII data. These APIs ensure standardized endpoints and data formats for seamless integration.</w:t>
      </w:r>
    </w:p>
    <w:p w:rsidR="00062C69" w:rsidRPr="00062C69" w:rsidRDefault="00062C69" w:rsidP="00062C6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sz w:val="24"/>
          <w:szCs w:val="24"/>
        </w:rPr>
      </w:pPr>
      <w:r w:rsidRPr="00062C69">
        <w:rPr>
          <w:rFonts w:ascii="Cambria" w:eastAsia="Times New Roman" w:hAnsi="Cambria" w:cs="Times New Roman"/>
          <w:sz w:val="24"/>
          <w:szCs w:val="24"/>
        </w:rPr>
        <w:t>Data Feed or I</w:t>
      </w:r>
      <w:r>
        <w:rPr>
          <w:rFonts w:ascii="Cambria" w:eastAsia="Times New Roman" w:hAnsi="Cambria" w:cs="Times New Roman"/>
          <w:sz w:val="24"/>
          <w:szCs w:val="24"/>
        </w:rPr>
        <w:t>ntegration Services: The GRS</w:t>
      </w:r>
      <w:r w:rsidRPr="00062C69">
        <w:rPr>
          <w:rFonts w:ascii="Cambria" w:eastAsia="Times New Roman" w:hAnsi="Cambria" w:cs="Times New Roman"/>
          <w:sz w:val="24"/>
          <w:szCs w:val="24"/>
        </w:rPr>
        <w:t xml:space="preserve"> establish data feeds or integration services that facilitate the exchange of non-PII data with external systems or applications. This can involve setting up data pipelines, data synchronization mechanisms, or scheduled data transfers using standard protocols like FTP or HTTP.</w:t>
      </w:r>
    </w:p>
    <w:p w:rsidR="00062C69" w:rsidRPr="00062C69" w:rsidRDefault="00062C69" w:rsidP="00062C6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sz w:val="24"/>
          <w:szCs w:val="24"/>
        </w:rPr>
      </w:pPr>
      <w:r w:rsidRPr="00062C69">
        <w:rPr>
          <w:rFonts w:ascii="Cambria" w:eastAsia="Times New Roman" w:hAnsi="Cambria" w:cs="Times New Roman"/>
          <w:sz w:val="24"/>
          <w:szCs w:val="24"/>
        </w:rPr>
        <w:t>Data Transformation and Mapping: When importing non-PII data into the system, the GRS may include data transformation and mapping capabilities. This ensures that incoming data, even in non-proprietary formats, can be properly processed and integrated into the GRS's data structure.</w:t>
      </w:r>
    </w:p>
    <w:p w:rsidR="00062C69" w:rsidRPr="00062C69" w:rsidRDefault="00062C69" w:rsidP="00062C69">
      <w:p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</w:p>
    <w:p w:rsidR="00062C69" w:rsidRPr="00062C69" w:rsidRDefault="00062C69" w:rsidP="00062C69">
      <w:p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r w:rsidRPr="00062C69">
        <w:rPr>
          <w:rFonts w:ascii="Cambria" w:eastAsia="Times New Roman" w:hAnsi="Cambria" w:cs="Times New Roman"/>
          <w:sz w:val="24"/>
          <w:szCs w:val="24"/>
        </w:rPr>
        <w:t>By employing these mechanisms, the GRS allows for the extraction or import of non-PII data in a non-proprietary format, promoting data interoperability, enhancing data sharing capabilities, and facilitating integration with external systems or applications.</w:t>
      </w:r>
    </w:p>
    <w:p w:rsidR="00C975B1" w:rsidRPr="00062C69" w:rsidRDefault="00C975B1">
      <w:pPr>
        <w:rPr>
          <w:rFonts w:ascii="Cambria" w:hAnsi="Cambria"/>
        </w:rPr>
      </w:pPr>
      <w:bookmarkStart w:id="0" w:name="_GoBack"/>
      <w:bookmarkEnd w:id="0"/>
    </w:p>
    <w:sectPr w:rsidR="00C975B1" w:rsidRPr="0006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6217F"/>
    <w:multiLevelType w:val="multilevel"/>
    <w:tmpl w:val="95E6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63"/>
    <w:rsid w:val="00062C69"/>
    <w:rsid w:val="002C0C63"/>
    <w:rsid w:val="00C9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6DBF"/>
  <w15:chartTrackingRefBased/>
  <w15:docId w15:val="{0D0D671C-9020-4028-9C0B-59BA2400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2023-06-24T04:43:00Z</dcterms:created>
  <dcterms:modified xsi:type="dcterms:W3CDTF">2023-06-24T04:46:00Z</dcterms:modified>
</cp:coreProperties>
</file>