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576A" w14:textId="5668A767" w:rsidR="00B94566" w:rsidRPr="00D054CB" w:rsidRDefault="00C00065">
      <w:pPr>
        <w:rPr>
          <w:rFonts w:ascii="Calibri" w:hAnsi="Calibri" w:cs="Calibri"/>
          <w:b/>
          <w:bCs/>
          <w:sz w:val="28"/>
        </w:rPr>
      </w:pPr>
      <w:r w:rsidRPr="00D054CB">
        <w:rPr>
          <w:rFonts w:ascii="Calibri" w:hAnsi="Calibri" w:cs="Calibri"/>
          <w:b/>
          <w:bCs/>
          <w:sz w:val="28"/>
        </w:rPr>
        <w:t>Open Standards &amp; Best Practices:</w:t>
      </w:r>
    </w:p>
    <w:p w14:paraId="31538C1A" w14:textId="378ECAF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sz w:val="24"/>
          <w:szCs w:val="24"/>
        </w:rPr>
        <w:t xml:space="preserve">Here are some widely recognized open standards and best practices in the context of </w:t>
      </w:r>
      <w:r w:rsidR="00F65E4E">
        <w:rPr>
          <w:rFonts w:ascii="Calibri" w:hAnsi="Calibri" w:cs="Calibri"/>
          <w:sz w:val="24"/>
          <w:szCs w:val="24"/>
        </w:rPr>
        <w:t>GRS</w:t>
      </w:r>
      <w:r w:rsidRPr="00D054CB">
        <w:rPr>
          <w:rFonts w:ascii="Calibri" w:hAnsi="Calibri" w:cs="Calibri"/>
          <w:sz w:val="24"/>
          <w:szCs w:val="24"/>
        </w:rPr>
        <w:t xml:space="preserve"> platform:</w:t>
      </w:r>
    </w:p>
    <w:p w14:paraId="459C5DCF" w14:textId="3B172589" w:rsidR="00D054CB" w:rsidRPr="00D054CB" w:rsidRDefault="00D054CB" w:rsidP="00D054CB">
      <w:pPr>
        <w:rPr>
          <w:rFonts w:ascii="Calibri" w:hAnsi="Calibri" w:cs="Calibri"/>
          <w:b/>
          <w:bCs/>
          <w:sz w:val="28"/>
        </w:rPr>
      </w:pPr>
      <w:r w:rsidRPr="00D054CB">
        <w:rPr>
          <w:rFonts w:ascii="Calibri" w:hAnsi="Calibri" w:cs="Calibri"/>
          <w:b/>
          <w:bCs/>
          <w:sz w:val="28"/>
        </w:rPr>
        <w:t>Open Standards:</w:t>
      </w:r>
    </w:p>
    <w:p w14:paraId="78D115F0" w14:textId="0E073E8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Open Data Protocol (OData):</w:t>
      </w:r>
      <w:r w:rsidRPr="00D054CB">
        <w:rPr>
          <w:rFonts w:ascii="Calibri" w:hAnsi="Calibri" w:cs="Calibri"/>
          <w:sz w:val="24"/>
          <w:szCs w:val="24"/>
        </w:rPr>
        <w:t xml:space="preserve"> A protocol for building and consuming RESTful APIs to enable the publication and consumption of </w:t>
      </w:r>
      <w:r w:rsidR="00D958DA" w:rsidRPr="00D054CB">
        <w:rPr>
          <w:rFonts w:ascii="Calibri" w:hAnsi="Calibri" w:cs="Calibri"/>
          <w:sz w:val="24"/>
          <w:szCs w:val="24"/>
        </w:rPr>
        <w:t>query able</w:t>
      </w:r>
      <w:r w:rsidRPr="00D054CB">
        <w:rPr>
          <w:rFonts w:ascii="Calibri" w:hAnsi="Calibri" w:cs="Calibri"/>
          <w:sz w:val="24"/>
          <w:szCs w:val="24"/>
        </w:rPr>
        <w:t xml:space="preserve"> and interoperable data.</w:t>
      </w:r>
    </w:p>
    <w:p w14:paraId="25597925" w14:textId="001F083F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Resource Description Framework (RDF):</w:t>
      </w:r>
      <w:r w:rsidRPr="00D054CB">
        <w:rPr>
          <w:rFonts w:ascii="Calibri" w:hAnsi="Calibri" w:cs="Calibri"/>
          <w:sz w:val="24"/>
          <w:szCs w:val="24"/>
        </w:rPr>
        <w:t xml:space="preserve"> A standard for describing resources and their relationships using a flexible data model, allowing for semantic interoperability and data integration.</w:t>
      </w:r>
    </w:p>
    <w:p w14:paraId="510F13B8" w14:textId="418C076B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GeoJSON:</w:t>
      </w:r>
      <w:r w:rsidRPr="00D054CB">
        <w:rPr>
          <w:rFonts w:ascii="Calibri" w:hAnsi="Calibri" w:cs="Calibri"/>
          <w:sz w:val="24"/>
          <w:szCs w:val="24"/>
        </w:rPr>
        <w:t xml:space="preserve"> A format for encoding geographic data structures, enabling the representation of location-based information in a standardized and interoperable manner.</w:t>
      </w:r>
    </w:p>
    <w:p w14:paraId="6E675377" w14:textId="34057CFE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W3C Web Annotation Data Model:</w:t>
      </w:r>
      <w:r w:rsidRPr="00D054CB">
        <w:rPr>
          <w:rFonts w:ascii="Calibri" w:hAnsi="Calibri" w:cs="Calibri"/>
          <w:sz w:val="24"/>
          <w:szCs w:val="24"/>
        </w:rPr>
        <w:t xml:space="preserve"> A standard for annotating web-based resources, allowing users to associate comments, tags, and other metadata with specific parts of a document or webpage.</w:t>
      </w:r>
    </w:p>
    <w:p w14:paraId="0CF9E642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Dublin Core Metadata Element Set:</w:t>
      </w:r>
      <w:r w:rsidRPr="00D054CB">
        <w:rPr>
          <w:rFonts w:ascii="Calibri" w:hAnsi="Calibri" w:cs="Calibri"/>
          <w:sz w:val="24"/>
          <w:szCs w:val="24"/>
        </w:rPr>
        <w:t xml:space="preserve"> A set of metadata terms for describing resources, facilitating the discovery and management of information resources.</w:t>
      </w:r>
    </w:p>
    <w:p w14:paraId="6A032659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</w:p>
    <w:p w14:paraId="45CC8FA4" w14:textId="5198DFC8" w:rsidR="00D054CB" w:rsidRPr="00D054CB" w:rsidRDefault="00D054CB" w:rsidP="00D054CB">
      <w:pPr>
        <w:rPr>
          <w:rFonts w:ascii="Calibri" w:hAnsi="Calibri" w:cs="Calibri"/>
          <w:b/>
          <w:bCs/>
          <w:sz w:val="28"/>
        </w:rPr>
      </w:pPr>
      <w:r w:rsidRPr="00D054CB">
        <w:rPr>
          <w:rFonts w:ascii="Calibri" w:hAnsi="Calibri" w:cs="Calibri"/>
          <w:b/>
          <w:bCs/>
          <w:sz w:val="28"/>
        </w:rPr>
        <w:t>Best Practices:</w:t>
      </w:r>
    </w:p>
    <w:p w14:paraId="0901A6D5" w14:textId="70CDEEBE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FAIR Data Principles</w:t>
      </w:r>
      <w:r w:rsidRPr="00D054CB">
        <w:rPr>
          <w:rFonts w:ascii="Calibri" w:hAnsi="Calibri" w:cs="Calibri"/>
          <w:sz w:val="24"/>
          <w:szCs w:val="24"/>
        </w:rPr>
        <w:t>: The FAIR (Findable, Accessible, Interoperable, and Reusable) principles provide guidelines for enhancing the discoverability, accessibility, and usability of data.</w:t>
      </w:r>
    </w:p>
    <w:p w14:paraId="3ECCF26D" w14:textId="274CEF3A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OpenAPI Specification</w:t>
      </w:r>
      <w:r w:rsidRPr="00D054CB">
        <w:rPr>
          <w:rFonts w:ascii="Calibri" w:hAnsi="Calibri" w:cs="Calibri"/>
          <w:sz w:val="24"/>
          <w:szCs w:val="24"/>
        </w:rPr>
        <w:t>: A specification for designing and documenting RESTful APIs, promoting interoperability, and enabling automated API discovery.</w:t>
      </w:r>
    </w:p>
    <w:p w14:paraId="774DF7F3" w14:textId="4D8255D1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Linked Data Best Practices</w:t>
      </w:r>
      <w:r w:rsidRPr="00D054CB">
        <w:rPr>
          <w:rFonts w:ascii="Calibri" w:hAnsi="Calibri" w:cs="Calibri"/>
          <w:sz w:val="24"/>
          <w:szCs w:val="24"/>
        </w:rPr>
        <w:t>: A set of principles and guidelines for publishing and linking structured data on the web, allowing for the integration and enrichment of data from multiple sources.</w:t>
      </w:r>
    </w:p>
    <w:p w14:paraId="53C2EFA3" w14:textId="1C231349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Data Licensing Best Practices</w:t>
      </w:r>
      <w:r w:rsidRPr="00D054CB">
        <w:rPr>
          <w:rFonts w:ascii="Calibri" w:hAnsi="Calibri" w:cs="Calibri"/>
          <w:sz w:val="24"/>
          <w:szCs w:val="24"/>
        </w:rPr>
        <w:t>: Practices for applying open licenses to data, ensuring legal clarity, and promoting data reuse and sharing.</w:t>
      </w:r>
    </w:p>
    <w:p w14:paraId="787028A9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b/>
          <w:bCs/>
          <w:sz w:val="24"/>
          <w:szCs w:val="24"/>
        </w:rPr>
        <w:t>Data Quality Best Practices</w:t>
      </w:r>
      <w:r w:rsidRPr="00D054CB">
        <w:rPr>
          <w:rFonts w:ascii="Calibri" w:hAnsi="Calibri" w:cs="Calibri"/>
          <w:sz w:val="24"/>
          <w:szCs w:val="24"/>
        </w:rPr>
        <w:t>: Guidelines for ensuring data quality, including data validation, documentation, versioning, and transparency about data sources and limitations.</w:t>
      </w:r>
    </w:p>
    <w:p w14:paraId="01D4E38B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</w:p>
    <w:p w14:paraId="5F2A009E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sz w:val="24"/>
          <w:szCs w:val="24"/>
        </w:rPr>
        <w:lastRenderedPageBreak/>
        <w:t>Data Governance and Data Management Best Practices: Practices for effective data governance, including data stewardship, metadata management, data lifecycle management, and privacy considerations.</w:t>
      </w:r>
    </w:p>
    <w:p w14:paraId="6966A549" w14:textId="77777777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</w:p>
    <w:p w14:paraId="07EB0725" w14:textId="48CAB9E3" w:rsidR="00D054CB" w:rsidRPr="00D054CB" w:rsidRDefault="00D054CB" w:rsidP="00D054CB">
      <w:pPr>
        <w:rPr>
          <w:rFonts w:ascii="Calibri" w:hAnsi="Calibri" w:cs="Calibri"/>
          <w:sz w:val="24"/>
          <w:szCs w:val="24"/>
        </w:rPr>
      </w:pPr>
      <w:r w:rsidRPr="00D054CB">
        <w:rPr>
          <w:rFonts w:ascii="Calibri" w:hAnsi="Calibri" w:cs="Calibri"/>
          <w:sz w:val="24"/>
          <w:szCs w:val="24"/>
        </w:rPr>
        <w:t xml:space="preserve">These are some examples of open standards and best practices commonly associated with open data platforms. The specific standards and practices adopted by the </w:t>
      </w:r>
      <w:r w:rsidR="00C373DD">
        <w:rPr>
          <w:rFonts w:ascii="Calibri" w:hAnsi="Calibri" w:cs="Calibri"/>
          <w:sz w:val="24"/>
          <w:szCs w:val="24"/>
        </w:rPr>
        <w:t xml:space="preserve">GRS </w:t>
      </w:r>
      <w:r w:rsidRPr="00D054CB">
        <w:rPr>
          <w:rFonts w:ascii="Calibri" w:hAnsi="Calibri" w:cs="Calibri"/>
          <w:sz w:val="24"/>
          <w:szCs w:val="24"/>
        </w:rPr>
        <w:t>platform may vary and would depend on the platform's design, objectives, and implementation choices.</w:t>
      </w:r>
    </w:p>
    <w:sectPr w:rsidR="00D054CB" w:rsidRPr="00D0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D77"/>
    <w:multiLevelType w:val="multilevel"/>
    <w:tmpl w:val="77D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C97"/>
    <w:multiLevelType w:val="multilevel"/>
    <w:tmpl w:val="714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3E27"/>
    <w:multiLevelType w:val="multilevel"/>
    <w:tmpl w:val="389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517B"/>
    <w:multiLevelType w:val="multilevel"/>
    <w:tmpl w:val="47F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03D7"/>
    <w:multiLevelType w:val="multilevel"/>
    <w:tmpl w:val="E6C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F6E76"/>
    <w:multiLevelType w:val="multilevel"/>
    <w:tmpl w:val="E0F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E5E63"/>
    <w:multiLevelType w:val="multilevel"/>
    <w:tmpl w:val="8114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D15BF"/>
    <w:multiLevelType w:val="multilevel"/>
    <w:tmpl w:val="DE5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403BC"/>
    <w:multiLevelType w:val="multilevel"/>
    <w:tmpl w:val="09C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47A7F"/>
    <w:multiLevelType w:val="multilevel"/>
    <w:tmpl w:val="687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050F6"/>
    <w:multiLevelType w:val="multilevel"/>
    <w:tmpl w:val="47A0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04E4B"/>
    <w:multiLevelType w:val="multilevel"/>
    <w:tmpl w:val="9414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D0807"/>
    <w:multiLevelType w:val="multilevel"/>
    <w:tmpl w:val="4AB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E02B1"/>
    <w:multiLevelType w:val="multilevel"/>
    <w:tmpl w:val="F81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3762F"/>
    <w:multiLevelType w:val="multilevel"/>
    <w:tmpl w:val="569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66EFE"/>
    <w:multiLevelType w:val="multilevel"/>
    <w:tmpl w:val="A76E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D593A"/>
    <w:multiLevelType w:val="multilevel"/>
    <w:tmpl w:val="B0A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15"/>
  </w:num>
  <w:num w:numId="11">
    <w:abstractNumId w:val="2"/>
  </w:num>
  <w:num w:numId="12">
    <w:abstractNumId w:val="12"/>
  </w:num>
  <w:num w:numId="13">
    <w:abstractNumId w:val="7"/>
  </w:num>
  <w:num w:numId="14">
    <w:abstractNumId w:val="6"/>
  </w:num>
  <w:num w:numId="15">
    <w:abstractNumId w:val="3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5"/>
    <w:rsid w:val="00755052"/>
    <w:rsid w:val="009E0A51"/>
    <w:rsid w:val="00AD1A6D"/>
    <w:rsid w:val="00C00065"/>
    <w:rsid w:val="00C373DD"/>
    <w:rsid w:val="00D054CB"/>
    <w:rsid w:val="00D958DA"/>
    <w:rsid w:val="00E00317"/>
    <w:rsid w:val="00E52DF0"/>
    <w:rsid w:val="00F6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C543"/>
  <w15:chartTrackingRefBased/>
  <w15:docId w15:val="{8ABD7B1A-8DC0-48D1-BC74-3AE47BC1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C00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C00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06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00065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C0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00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Ashfaque Ul Abir</dc:creator>
  <cp:keywords/>
  <dc:description/>
  <cp:lastModifiedBy>Md. Ashfaque Ul Abir</cp:lastModifiedBy>
  <cp:revision>15</cp:revision>
  <dcterms:created xsi:type="dcterms:W3CDTF">2023-06-26T03:28:00Z</dcterms:created>
  <dcterms:modified xsi:type="dcterms:W3CDTF">2023-07-06T10:26:00Z</dcterms:modified>
</cp:coreProperties>
</file>