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5F11" w14:textId="2B28D72B" w:rsidR="00EC5343" w:rsidRDefault="00EC5343" w:rsidP="00EC5343">
      <w:r w:rsidRPr="00EC5343">
        <w:rPr>
          <w:b/>
          <w:bCs/>
        </w:rPr>
        <w:t>Integrity: The Insurance Industry’s Prerequisite for Trustworthy Digital</w:t>
      </w:r>
      <w:r w:rsidRPr="00EC5343">
        <w:rPr>
          <w:b/>
          <w:bCs/>
        </w:rPr>
        <w:noBreakHyphen/>
        <w:t>Twin Adoption</w:t>
      </w:r>
      <w:r w:rsidRPr="00EC5343">
        <w:br/>
      </w:r>
      <w:r w:rsidRPr="00EC5343">
        <w:rPr>
          <w:i/>
          <w:iCs/>
        </w:rPr>
        <w:t>By Greg Thomason</w:t>
      </w:r>
    </w:p>
    <w:p w14:paraId="4BC26B38" w14:textId="4C3C30E5" w:rsidR="00EC5343" w:rsidRDefault="00EC5343" w:rsidP="00EC5343">
      <w:r w:rsidRPr="00EC5343">
        <w:t>An architectural argument showing how documentation drift undermines digital twins, AI decision systems, and regulatory compliance in modern insurance.</w:t>
      </w:r>
    </w:p>
    <w:p w14:paraId="0CB98A45" w14:textId="77777777" w:rsidR="00EC5343" w:rsidRPr="00EC5343" w:rsidRDefault="00EC5343" w:rsidP="00EC5343"/>
    <w:p w14:paraId="2B298C6F" w14:textId="77777777" w:rsidR="00EC5343" w:rsidRPr="00EC5343" w:rsidRDefault="00EC5343" w:rsidP="00EC5343">
      <w:r w:rsidRPr="00EC5343">
        <w:t>This whitepaper examines a structural problem at the center of modern insurance operations: documentation drift—the silent divergence between real</w:t>
      </w:r>
      <w:r w:rsidRPr="00EC5343">
        <w:noBreakHyphen/>
        <w:t>world events and the digital records, models, and decisions built on top of them. As regulators intensify expectations around transparency, lineage, and auditability, the industry’s legacy documentation model can no longer support the speed, scale, and opacity of AI</w:t>
      </w:r>
      <w:r w:rsidRPr="00EC5343">
        <w:noBreakHyphen/>
        <w:t>mediated workflows.</w:t>
      </w:r>
    </w:p>
    <w:p w14:paraId="73FD3B2A" w14:textId="5DC0D1B4" w:rsidR="00EC5343" w:rsidRPr="00EC5343" w:rsidRDefault="00EC5343" w:rsidP="00EC5343">
      <w:r w:rsidRPr="00EC5343">
        <w:t>The paper traces how drift originates upstream, long before underwriting or claims decisions occur, and shows how it propagates through digital</w:t>
      </w:r>
      <w:r w:rsidRPr="00EC5343">
        <w:noBreakHyphen/>
        <w:t>twin ecosystems, AI decision engines, and model</w:t>
      </w:r>
      <w:r w:rsidRPr="00EC5343">
        <w:noBreakHyphen/>
        <w:t>driven underwriting at machine speed. It demonstrates why digital</w:t>
      </w:r>
      <w:r w:rsidRPr="00EC5343">
        <w:noBreakHyphen/>
        <w:t>twin architectures, despite their promise, cannot be trustworthy without verified, physically grounded inputs</w:t>
      </w:r>
      <w:r>
        <w:t xml:space="preserve">, </w:t>
      </w:r>
      <w:r w:rsidRPr="00EC5343">
        <w:t>a requirement the industry’s current infrastructure cannot meet.</w:t>
      </w:r>
    </w:p>
    <w:p w14:paraId="54D3A6FA" w14:textId="77777777" w:rsidR="00EC5343" w:rsidRPr="00EC5343" w:rsidRDefault="00EC5343" w:rsidP="00EC5343">
      <w:r w:rsidRPr="00EC5343">
        <w:t>To resolve this gap, the paper introduces the concept of a Level</w:t>
      </w:r>
      <w:r w:rsidRPr="00EC5343">
        <w:noBreakHyphen/>
        <w:t>2 Integrity Layer: an upstream verification mechanism that authenticates geolocation, timestamps, device identity, and cross</w:t>
      </w:r>
      <w:r w:rsidRPr="00EC5343">
        <w:noBreakHyphen/>
        <w:t>sensor consistency at the moment of data creation. This layer establishes the trust boundary necessary for digital</w:t>
      </w:r>
      <w:r w:rsidRPr="00EC5343">
        <w:noBreakHyphen/>
        <w:t>twin alignment, AI reliability, and lifecycle</w:t>
      </w:r>
      <w:r w:rsidRPr="00EC5343">
        <w:noBreakHyphen/>
        <w:t>level governance.</w:t>
      </w:r>
    </w:p>
    <w:p w14:paraId="56B9B43D" w14:textId="77777777" w:rsidR="00EC5343" w:rsidRDefault="00EC5343" w:rsidP="00EC5343">
      <w:r w:rsidRPr="00EC5343">
        <w:t>The result is a new architectural model for insurers—one that replaces static documentation with continuously validated, real</w:t>
      </w:r>
      <w:r w:rsidRPr="00EC5343">
        <w:noBreakHyphen/>
        <w:t>world asset truths.</w:t>
      </w:r>
    </w:p>
    <w:p w14:paraId="47C85EF2" w14:textId="38FCBDA1" w:rsidR="00140AA6" w:rsidRPr="00EC5343" w:rsidRDefault="00140AA6" w:rsidP="00140AA6">
      <w:pPr>
        <w:jc w:val="center"/>
      </w:pPr>
      <w:r>
        <w:t>###</w:t>
      </w:r>
    </w:p>
    <w:p w14:paraId="14111317" w14:textId="77777777" w:rsidR="000A7577" w:rsidRDefault="000A7577"/>
    <w:sectPr w:rsidR="000A75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343"/>
    <w:rsid w:val="00082241"/>
    <w:rsid w:val="000A7577"/>
    <w:rsid w:val="00140AA6"/>
    <w:rsid w:val="001521E1"/>
    <w:rsid w:val="00344C43"/>
    <w:rsid w:val="00475989"/>
    <w:rsid w:val="004E505E"/>
    <w:rsid w:val="006416CF"/>
    <w:rsid w:val="00EC5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EF84C"/>
  <w15:chartTrackingRefBased/>
  <w15:docId w15:val="{CDC91A1F-963B-4ED9-AFF1-A7581836D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3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3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3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3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3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3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3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3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3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3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343"/>
    <w:rPr>
      <w:rFonts w:eastAsiaTheme="majorEastAsia" w:cstheme="majorBidi"/>
      <w:color w:val="272727" w:themeColor="text1" w:themeTint="D8"/>
    </w:rPr>
  </w:style>
  <w:style w:type="paragraph" w:styleId="Title">
    <w:name w:val="Title"/>
    <w:basedOn w:val="Normal"/>
    <w:next w:val="Normal"/>
    <w:link w:val="TitleChar"/>
    <w:uiPriority w:val="10"/>
    <w:qFormat/>
    <w:rsid w:val="00EC5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343"/>
    <w:pPr>
      <w:spacing w:before="160"/>
      <w:jc w:val="center"/>
    </w:pPr>
    <w:rPr>
      <w:i/>
      <w:iCs/>
      <w:color w:val="404040" w:themeColor="text1" w:themeTint="BF"/>
    </w:rPr>
  </w:style>
  <w:style w:type="character" w:customStyle="1" w:styleId="QuoteChar">
    <w:name w:val="Quote Char"/>
    <w:basedOn w:val="DefaultParagraphFont"/>
    <w:link w:val="Quote"/>
    <w:uiPriority w:val="29"/>
    <w:rsid w:val="00EC5343"/>
    <w:rPr>
      <w:i/>
      <w:iCs/>
      <w:color w:val="404040" w:themeColor="text1" w:themeTint="BF"/>
    </w:rPr>
  </w:style>
  <w:style w:type="paragraph" w:styleId="ListParagraph">
    <w:name w:val="List Paragraph"/>
    <w:basedOn w:val="Normal"/>
    <w:uiPriority w:val="34"/>
    <w:qFormat/>
    <w:rsid w:val="00EC5343"/>
    <w:pPr>
      <w:ind w:left="720"/>
      <w:contextualSpacing/>
    </w:pPr>
  </w:style>
  <w:style w:type="character" w:styleId="IntenseEmphasis">
    <w:name w:val="Intense Emphasis"/>
    <w:basedOn w:val="DefaultParagraphFont"/>
    <w:uiPriority w:val="21"/>
    <w:qFormat/>
    <w:rsid w:val="00EC5343"/>
    <w:rPr>
      <w:i/>
      <w:iCs/>
      <w:color w:val="0F4761" w:themeColor="accent1" w:themeShade="BF"/>
    </w:rPr>
  </w:style>
  <w:style w:type="paragraph" w:styleId="IntenseQuote">
    <w:name w:val="Intense Quote"/>
    <w:basedOn w:val="Normal"/>
    <w:next w:val="Normal"/>
    <w:link w:val="IntenseQuoteChar"/>
    <w:uiPriority w:val="30"/>
    <w:qFormat/>
    <w:rsid w:val="00EC5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343"/>
    <w:rPr>
      <w:i/>
      <w:iCs/>
      <w:color w:val="0F4761" w:themeColor="accent1" w:themeShade="BF"/>
    </w:rPr>
  </w:style>
  <w:style w:type="character" w:styleId="IntenseReference">
    <w:name w:val="Intense Reference"/>
    <w:basedOn w:val="DefaultParagraphFont"/>
    <w:uiPriority w:val="32"/>
    <w:qFormat/>
    <w:rsid w:val="00EC53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245</Words>
  <Characters>1400</Characters>
  <Application>Microsoft Office Word</Application>
  <DocSecurity>0</DocSecurity>
  <Lines>11</Lines>
  <Paragraphs>3</Paragraphs>
  <ScaleCrop>false</ScaleCrop>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Thomason</dc:creator>
  <cp:keywords/>
  <dc:description/>
  <cp:lastModifiedBy>Greg Thomason</cp:lastModifiedBy>
  <cp:revision>2</cp:revision>
  <dcterms:created xsi:type="dcterms:W3CDTF">2026-03-12T13:27:00Z</dcterms:created>
  <dcterms:modified xsi:type="dcterms:W3CDTF">2026-03-12T13:34:00Z</dcterms:modified>
</cp:coreProperties>
</file>