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7D9" w:rsidRDefault="002A3B3B">
      <w:pPr>
        <w:pStyle w:val="CompanyName"/>
      </w:pPr>
      <w:bookmarkStart w:id="0" w:name="xgraphic"/>
      <w:r>
        <w:t>AGROS</w:t>
      </w:r>
    </w:p>
    <w:p w:rsidR="003757D9" w:rsidRDefault="005543E4" w:rsidP="002A3B3B">
      <w:pPr>
        <w:pStyle w:val="TitleCover"/>
      </w:pPr>
      <w:r w:rsidRPr="005543E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6" type="#_x0000_t202" style="position:absolute;margin-left:144.85pt;margin-top:93.6pt;width:120.25pt;height:17.45pt;z-index:251657728;mso-position-horizontal-relative:page;mso-position-vertical-relative:page" filled="f" stroked="f">
            <v:textbox style="mso-next-textbox:#_x0000_s2066;mso-fit-shape-to-text:t" inset="0">
              <w:txbxContent>
                <w:p w:rsidR="003757D9" w:rsidRDefault="002A3B3B">
                  <w:pPr>
                    <w:ind w:left="0"/>
                    <w:rPr>
                      <w:spacing w:val="4"/>
                      <w:sz w:val="17"/>
                      <w:szCs w:val="17"/>
                    </w:rPr>
                  </w:pPr>
                  <w:r>
                    <w:rPr>
                      <w:spacing w:val="4"/>
                      <w:sz w:val="17"/>
                      <w:szCs w:val="17"/>
                    </w:rPr>
                    <w:t>Agro System</w:t>
                  </w:r>
                </w:p>
              </w:txbxContent>
            </v:textbox>
            <w10:wrap anchorx="page" anchory="page"/>
          </v:shape>
        </w:pict>
      </w:r>
      <w:r w:rsidR="002A3B3B">
        <w:t>R</w:t>
      </w:r>
      <w:bookmarkEnd w:id="0"/>
      <w:r w:rsidR="002A3B3B">
        <w:t>eglas de negocio</w:t>
      </w:r>
    </w:p>
    <w:p w:rsidR="003757D9" w:rsidRDefault="002A3B3B">
      <w:pPr>
        <w:pStyle w:val="SubtitleSecondPage"/>
      </w:pPr>
      <w:r>
        <w:t xml:space="preserve">Sistema </w:t>
      </w:r>
      <w:r w:rsidR="003757D9">
        <w:t xml:space="preserve"> </w:t>
      </w:r>
      <w:r>
        <w:t>de Agro</w:t>
      </w:r>
      <w:r w:rsidR="003757D9">
        <w:br/>
      </w:r>
    </w:p>
    <w:p w:rsidR="003757D9" w:rsidRPr="002A3B3B" w:rsidRDefault="002A3B3B">
      <w:pPr>
        <w:pStyle w:val="Ttulo1"/>
        <w:rPr>
          <w:lang w:val="es-AR"/>
        </w:rPr>
      </w:pPr>
      <w:r w:rsidRPr="002A3B3B">
        <w:rPr>
          <w:lang w:val="es-AR"/>
        </w:rPr>
        <w:t>Ordenes de servicio</w:t>
      </w:r>
    </w:p>
    <w:p w:rsidR="004A7B5E" w:rsidRPr="004A7B5E" w:rsidRDefault="004A7B5E" w:rsidP="004A7B5E">
      <w:pPr>
        <w:pStyle w:val="Textoindependiente"/>
        <w:rPr>
          <w:i/>
          <w:lang w:val="es-AR"/>
        </w:rPr>
      </w:pPr>
    </w:p>
    <w:p w:rsidR="00067E87" w:rsidRDefault="004A7B5E">
      <w:pPr>
        <w:pStyle w:val="Textoindependiente"/>
        <w:rPr>
          <w:lang w:val="es-ES"/>
        </w:rPr>
      </w:pPr>
      <w:r>
        <w:rPr>
          <w:lang w:val="es-AR"/>
        </w:rPr>
        <w:t>El Sistema manejara las solicitudes de los clientes a través de un ítem denominado “Ordenes de servicio”</w:t>
      </w:r>
      <w:r w:rsidR="003757D9">
        <w:rPr>
          <w:lang w:val="es-ES"/>
        </w:rPr>
        <w:t>.</w:t>
      </w:r>
      <w:r>
        <w:rPr>
          <w:lang w:val="es-ES"/>
        </w:rPr>
        <w:t xml:space="preserve"> </w:t>
      </w:r>
      <w:r w:rsidR="00701790">
        <w:rPr>
          <w:lang w:val="es-ES"/>
        </w:rPr>
        <w:t xml:space="preserve">El cual servirá de </w:t>
      </w:r>
      <w:r w:rsidR="00701790" w:rsidRPr="00A11D64">
        <w:rPr>
          <w:lang w:val="es-AR"/>
        </w:rPr>
        <w:t>feedback</w:t>
      </w:r>
      <w:r w:rsidR="00701790">
        <w:rPr>
          <w:lang w:val="es-ES"/>
        </w:rPr>
        <w:t xml:space="preserve"> automático entre el cliente y la empresa. </w:t>
      </w:r>
    </w:p>
    <w:p w:rsidR="00067E87" w:rsidRDefault="00067E87">
      <w:pPr>
        <w:pStyle w:val="Textoindependiente"/>
        <w:rPr>
          <w:lang w:val="es-ES"/>
        </w:rPr>
      </w:pPr>
      <w:r>
        <w:rPr>
          <w:lang w:val="es-ES"/>
        </w:rPr>
        <w:t xml:space="preserve">Se definirán los datos imprescindibles para la generación de los datos a partir de las opciones seleccionadas. Esto es: </w:t>
      </w:r>
    </w:p>
    <w:p w:rsidR="00067E87" w:rsidRDefault="00067E87" w:rsidP="00067E87">
      <w:pPr>
        <w:pStyle w:val="Textoindependiente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Cantidad de </w:t>
      </w:r>
      <w:r w:rsidR="00C73E70">
        <w:rPr>
          <w:lang w:val="es-ES"/>
        </w:rPr>
        <w:t>tiempo (</w:t>
      </w:r>
      <w:r>
        <w:rPr>
          <w:lang w:val="es-ES"/>
        </w:rPr>
        <w:t xml:space="preserve">horas </w:t>
      </w:r>
      <w:r w:rsidR="00C73E70">
        <w:rPr>
          <w:lang w:val="es-ES"/>
        </w:rPr>
        <w:t xml:space="preserve">o días) </w:t>
      </w:r>
      <w:r w:rsidR="007A4641">
        <w:rPr>
          <w:lang w:val="es-ES"/>
        </w:rPr>
        <w:t xml:space="preserve">de horas hombre </w:t>
      </w:r>
      <w:r>
        <w:rPr>
          <w:lang w:val="es-ES"/>
        </w:rPr>
        <w:t>que se necesitan para realizar un determinado servicio.</w:t>
      </w:r>
    </w:p>
    <w:p w:rsidR="00067E87" w:rsidRDefault="00067E87" w:rsidP="00067E87">
      <w:pPr>
        <w:pStyle w:val="Textoindependiente"/>
        <w:numPr>
          <w:ilvl w:val="0"/>
          <w:numId w:val="9"/>
        </w:numPr>
        <w:rPr>
          <w:lang w:val="es-ES"/>
        </w:rPr>
      </w:pPr>
      <w:r>
        <w:rPr>
          <w:lang w:val="es-ES"/>
        </w:rPr>
        <w:t>Costo de cada tarea y/o servicio.</w:t>
      </w:r>
    </w:p>
    <w:p w:rsidR="00067E87" w:rsidRDefault="00067E87" w:rsidP="00067E87">
      <w:pPr>
        <w:pStyle w:val="Textoindependiente"/>
        <w:numPr>
          <w:ilvl w:val="0"/>
          <w:numId w:val="9"/>
        </w:numPr>
        <w:rPr>
          <w:lang w:val="es-ES"/>
        </w:rPr>
      </w:pPr>
      <w:r>
        <w:rPr>
          <w:lang w:val="es-ES"/>
        </w:rPr>
        <w:t>Horas disponibles para cada operario.</w:t>
      </w:r>
    </w:p>
    <w:p w:rsidR="007A4641" w:rsidRDefault="007A4641" w:rsidP="00067E87">
      <w:pPr>
        <w:pStyle w:val="Textoindependiente"/>
        <w:numPr>
          <w:ilvl w:val="0"/>
          <w:numId w:val="9"/>
        </w:numPr>
        <w:rPr>
          <w:lang w:val="es-ES"/>
        </w:rPr>
      </w:pPr>
      <w:r>
        <w:rPr>
          <w:lang w:val="es-ES"/>
        </w:rPr>
        <w:t>Stock de insumos necesarios para cada tarea.</w:t>
      </w:r>
    </w:p>
    <w:p w:rsidR="00067E87" w:rsidRDefault="00067E87">
      <w:pPr>
        <w:pStyle w:val="Textoindependiente"/>
        <w:rPr>
          <w:lang w:val="es-ES"/>
        </w:rPr>
      </w:pPr>
      <w:r>
        <w:rPr>
          <w:lang w:val="es-ES"/>
        </w:rPr>
        <w:t xml:space="preserve">Adicionalmente, se definirán los parámetros opcionales, que también servirán de ayuda para la generación de </w:t>
      </w:r>
      <w:r w:rsidR="00935626">
        <w:rPr>
          <w:lang w:val="es-ES"/>
        </w:rPr>
        <w:t>órdenes</w:t>
      </w:r>
      <w:r>
        <w:rPr>
          <w:lang w:val="es-ES"/>
        </w:rPr>
        <w:t xml:space="preserve"> de servicio:</w:t>
      </w:r>
    </w:p>
    <w:p w:rsidR="00935626" w:rsidRDefault="00935626" w:rsidP="00935626">
      <w:pPr>
        <w:pStyle w:val="Textoindependiente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Horas </w:t>
      </w:r>
      <w:r w:rsidR="007A4641">
        <w:rPr>
          <w:lang w:val="es-ES"/>
        </w:rPr>
        <w:t xml:space="preserve">no </w:t>
      </w:r>
      <w:r>
        <w:rPr>
          <w:lang w:val="es-ES"/>
        </w:rPr>
        <w:t>d</w:t>
      </w:r>
      <w:r w:rsidR="007A4641">
        <w:rPr>
          <w:lang w:val="es-ES"/>
        </w:rPr>
        <w:t>isponibles por</w:t>
      </w:r>
      <w:r>
        <w:rPr>
          <w:lang w:val="es-ES"/>
        </w:rPr>
        <w:t xml:space="preserve"> licencia de operarios.</w:t>
      </w:r>
    </w:p>
    <w:p w:rsidR="00935626" w:rsidRDefault="00935626" w:rsidP="00935626">
      <w:pPr>
        <w:pStyle w:val="Textoindependiente"/>
        <w:numPr>
          <w:ilvl w:val="0"/>
          <w:numId w:val="9"/>
        </w:numPr>
        <w:rPr>
          <w:lang w:val="es-ES"/>
        </w:rPr>
      </w:pPr>
      <w:r>
        <w:rPr>
          <w:lang w:val="es-ES"/>
        </w:rPr>
        <w:t>Días feriados o no laborables.</w:t>
      </w:r>
    </w:p>
    <w:p w:rsidR="00935626" w:rsidRDefault="00C73E70" w:rsidP="00935626">
      <w:pPr>
        <w:pStyle w:val="Textoindependiente"/>
        <w:numPr>
          <w:ilvl w:val="0"/>
          <w:numId w:val="9"/>
        </w:numPr>
        <w:rPr>
          <w:lang w:val="es-ES"/>
        </w:rPr>
      </w:pPr>
      <w:r>
        <w:rPr>
          <w:lang w:val="es-ES"/>
        </w:rPr>
        <w:t>Operarios favoritos  (</w:t>
      </w:r>
      <w:r w:rsidR="007A4641">
        <w:rPr>
          <w:lang w:val="es-ES"/>
        </w:rPr>
        <w:t>E</w:t>
      </w:r>
      <w:r>
        <w:rPr>
          <w:lang w:val="es-ES"/>
        </w:rPr>
        <w:t xml:space="preserve">l cual </w:t>
      </w:r>
      <w:r w:rsidR="007A4641">
        <w:rPr>
          <w:lang w:val="es-ES"/>
        </w:rPr>
        <w:t xml:space="preserve">se </w:t>
      </w:r>
      <w:r>
        <w:rPr>
          <w:lang w:val="es-ES"/>
        </w:rPr>
        <w:t>toma como primera opción siempre).</w:t>
      </w:r>
    </w:p>
    <w:p w:rsidR="00067E87" w:rsidRDefault="00067E87">
      <w:pPr>
        <w:pStyle w:val="Textoindependiente"/>
        <w:rPr>
          <w:lang w:val="es-ES"/>
        </w:rPr>
      </w:pPr>
    </w:p>
    <w:p w:rsidR="00A231F0" w:rsidRDefault="004A7B5E" w:rsidP="007A4641">
      <w:pPr>
        <w:pStyle w:val="Textoindependiente"/>
        <w:rPr>
          <w:lang w:val="es-ES"/>
        </w:rPr>
      </w:pPr>
      <w:r>
        <w:rPr>
          <w:lang w:val="es-ES"/>
        </w:rPr>
        <w:t>Para lo cual, se especifican los siguientes puntos:</w:t>
      </w:r>
    </w:p>
    <w:p w:rsidR="00701790" w:rsidRDefault="00732D69" w:rsidP="00701790">
      <w:pPr>
        <w:pStyle w:val="Textoindependiente"/>
        <w:numPr>
          <w:ilvl w:val="0"/>
          <w:numId w:val="8"/>
        </w:numPr>
        <w:rPr>
          <w:lang w:val="es-ES"/>
        </w:rPr>
      </w:pPr>
      <w:r w:rsidRPr="00732D69">
        <w:rPr>
          <w:lang w:val="es-ES"/>
        </w:rPr>
        <w:t>El sistema brindara un entorno a los clientes para un acceso seguro, cada cliente podrá seleccionar el tipo de servicio que desea, posteriormente elegirá el personal disponible para realizar la tarea y por último la fecha sugerida según disponibilidad, para la realización del trabajo.</w:t>
      </w:r>
    </w:p>
    <w:p w:rsidR="00732D69" w:rsidRDefault="00732D69" w:rsidP="00701790">
      <w:pPr>
        <w:pStyle w:val="Textoindependiente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En caso de que la fecha sugerida no es de agrado del cliente, el mismo podrá o bien seleccionar </w:t>
      </w:r>
      <w:r w:rsidR="00FE013E">
        <w:rPr>
          <w:lang w:val="es-ES"/>
        </w:rPr>
        <w:t>otro personal disponible, o bien cambiar a una fecha futura.</w:t>
      </w:r>
    </w:p>
    <w:p w:rsidR="00FE013E" w:rsidRDefault="00FE013E" w:rsidP="00701790">
      <w:pPr>
        <w:pStyle w:val="Textoindependiente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>Luego de especificar los parámetros imprescindibles, adicionalmente el cliente tendrá la posibilidad de dejarle notas con sugerencias dudas o comentarios al respecto.</w:t>
      </w:r>
    </w:p>
    <w:p w:rsidR="003F3C26" w:rsidRDefault="00FE013E" w:rsidP="00701790">
      <w:pPr>
        <w:pStyle w:val="Textoindependiente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Una vez generada, </w:t>
      </w:r>
      <w:r w:rsidR="008175EC">
        <w:rPr>
          <w:lang w:val="es-ES"/>
        </w:rPr>
        <w:t>dicha orden de servicio nacerá con un estado denominado “Pendiente” y aparecerá en la lista de tareas pendientes para los usuarios seleccionados</w:t>
      </w:r>
      <w:r w:rsidR="003F3C26">
        <w:rPr>
          <w:lang w:val="es-ES"/>
        </w:rPr>
        <w:t xml:space="preserve"> al generarse la misma.</w:t>
      </w:r>
    </w:p>
    <w:p w:rsidR="007A4641" w:rsidRDefault="007A4641" w:rsidP="00701790">
      <w:pPr>
        <w:pStyle w:val="Textoindependiente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El sistema reservara automáticamente el stock de insumos disponibles y también las horas de cada operario asignado dejándolos en estado: “Reservado”, para los dos casos. Si por cualquier inconveniente el cliente decide abortar la orden, podrá hacerlo en cualquier momento, </w:t>
      </w:r>
      <w:r w:rsidR="009C5005">
        <w:rPr>
          <w:lang w:val="es-ES"/>
        </w:rPr>
        <w:t xml:space="preserve">hasta 24 hs antes de la fecha de la ejecución, </w:t>
      </w:r>
      <w:r>
        <w:rPr>
          <w:lang w:val="es-ES"/>
        </w:rPr>
        <w:t xml:space="preserve">pasando dicha orden al estado: “Abortada”, y liberando los recursos dejándolos nuevamente disponibles. </w:t>
      </w:r>
    </w:p>
    <w:p w:rsidR="009C5005" w:rsidRDefault="00A231F0" w:rsidP="00701790">
      <w:pPr>
        <w:pStyle w:val="Textoindependiente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Una vez finalizada la tarea los usuarios con la tarea pendiente </w:t>
      </w:r>
      <w:r w:rsidRPr="00A231F0">
        <w:rPr>
          <w:lang w:val="es-ES"/>
        </w:rPr>
        <w:t>podrá</w:t>
      </w:r>
      <w:r>
        <w:rPr>
          <w:lang w:val="es-ES"/>
        </w:rPr>
        <w:t>n</w:t>
      </w:r>
      <w:r w:rsidRPr="00A231F0">
        <w:rPr>
          <w:lang w:val="es-ES"/>
        </w:rPr>
        <w:t xml:space="preserve"> registrar la tarea como concluida, </w:t>
      </w:r>
      <w:r w:rsidR="009C5005">
        <w:rPr>
          <w:lang w:val="es-ES"/>
        </w:rPr>
        <w:t xml:space="preserve">pasándola al estado “Pre-aprobada” </w:t>
      </w:r>
      <w:r w:rsidRPr="00A231F0">
        <w:rPr>
          <w:lang w:val="es-ES"/>
        </w:rPr>
        <w:t>generando un pedido de aprobación por parte del cliente</w:t>
      </w:r>
      <w:r w:rsidR="009C5005">
        <w:rPr>
          <w:lang w:val="es-ES"/>
        </w:rPr>
        <w:t>.</w:t>
      </w:r>
      <w:r w:rsidR="00C357F5">
        <w:rPr>
          <w:lang w:val="es-ES"/>
        </w:rPr>
        <w:t xml:space="preserve"> Conjuntamente, podrá dejar sugerencias, consejos o advertencias, para informar al cliente los detalles de las tareas ejecutadas.</w:t>
      </w:r>
    </w:p>
    <w:p w:rsidR="002D2A31" w:rsidRDefault="002D2A31" w:rsidP="00701790">
      <w:pPr>
        <w:pStyle w:val="Textoindependiente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El cliente podrá ver todas las órdenes de servicios, las pendientes, las abortadas y las pre-aprobadas. Estas </w:t>
      </w:r>
      <w:r w:rsidR="00C357F5">
        <w:rPr>
          <w:lang w:val="es-ES"/>
        </w:rPr>
        <w:t>últimas</w:t>
      </w:r>
      <w:r>
        <w:rPr>
          <w:lang w:val="es-ES"/>
        </w:rPr>
        <w:t xml:space="preserve"> podrá dar el conforme, dejar comentarios y/o quejas </w:t>
      </w:r>
      <w:r w:rsidR="006357AB">
        <w:rPr>
          <w:lang w:val="es-ES"/>
        </w:rPr>
        <w:t xml:space="preserve">aprobando o desaprobando la misma. Si las desaprueba pasaran al estado “desaprobada”, lo cual significa </w:t>
      </w:r>
      <w:r w:rsidR="00150A68">
        <w:rPr>
          <w:lang w:val="es-ES"/>
        </w:rPr>
        <w:t>que el operario deberá revisarla para cumplir los ítems faltantes, para devolverla al estado “pre-aprobada”.</w:t>
      </w:r>
      <w:r w:rsidR="00C357F5">
        <w:rPr>
          <w:lang w:val="es-ES"/>
        </w:rPr>
        <w:t xml:space="preserve"> Una vez aprobada, se completa el círculo de transición de estados, enviándola al estado final denominado “completada”.</w:t>
      </w:r>
    </w:p>
    <w:p w:rsidR="009C5005" w:rsidRPr="009C5005" w:rsidRDefault="009C5005" w:rsidP="009C5005">
      <w:pPr>
        <w:pStyle w:val="Ttulo1"/>
        <w:rPr>
          <w:lang w:val="es-ES"/>
        </w:rPr>
      </w:pPr>
    </w:p>
    <w:p w:rsidR="009C5005" w:rsidRDefault="009C5005" w:rsidP="009C5005">
      <w:pPr>
        <w:pStyle w:val="Ttulo1"/>
        <w:rPr>
          <w:lang w:val="es-AR"/>
        </w:rPr>
      </w:pPr>
    </w:p>
    <w:p w:rsidR="009C5005" w:rsidRPr="002A3B3B" w:rsidRDefault="009C5005" w:rsidP="009C5005">
      <w:pPr>
        <w:pStyle w:val="Ttulo1"/>
        <w:rPr>
          <w:lang w:val="es-AR"/>
        </w:rPr>
      </w:pPr>
      <w:r>
        <w:rPr>
          <w:lang w:val="es-AR"/>
        </w:rPr>
        <w:t>Facturación</w:t>
      </w:r>
    </w:p>
    <w:p w:rsidR="009C5005" w:rsidRPr="004A7B5E" w:rsidRDefault="009C5005" w:rsidP="009C5005">
      <w:pPr>
        <w:pStyle w:val="Textoindependiente"/>
        <w:rPr>
          <w:i/>
          <w:lang w:val="es-AR"/>
        </w:rPr>
      </w:pPr>
    </w:p>
    <w:p w:rsidR="009C5005" w:rsidRDefault="009C5005" w:rsidP="009C5005">
      <w:pPr>
        <w:pStyle w:val="Textoindependiente"/>
        <w:rPr>
          <w:lang w:val="es-ES"/>
        </w:rPr>
      </w:pPr>
      <w:r>
        <w:rPr>
          <w:lang w:val="es-AR"/>
        </w:rPr>
        <w:t xml:space="preserve">El Sistema manejara la facturación en forma automática e interactiva. </w:t>
      </w:r>
      <w:r w:rsidR="00977B35">
        <w:rPr>
          <w:lang w:val="es-AR"/>
        </w:rPr>
        <w:t>Es decir, teniendo eventos manejados de forma automática, y recibiendo valores generados por el cliente y el usuario con perfil administrativo.</w:t>
      </w:r>
    </w:p>
    <w:p w:rsidR="009C5005" w:rsidRDefault="009C5005" w:rsidP="009C5005">
      <w:pPr>
        <w:pStyle w:val="Textoindependiente"/>
        <w:rPr>
          <w:lang w:val="es-ES"/>
        </w:rPr>
      </w:pPr>
    </w:p>
    <w:p w:rsidR="007A4641" w:rsidRDefault="009C5005" w:rsidP="00977B35">
      <w:pPr>
        <w:pStyle w:val="Textoindependiente"/>
        <w:numPr>
          <w:ilvl w:val="0"/>
          <w:numId w:val="10"/>
        </w:numPr>
        <w:rPr>
          <w:lang w:val="es-ES"/>
        </w:rPr>
      </w:pPr>
      <w:r>
        <w:rPr>
          <w:lang w:val="es-ES"/>
        </w:rPr>
        <w:t>U</w:t>
      </w:r>
      <w:r w:rsidR="00A231F0" w:rsidRPr="00A231F0">
        <w:rPr>
          <w:lang w:val="es-ES"/>
        </w:rPr>
        <w:t xml:space="preserve">na vez </w:t>
      </w:r>
      <w:r>
        <w:rPr>
          <w:lang w:val="es-ES"/>
        </w:rPr>
        <w:t>que el cliente aprueba</w:t>
      </w:r>
      <w:r w:rsidR="00A231F0" w:rsidRPr="00A231F0">
        <w:rPr>
          <w:lang w:val="es-ES"/>
        </w:rPr>
        <w:t xml:space="preserve"> </w:t>
      </w:r>
      <w:r>
        <w:rPr>
          <w:lang w:val="es-ES"/>
        </w:rPr>
        <w:t>una orden de servicio se genera</w:t>
      </w:r>
      <w:r w:rsidR="00A231F0" w:rsidRPr="00A231F0">
        <w:rPr>
          <w:lang w:val="es-ES"/>
        </w:rPr>
        <w:t xml:space="preserve"> automáticamente la factura que le será enviada</w:t>
      </w:r>
      <w:r w:rsidR="007A4641">
        <w:rPr>
          <w:lang w:val="es-ES"/>
        </w:rPr>
        <w:t xml:space="preserve"> al cliente</w:t>
      </w:r>
      <w:r w:rsidR="00A231F0" w:rsidRPr="00A231F0">
        <w:rPr>
          <w:lang w:val="es-ES"/>
        </w:rPr>
        <w:t>.</w:t>
      </w:r>
    </w:p>
    <w:p w:rsidR="00FE013E" w:rsidRDefault="007A4641" w:rsidP="00977B35">
      <w:pPr>
        <w:pStyle w:val="Textoindependiente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Una vez generada la factura, al cliente le aparecerá en </w:t>
      </w:r>
      <w:r w:rsidR="009C5005">
        <w:rPr>
          <w:lang w:val="es-ES"/>
        </w:rPr>
        <w:t>estado “Pendiente”, hasta tanto realice el pago de la misma y la informe, instancia en la cual la factura aparecerá con estado “Informada”.</w:t>
      </w:r>
    </w:p>
    <w:p w:rsidR="00355BC0" w:rsidRDefault="00355BC0" w:rsidP="00977B35">
      <w:pPr>
        <w:pStyle w:val="Textoindependiente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Una vez informada, la factura se cotejara con los pagos recibidos. Si hay inconsistencias el usuario administrativo la </w:t>
      </w:r>
      <w:r w:rsidR="001800FC">
        <w:rPr>
          <w:lang w:val="es-ES"/>
        </w:rPr>
        <w:t>marcara como tal, quedando en estado “Inconsistente”</w:t>
      </w:r>
      <w:r>
        <w:rPr>
          <w:lang w:val="es-ES"/>
        </w:rPr>
        <w:t xml:space="preserve"> </w:t>
      </w:r>
      <w:r w:rsidR="001800FC">
        <w:rPr>
          <w:lang w:val="es-ES"/>
        </w:rPr>
        <w:t>con lo cual el cliente podrá verificar su propios pagos, cuentas, transferencias o historial de pago para poder indicarle al sistema que aun no la ha pagado, (volviendo al estado “Pendiente”)</w:t>
      </w:r>
      <w:r w:rsidR="00301A3C">
        <w:rPr>
          <w:lang w:val="es-ES"/>
        </w:rPr>
        <w:t xml:space="preserve"> o por el contrario confirmarle que si se ha pagado (quedando nuevamente en estado “Informada”)</w:t>
      </w:r>
    </w:p>
    <w:p w:rsidR="00301A3C" w:rsidRDefault="00301A3C" w:rsidP="00977B35">
      <w:pPr>
        <w:pStyle w:val="Textoindependiente"/>
        <w:numPr>
          <w:ilvl w:val="0"/>
          <w:numId w:val="10"/>
        </w:numPr>
        <w:rPr>
          <w:lang w:val="es-ES"/>
        </w:rPr>
      </w:pPr>
      <w:r>
        <w:rPr>
          <w:lang w:val="es-ES"/>
        </w:rPr>
        <w:lastRenderedPageBreak/>
        <w:t xml:space="preserve">Si la factura </w:t>
      </w:r>
      <w:r w:rsidR="00A11D64">
        <w:rPr>
          <w:lang w:val="es-ES"/>
        </w:rPr>
        <w:t xml:space="preserve">esta </w:t>
      </w:r>
      <w:r>
        <w:rPr>
          <w:lang w:val="es-ES"/>
        </w:rPr>
        <w:t xml:space="preserve">en estado “informada” </w:t>
      </w:r>
      <w:r w:rsidR="00A11D64">
        <w:rPr>
          <w:lang w:val="es-ES"/>
        </w:rPr>
        <w:t xml:space="preserve">y </w:t>
      </w:r>
      <w:r>
        <w:rPr>
          <w:lang w:val="es-ES"/>
        </w:rPr>
        <w:t>al cotejarse los datos se verifica su pago, el usuario administrativo tendrá la potestad de enviarla al estado “Pagada”.</w:t>
      </w:r>
    </w:p>
    <w:p w:rsidR="00F324CA" w:rsidRDefault="00F324CA" w:rsidP="00977B35">
      <w:pPr>
        <w:pStyle w:val="Textoindependiente"/>
        <w:numPr>
          <w:ilvl w:val="0"/>
          <w:numId w:val="10"/>
        </w:numPr>
        <w:rPr>
          <w:lang w:val="es-ES"/>
        </w:rPr>
      </w:pPr>
      <w:r>
        <w:rPr>
          <w:lang w:val="es-ES"/>
        </w:rPr>
        <w:t>El cliente podrá seguir la facturación viendo las facturas pendientes, informadas y pagadas. También adicionalmente si el cliente informo una factura por error tendrá la oportunidad de retractarse enviando la factura que informo de nuevo al estado pendiente.</w:t>
      </w:r>
    </w:p>
    <w:p w:rsidR="003757D9" w:rsidRDefault="00557A60" w:rsidP="00557A60">
      <w:pPr>
        <w:pStyle w:val="Textoindependiente"/>
        <w:rPr>
          <w:lang w:val="es-ES"/>
        </w:rPr>
      </w:pPr>
      <w:r>
        <w:rPr>
          <w:lang w:val="es-ES"/>
        </w:rPr>
        <w:t>Si bien el sistema no lleva control directo de los pagos recibidos, refuerza la facturación controlando los datos que ingresan los usuarios administrativos</w:t>
      </w:r>
      <w:r w:rsidR="003757D9">
        <w:rPr>
          <w:lang w:val="es-ES"/>
        </w:rPr>
        <w:t>.</w:t>
      </w:r>
    </w:p>
    <w:p w:rsidR="00557A60" w:rsidRDefault="00557A60" w:rsidP="000601CB">
      <w:pPr>
        <w:pStyle w:val="Ttulo1"/>
        <w:rPr>
          <w:lang w:val="es-AR"/>
        </w:rPr>
      </w:pPr>
    </w:p>
    <w:p w:rsidR="000601CB" w:rsidRPr="000601CB" w:rsidRDefault="00557A60" w:rsidP="000601CB">
      <w:pPr>
        <w:pStyle w:val="Ttulo1"/>
        <w:rPr>
          <w:lang w:val="es-AR"/>
        </w:rPr>
      </w:pPr>
      <w:r>
        <w:rPr>
          <w:lang w:val="es-AR"/>
        </w:rPr>
        <w:t>Seguridad</w:t>
      </w:r>
    </w:p>
    <w:p w:rsidR="003757D9" w:rsidRDefault="003757D9">
      <w:pPr>
        <w:pStyle w:val="Ttulo1"/>
        <w:rPr>
          <w:lang w:val="es-ES"/>
        </w:rPr>
      </w:pPr>
    </w:p>
    <w:p w:rsidR="003757D9" w:rsidRDefault="006269E1">
      <w:pPr>
        <w:pStyle w:val="Textoindependiente"/>
        <w:rPr>
          <w:rStyle w:val="Lead-inEmphasis"/>
          <w:rFonts w:cs="Times New Roman"/>
        </w:rPr>
      </w:pPr>
      <w:r w:rsidRPr="006269E1">
        <w:rPr>
          <w:rFonts w:cs="Times New Roman"/>
          <w:b/>
          <w:spacing w:val="4"/>
          <w:lang w:val="es-AR" w:bidi="es-ES"/>
        </w:rPr>
        <w:t>El sistema controlara el acceso y utilización del mismo a través de distintos perfiles con distinto tipo de permisos. Los diferentes perfiles de usuarios del sistema pueden ser</w:t>
      </w:r>
      <w:r w:rsidR="003757D9">
        <w:rPr>
          <w:rStyle w:val="Lead-inEmphasis"/>
          <w:rFonts w:cs="Times New Roman"/>
        </w:rPr>
        <w:t>:</w:t>
      </w:r>
    </w:p>
    <w:p w:rsidR="003757D9" w:rsidRPr="00886FDC" w:rsidRDefault="006269E1">
      <w:pPr>
        <w:pStyle w:val="Listaconnmeros"/>
        <w:rPr>
          <w:lang w:val="es-ES"/>
        </w:rPr>
      </w:pPr>
      <w:r w:rsidRPr="006269E1">
        <w:rPr>
          <w:b/>
          <w:lang w:val="es-ES"/>
        </w:rPr>
        <w:t>Administrador:</w:t>
      </w:r>
      <w:r>
        <w:rPr>
          <w:lang w:val="es-ES"/>
        </w:rPr>
        <w:t xml:space="preserve"> Acceso total. </w:t>
      </w:r>
      <w:r w:rsidR="00290DEF">
        <w:rPr>
          <w:lang w:val="es-ES"/>
        </w:rPr>
        <w:t xml:space="preserve">Creación y edición de datos críticos del sistema. </w:t>
      </w:r>
      <w:r>
        <w:rPr>
          <w:lang w:val="es-ES"/>
        </w:rPr>
        <w:t>Pueden coexistir varios usuarios administradores</w:t>
      </w:r>
      <w:r w:rsidR="003757D9">
        <w:rPr>
          <w:lang w:val="es-ES"/>
        </w:rPr>
        <w:t>.</w:t>
      </w:r>
      <w:r w:rsidR="006830AB">
        <w:rPr>
          <w:lang w:val="es-ES"/>
        </w:rPr>
        <w:t xml:space="preserve"> El único perfil con capacidad de borrar datos.</w:t>
      </w:r>
    </w:p>
    <w:p w:rsidR="003757D9" w:rsidRDefault="006269E1">
      <w:pPr>
        <w:pStyle w:val="Listaconnmeros"/>
        <w:rPr>
          <w:lang w:val="es-ES"/>
        </w:rPr>
      </w:pPr>
      <w:r w:rsidRPr="006269E1">
        <w:rPr>
          <w:b/>
          <w:lang w:val="es-ES"/>
        </w:rPr>
        <w:t>Administrativo:</w:t>
      </w:r>
      <w:r>
        <w:rPr>
          <w:lang w:val="es-ES"/>
        </w:rPr>
        <w:t xml:space="preserve"> Modulo de stock, de facturación, administración de servicios, carga y modificación de datos, </w:t>
      </w:r>
      <w:r w:rsidR="00C357F5">
        <w:rPr>
          <w:lang w:val="es-ES"/>
        </w:rPr>
        <w:t>parametrizació</w:t>
      </w:r>
      <w:r>
        <w:rPr>
          <w:lang w:val="es-ES"/>
        </w:rPr>
        <w:t>n, asignaciones</w:t>
      </w:r>
      <w:r w:rsidR="003757D9">
        <w:rPr>
          <w:lang w:val="es-ES"/>
        </w:rPr>
        <w:t>.</w:t>
      </w:r>
      <w:r>
        <w:rPr>
          <w:lang w:val="es-ES"/>
        </w:rPr>
        <w:t xml:space="preserve"> </w:t>
      </w:r>
    </w:p>
    <w:p w:rsidR="006269E1" w:rsidRDefault="006269E1">
      <w:pPr>
        <w:pStyle w:val="Listaconnmeros"/>
        <w:rPr>
          <w:lang w:val="es-ES"/>
        </w:rPr>
      </w:pPr>
      <w:r>
        <w:rPr>
          <w:b/>
          <w:lang w:val="es-ES"/>
        </w:rPr>
        <w:t>Operario:</w:t>
      </w:r>
      <w:r>
        <w:rPr>
          <w:lang w:val="es-ES"/>
        </w:rPr>
        <w:t xml:space="preserve"> </w:t>
      </w:r>
      <w:r w:rsidR="00C357F5">
        <w:rPr>
          <w:lang w:val="es-ES"/>
        </w:rPr>
        <w:t xml:space="preserve">Acceso al modulo de ordenes de servicios, podrá listar, editar e informar </w:t>
      </w:r>
      <w:r w:rsidR="00290DEF">
        <w:rPr>
          <w:lang w:val="es-ES"/>
        </w:rPr>
        <w:t>las mismas.</w:t>
      </w:r>
      <w:r w:rsidR="00C357F5">
        <w:rPr>
          <w:lang w:val="es-ES"/>
        </w:rPr>
        <w:t xml:space="preserve"> </w:t>
      </w:r>
    </w:p>
    <w:p w:rsidR="00290DEF" w:rsidRDefault="00290DEF">
      <w:pPr>
        <w:pStyle w:val="Listaconnmeros"/>
        <w:rPr>
          <w:lang w:val="es-ES"/>
        </w:rPr>
      </w:pPr>
      <w:r>
        <w:rPr>
          <w:b/>
          <w:lang w:val="es-ES"/>
        </w:rPr>
        <w:t>Cliente:</w:t>
      </w:r>
      <w:r>
        <w:rPr>
          <w:lang w:val="es-ES"/>
        </w:rPr>
        <w:t xml:space="preserve"> </w:t>
      </w:r>
      <w:r w:rsidR="006830AB">
        <w:rPr>
          <w:lang w:val="es-ES"/>
        </w:rPr>
        <w:t xml:space="preserve">Acceso al modulo de facturación y </w:t>
      </w:r>
      <w:r w:rsidR="009B0FB2">
        <w:rPr>
          <w:lang w:val="es-ES"/>
        </w:rPr>
        <w:t>modulo de ordenes de servicios</w:t>
      </w:r>
      <w:r w:rsidR="006830AB">
        <w:rPr>
          <w:lang w:val="es-ES"/>
        </w:rPr>
        <w:t>.</w:t>
      </w:r>
    </w:p>
    <w:p w:rsidR="003757D9" w:rsidRDefault="00CB3618">
      <w:pPr>
        <w:pStyle w:val="Textoindependiente"/>
        <w:rPr>
          <w:lang w:val="es-ES"/>
        </w:rPr>
      </w:pPr>
      <w:r>
        <w:rPr>
          <w:lang w:val="es-ES"/>
        </w:rPr>
        <w:t>Como política de seguridad el sistema no permite borrar datos, capacidad únicamente permitida al perfil administrador. Esto asegura la robustez, y deja un registro de los movimientos generados en el mismo</w:t>
      </w:r>
      <w:r w:rsidR="00D113E8">
        <w:rPr>
          <w:lang w:val="es-ES"/>
        </w:rPr>
        <w:t xml:space="preserve"> de los demás usuarios</w:t>
      </w:r>
      <w:r w:rsidR="003757D9">
        <w:rPr>
          <w:lang w:val="es-ES"/>
        </w:rPr>
        <w:t>.</w:t>
      </w:r>
    </w:p>
    <w:p w:rsidR="00D113E8" w:rsidRDefault="00D113E8">
      <w:pPr>
        <w:pStyle w:val="Textoindependiente"/>
        <w:rPr>
          <w:lang w:val="es-ES"/>
        </w:rPr>
      </w:pPr>
      <w:r>
        <w:rPr>
          <w:lang w:val="es-ES"/>
        </w:rPr>
        <w:t xml:space="preserve">El administrador es quien creara los usuarios y asignara los perfiles adecuados. </w:t>
      </w:r>
      <w:r w:rsidR="001D713A">
        <w:rPr>
          <w:lang w:val="es-ES"/>
        </w:rPr>
        <w:t>Para alivianar el trabajo del administrador</w:t>
      </w:r>
      <w:r>
        <w:rPr>
          <w:lang w:val="es-ES"/>
        </w:rPr>
        <w:t xml:space="preserve"> el usuario con perfil administrativo</w:t>
      </w:r>
      <w:r w:rsidR="001D713A">
        <w:rPr>
          <w:lang w:val="es-ES"/>
        </w:rPr>
        <w:t>, tendrá la capacidad de crear y editar datos de clientes, asignándole una clave de acceso al sistema</w:t>
      </w:r>
      <w:r w:rsidR="00793E65">
        <w:rPr>
          <w:lang w:val="es-ES"/>
        </w:rPr>
        <w:t>.</w:t>
      </w:r>
      <w:r>
        <w:rPr>
          <w:lang w:val="es-ES"/>
        </w:rPr>
        <w:t xml:space="preserve"> </w:t>
      </w:r>
    </w:p>
    <w:p w:rsidR="001D713A" w:rsidRDefault="009A3FD1">
      <w:pPr>
        <w:pStyle w:val="Textoindependiente"/>
        <w:rPr>
          <w:lang w:val="es-ES"/>
        </w:rPr>
      </w:pPr>
      <w:r>
        <w:rPr>
          <w:lang w:val="es-ES"/>
        </w:rPr>
        <w:t>A modo de vista general, la tabla muestra el acceso por perfiles:</w:t>
      </w:r>
    </w:p>
    <w:tbl>
      <w:tblPr>
        <w:tblW w:w="0" w:type="auto"/>
        <w:tblInd w:w="36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115" w:type="dxa"/>
          <w:right w:w="115" w:type="dxa"/>
        </w:tblCellMar>
        <w:tblLook w:val="0000"/>
      </w:tblPr>
      <w:tblGrid>
        <w:gridCol w:w="2400"/>
        <w:gridCol w:w="1560"/>
      </w:tblGrid>
      <w:tr w:rsidR="009A3FD1">
        <w:trPr>
          <w:trHeight w:val="300"/>
        </w:trPr>
        <w:tc>
          <w:tcPr>
            <w:tcW w:w="24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pct20" w:color="auto" w:fill="auto"/>
            <w:vAlign w:val="center"/>
          </w:tcPr>
          <w:p w:rsidR="009A3FD1" w:rsidRDefault="009A3FD1">
            <w:pPr>
              <w:pStyle w:val="TableTextBold"/>
            </w:pPr>
            <w:r>
              <w:t>Perfil</w:t>
            </w:r>
          </w:p>
        </w:tc>
        <w:tc>
          <w:tcPr>
            <w:tcW w:w="156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pct20" w:color="auto" w:fill="auto"/>
            <w:vAlign w:val="center"/>
          </w:tcPr>
          <w:p w:rsidR="009A3FD1" w:rsidRDefault="009A3FD1">
            <w:pPr>
              <w:pStyle w:val="TableTextBold"/>
            </w:pPr>
            <w:r>
              <w:t>Nivel de acceso</w:t>
            </w:r>
          </w:p>
        </w:tc>
      </w:tr>
      <w:tr w:rsidR="009A3FD1">
        <w:trPr>
          <w:trHeight w:val="300"/>
        </w:trPr>
        <w:tc>
          <w:tcPr>
            <w:tcW w:w="24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pct5" w:color="auto" w:fill="auto"/>
          </w:tcPr>
          <w:p w:rsidR="009A3FD1" w:rsidRDefault="009A3FD1">
            <w:pPr>
              <w:pStyle w:val="TableText"/>
            </w:pPr>
            <w:r>
              <w:t>Administrador</w:t>
            </w:r>
          </w:p>
        </w:tc>
        <w:tc>
          <w:tcPr>
            <w:tcW w:w="156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pct5" w:color="auto" w:fill="auto"/>
          </w:tcPr>
          <w:p w:rsidR="009A3FD1" w:rsidRDefault="009A3FD1">
            <w:pPr>
              <w:pStyle w:val="TableText"/>
            </w:pPr>
            <w:r>
              <w:t>100%</w:t>
            </w:r>
          </w:p>
        </w:tc>
      </w:tr>
      <w:tr w:rsidR="009A3FD1">
        <w:trPr>
          <w:trHeight w:val="300"/>
        </w:trPr>
        <w:tc>
          <w:tcPr>
            <w:tcW w:w="24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pct20" w:color="auto" w:fill="auto"/>
          </w:tcPr>
          <w:p w:rsidR="009A3FD1" w:rsidRDefault="009A3FD1">
            <w:pPr>
              <w:pStyle w:val="TableText"/>
            </w:pPr>
            <w:r>
              <w:t>Administrativo</w:t>
            </w:r>
          </w:p>
        </w:tc>
        <w:tc>
          <w:tcPr>
            <w:tcW w:w="156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pct20" w:color="auto" w:fill="auto"/>
          </w:tcPr>
          <w:p w:rsidR="009A3FD1" w:rsidRDefault="009A3FD1">
            <w:pPr>
              <w:pStyle w:val="TableText"/>
            </w:pPr>
            <w:r>
              <w:t>75%</w:t>
            </w:r>
          </w:p>
        </w:tc>
      </w:tr>
      <w:tr w:rsidR="009A3FD1">
        <w:trPr>
          <w:trHeight w:val="300"/>
        </w:trPr>
        <w:tc>
          <w:tcPr>
            <w:tcW w:w="24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pct5" w:color="auto" w:fill="auto"/>
          </w:tcPr>
          <w:p w:rsidR="009A3FD1" w:rsidRDefault="009A3FD1">
            <w:pPr>
              <w:pStyle w:val="TableText"/>
            </w:pPr>
            <w:r>
              <w:t xml:space="preserve">Cliente </w:t>
            </w:r>
          </w:p>
        </w:tc>
        <w:tc>
          <w:tcPr>
            <w:tcW w:w="156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pct5" w:color="auto" w:fill="auto"/>
          </w:tcPr>
          <w:p w:rsidR="009A3FD1" w:rsidRDefault="009A3FD1">
            <w:pPr>
              <w:pStyle w:val="TableText"/>
            </w:pPr>
            <w:r>
              <w:t>50%</w:t>
            </w:r>
          </w:p>
        </w:tc>
      </w:tr>
      <w:tr w:rsidR="009A3FD1" w:rsidTr="009A3FD1">
        <w:trPr>
          <w:trHeight w:val="300"/>
        </w:trPr>
        <w:tc>
          <w:tcPr>
            <w:tcW w:w="24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BFBFBF" w:themeFill="background1" w:themeFillShade="BF"/>
          </w:tcPr>
          <w:p w:rsidR="009A3FD1" w:rsidRDefault="009A3FD1">
            <w:pPr>
              <w:pStyle w:val="TableText"/>
            </w:pPr>
            <w:r>
              <w:t>Operario</w:t>
            </w:r>
          </w:p>
        </w:tc>
        <w:tc>
          <w:tcPr>
            <w:tcW w:w="156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BFBFBF" w:themeFill="background1" w:themeFillShade="BF"/>
          </w:tcPr>
          <w:p w:rsidR="009A3FD1" w:rsidRDefault="009A3FD1">
            <w:pPr>
              <w:pStyle w:val="TableText"/>
            </w:pPr>
            <w:r>
              <w:t>25%</w:t>
            </w:r>
          </w:p>
        </w:tc>
      </w:tr>
    </w:tbl>
    <w:p w:rsidR="003757D9" w:rsidRDefault="003757D9">
      <w:pPr>
        <w:pStyle w:val="Epgrafe"/>
        <w:rPr>
          <w:lang w:val="es-ES"/>
        </w:rPr>
      </w:pPr>
    </w:p>
    <w:sectPr w:rsidR="003757D9" w:rsidSect="003757D9">
      <w:footerReference w:type="default" r:id="rId7"/>
      <w:pgSz w:w="11907" w:h="16839"/>
      <w:pgMar w:top="1440" w:right="1872" w:bottom="1800" w:left="2880" w:header="720" w:footer="965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8A9" w:rsidRDefault="003138A9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1">
    <w:p w:rsidR="003138A9" w:rsidRDefault="003138A9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7D9" w:rsidRDefault="005543E4">
    <w:pPr>
      <w:pStyle w:val="Piedepgina"/>
      <w:jc w:val="right"/>
      <w:rPr>
        <w:lang w:val="es-ES"/>
      </w:rPr>
    </w:pPr>
    <w:r>
      <w:rPr>
        <w:rStyle w:val="Nmerodepgina"/>
        <w:rFonts w:cs="Times New Roman"/>
        <w:lang w:val="es-ES"/>
      </w:rPr>
      <w:fldChar w:fldCharType="begin"/>
    </w:r>
    <w:r w:rsidR="003757D9">
      <w:rPr>
        <w:rStyle w:val="Nmerodepgina"/>
        <w:rFonts w:cs="Times New Roman"/>
        <w:lang w:val="es-ES"/>
      </w:rPr>
      <w:instrText xml:space="preserve"> PAGE </w:instrText>
    </w:r>
    <w:r>
      <w:rPr>
        <w:rStyle w:val="Nmerodepgina"/>
        <w:rFonts w:cs="Times New Roman"/>
        <w:lang w:val="es-ES"/>
      </w:rPr>
      <w:fldChar w:fldCharType="separate"/>
    </w:r>
    <w:r w:rsidR="009A3FD1">
      <w:rPr>
        <w:rStyle w:val="Nmerodepgina"/>
        <w:rFonts w:cs="Times New Roman"/>
        <w:noProof/>
        <w:lang w:val="es-ES"/>
      </w:rPr>
      <w:t>3</w:t>
    </w:r>
    <w:r>
      <w:rPr>
        <w:rStyle w:val="Nmerodepgina"/>
        <w:rFonts w:cs="Times New Roman"/>
        <w:lang w:val="es-E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8A9" w:rsidRDefault="003138A9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1">
    <w:p w:rsidR="003138A9" w:rsidRDefault="003138A9">
      <w:pPr>
        <w:rPr>
          <w:lang w:val="es-ES"/>
        </w:rPr>
      </w:pPr>
      <w:r>
        <w:rPr>
          <w:lang w:val="es-ES"/>
        </w:rPr>
        <w:separator/>
      </w:r>
    </w:p>
  </w:footnote>
  <w:footnote w:type="continuationNotice" w:id="2">
    <w:p w:rsidR="003138A9" w:rsidRDefault="003138A9">
      <w:pPr>
        <w:rPr>
          <w:i/>
          <w:iCs/>
          <w:sz w:val="18"/>
          <w:lang w:val="es-ES"/>
        </w:rPr>
      </w:pPr>
      <w:r>
        <w:rPr>
          <w:i/>
          <w:iCs/>
          <w:sz w:val="18"/>
          <w:lang w:val="es-ES"/>
        </w:rPr>
        <w:t>(continuación de la nota al pie)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E9305D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14C5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pStyle w:val="Listaconvietas"/>
      <w:lvlText w:val="*"/>
      <w:lvlJc w:val="left"/>
      <w:pPr>
        <w:ind w:left="0" w:firstLine="0"/>
      </w:pPr>
    </w:lvl>
  </w:abstractNum>
  <w:abstractNum w:abstractNumId="3">
    <w:nsid w:val="0A1209E1"/>
    <w:multiLevelType w:val="hybridMultilevel"/>
    <w:tmpl w:val="7E503DAE"/>
    <w:lvl w:ilvl="0" w:tplc="E4A4EF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007DC"/>
    <w:multiLevelType w:val="hybridMultilevel"/>
    <w:tmpl w:val="D9E4800A"/>
    <w:lvl w:ilvl="0" w:tplc="A40A9148">
      <w:start w:val="1"/>
      <w:numFmt w:val="decimal"/>
      <w:pStyle w:val="Listaconnmeros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imes New Roman" w:hint="default"/>
        <w:b/>
        <w:i w:val="0"/>
        <w:sz w:val="17"/>
        <w:szCs w:val="17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524790"/>
    <w:multiLevelType w:val="hybridMultilevel"/>
    <w:tmpl w:val="13F62816"/>
    <w:lvl w:ilvl="0" w:tplc="ABA0C9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E4645"/>
    <w:multiLevelType w:val="hybridMultilevel"/>
    <w:tmpl w:val="5BA899D0"/>
    <w:lvl w:ilvl="0" w:tplc="880E1A8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lvl w:ilvl="0">
        <w:numFmt w:val="bullet"/>
        <w:pStyle w:val="Listaconvietas"/>
        <w:lvlText w:val=""/>
        <w:lvlJc w:val="left"/>
        <w:pPr>
          <w:tabs>
            <w:tab w:val="num" w:pos="360"/>
          </w:tabs>
          <w:ind w:left="504" w:hanging="216"/>
        </w:pPr>
        <w:rPr>
          <w:rFonts w:ascii="Symbol" w:hAnsi="Symbol" w:hint="default"/>
          <w:sz w:val="16"/>
          <w:szCs w:val="16"/>
        </w:rPr>
      </w:lvl>
    </w:lvlOverride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7170">
      <o:colormru v:ext="edit" colors="#d2d2d2,#cdcdcd,#c8c8c8"/>
    </o:shapedefaults>
  </w:hdrShapeDefaults>
  <w:footnotePr>
    <w:footnote w:id="0"/>
    <w:footnote w:id="1"/>
    <w:footnote w:id="2"/>
  </w:footnotePr>
  <w:endnotePr>
    <w:endnote w:id="0"/>
    <w:endnote w:id="1"/>
  </w:endnotePr>
  <w:compat/>
  <w:rsids>
    <w:rsidRoot w:val="000601CB"/>
    <w:rsid w:val="000601CB"/>
    <w:rsid w:val="00067E87"/>
    <w:rsid w:val="00113897"/>
    <w:rsid w:val="00150A68"/>
    <w:rsid w:val="001800FC"/>
    <w:rsid w:val="001D713A"/>
    <w:rsid w:val="0024128D"/>
    <w:rsid w:val="00290DEF"/>
    <w:rsid w:val="002A3B3B"/>
    <w:rsid w:val="002D2A31"/>
    <w:rsid w:val="00301A3C"/>
    <w:rsid w:val="003138A9"/>
    <w:rsid w:val="00355BC0"/>
    <w:rsid w:val="003757D9"/>
    <w:rsid w:val="003F3C26"/>
    <w:rsid w:val="004A7B5E"/>
    <w:rsid w:val="004B16F3"/>
    <w:rsid w:val="005543E4"/>
    <w:rsid w:val="00557A60"/>
    <w:rsid w:val="005A76D6"/>
    <w:rsid w:val="006269E1"/>
    <w:rsid w:val="006357AB"/>
    <w:rsid w:val="006829C4"/>
    <w:rsid w:val="006830AB"/>
    <w:rsid w:val="006E28D0"/>
    <w:rsid w:val="00701790"/>
    <w:rsid w:val="00732D69"/>
    <w:rsid w:val="00793E65"/>
    <w:rsid w:val="007A4641"/>
    <w:rsid w:val="008175EC"/>
    <w:rsid w:val="00886FDC"/>
    <w:rsid w:val="00935626"/>
    <w:rsid w:val="00977B35"/>
    <w:rsid w:val="0098101A"/>
    <w:rsid w:val="009A3FD1"/>
    <w:rsid w:val="009B0FB2"/>
    <w:rsid w:val="009C5005"/>
    <w:rsid w:val="00A10433"/>
    <w:rsid w:val="00A11D64"/>
    <w:rsid w:val="00A231F0"/>
    <w:rsid w:val="00B657DF"/>
    <w:rsid w:val="00C357F5"/>
    <w:rsid w:val="00C73E70"/>
    <w:rsid w:val="00C90FB0"/>
    <w:rsid w:val="00CA2443"/>
    <w:rsid w:val="00CB3618"/>
    <w:rsid w:val="00CE3E1C"/>
    <w:rsid w:val="00D06F4D"/>
    <w:rsid w:val="00D113E8"/>
    <w:rsid w:val="00D87449"/>
    <w:rsid w:val="00F324CA"/>
    <w:rsid w:val="00F80990"/>
    <w:rsid w:val="00FE0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d2d2d2,#cdcdcd,#c8c8c8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43E4"/>
    <w:pPr>
      <w:ind w:left="1080"/>
    </w:pPr>
    <w:rPr>
      <w:rFonts w:ascii="Tahoma" w:hAnsi="Tahoma" w:cs="Tahoma"/>
      <w:lang w:val="en-US" w:eastAsia="es-ES" w:bidi="hi-IN"/>
    </w:rPr>
  </w:style>
  <w:style w:type="paragraph" w:styleId="Ttulo1">
    <w:name w:val="heading 1"/>
    <w:next w:val="Textoindependiente"/>
    <w:qFormat/>
    <w:rsid w:val="005543E4"/>
    <w:pPr>
      <w:keepNext/>
      <w:spacing w:before="200" w:after="100" w:line="280" w:lineRule="atLeast"/>
      <w:outlineLvl w:val="0"/>
    </w:pPr>
    <w:rPr>
      <w:rFonts w:ascii="Tahoma" w:hAnsi="Tahoma" w:cs="Tahoma"/>
      <w:b/>
      <w:spacing w:val="10"/>
      <w:sz w:val="24"/>
      <w:szCs w:val="24"/>
      <w:lang w:val="en-US" w:eastAsia="es-ES" w:bidi="hi-IN"/>
    </w:rPr>
  </w:style>
  <w:style w:type="paragraph" w:styleId="Ttulo2">
    <w:name w:val="heading 2"/>
    <w:next w:val="Textoindependiente"/>
    <w:qFormat/>
    <w:rsid w:val="005543E4"/>
    <w:pPr>
      <w:keepNext/>
      <w:spacing w:before="100" w:after="100"/>
      <w:outlineLvl w:val="1"/>
    </w:pPr>
    <w:rPr>
      <w:rFonts w:ascii="Tahoma" w:hAnsi="Tahoma" w:cs="Tahoma"/>
      <w:b/>
      <w:spacing w:val="10"/>
      <w:kern w:val="28"/>
      <w:lang w:val="en-US" w:eastAsia="es-ES" w:bidi="hi-IN"/>
    </w:rPr>
  </w:style>
  <w:style w:type="paragraph" w:styleId="Ttulo3">
    <w:name w:val="heading 3"/>
    <w:next w:val="Textoindependiente"/>
    <w:qFormat/>
    <w:rsid w:val="005543E4"/>
    <w:pPr>
      <w:keepNext/>
      <w:spacing w:before="100"/>
      <w:outlineLvl w:val="2"/>
    </w:pPr>
    <w:rPr>
      <w:rFonts w:ascii="Tahoma" w:hAnsi="Tahoma" w:cs="Tahoma"/>
      <w:spacing w:val="10"/>
      <w:kern w:val="28"/>
      <w:lang w:val="en-US" w:eastAsia="es-ES" w:bidi="hi-IN"/>
    </w:rPr>
  </w:style>
  <w:style w:type="paragraph" w:styleId="Ttulo4">
    <w:name w:val="heading 4"/>
    <w:basedOn w:val="Normal"/>
    <w:next w:val="Textoindependiente"/>
    <w:qFormat/>
    <w:rsid w:val="005543E4"/>
    <w:pPr>
      <w:keepNext/>
      <w:keepLines/>
      <w:spacing w:before="140" w:line="220" w:lineRule="atLeast"/>
      <w:outlineLvl w:val="3"/>
    </w:pPr>
    <w:rPr>
      <w:b/>
      <w:spacing w:val="-4"/>
      <w:kern w:val="28"/>
      <w:sz w:val="18"/>
      <w:szCs w:val="18"/>
    </w:rPr>
  </w:style>
  <w:style w:type="paragraph" w:styleId="Ttulo5">
    <w:name w:val="heading 5"/>
    <w:basedOn w:val="Normal"/>
    <w:next w:val="Textoindependiente"/>
    <w:qFormat/>
    <w:rsid w:val="005543E4"/>
    <w:pPr>
      <w:keepNext/>
      <w:keepLines/>
      <w:spacing w:before="220" w:after="220" w:line="220" w:lineRule="atLeast"/>
      <w:outlineLvl w:val="4"/>
    </w:pPr>
    <w:rPr>
      <w:rFonts w:ascii="Times New Roman" w:hAnsi="Times New Roman" w:cs="Times New Roman"/>
      <w:i/>
      <w:spacing w:val="-4"/>
      <w:kern w:val="28"/>
    </w:rPr>
  </w:style>
  <w:style w:type="paragraph" w:styleId="Ttulo6">
    <w:name w:val="heading 6"/>
    <w:basedOn w:val="Normal"/>
    <w:next w:val="Textoindependiente"/>
    <w:qFormat/>
    <w:rsid w:val="005543E4"/>
    <w:pPr>
      <w:keepNext/>
      <w:keepLines/>
      <w:spacing w:before="140" w:line="220" w:lineRule="atLeast"/>
      <w:outlineLvl w:val="5"/>
    </w:pPr>
    <w:rPr>
      <w:rFonts w:ascii="Times New Roman" w:hAnsi="Times New Roman" w:cs="Times New Roman"/>
      <w:i/>
      <w:spacing w:val="-4"/>
      <w:kern w:val="28"/>
    </w:rPr>
  </w:style>
  <w:style w:type="paragraph" w:styleId="Ttulo7">
    <w:name w:val="heading 7"/>
    <w:basedOn w:val="Normal"/>
    <w:next w:val="Textoindependiente"/>
    <w:qFormat/>
    <w:rsid w:val="005543E4"/>
    <w:pPr>
      <w:keepNext/>
      <w:keepLines/>
      <w:spacing w:before="140" w:line="220" w:lineRule="atLeast"/>
      <w:outlineLvl w:val="6"/>
    </w:pPr>
    <w:rPr>
      <w:rFonts w:ascii="Times New Roman" w:hAnsi="Times New Roman" w:cs="Times New Roman"/>
      <w:spacing w:val="-4"/>
      <w:kern w:val="28"/>
    </w:rPr>
  </w:style>
  <w:style w:type="paragraph" w:styleId="Ttulo8">
    <w:name w:val="heading 8"/>
    <w:basedOn w:val="Normal"/>
    <w:next w:val="Textoindependiente"/>
    <w:qFormat/>
    <w:rsid w:val="005543E4"/>
    <w:pPr>
      <w:keepNext/>
      <w:keepLines/>
      <w:spacing w:before="140" w:line="220" w:lineRule="atLeast"/>
      <w:outlineLvl w:val="7"/>
    </w:pPr>
    <w:rPr>
      <w:i/>
      <w:spacing w:val="-4"/>
      <w:kern w:val="28"/>
      <w:sz w:val="18"/>
      <w:szCs w:val="18"/>
    </w:rPr>
  </w:style>
  <w:style w:type="paragraph" w:styleId="Ttulo9">
    <w:name w:val="heading 9"/>
    <w:basedOn w:val="Normal"/>
    <w:next w:val="Textoindependiente"/>
    <w:qFormat/>
    <w:rsid w:val="005543E4"/>
    <w:pPr>
      <w:keepNext/>
      <w:keepLines/>
      <w:spacing w:before="140" w:line="220" w:lineRule="atLeast"/>
      <w:outlineLvl w:val="8"/>
    </w:pPr>
    <w:rPr>
      <w:spacing w:val="-4"/>
      <w:kern w:val="28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543E4"/>
    <w:pPr>
      <w:spacing w:after="200" w:line="240" w:lineRule="exact"/>
      <w:ind w:left="0"/>
    </w:pPr>
    <w:rPr>
      <w:spacing w:val="10"/>
      <w:sz w:val="17"/>
      <w:szCs w:val="17"/>
    </w:rPr>
  </w:style>
  <w:style w:type="paragraph" w:styleId="ndice1">
    <w:name w:val="index 1"/>
    <w:basedOn w:val="Normal"/>
    <w:semiHidden/>
    <w:rsid w:val="005543E4"/>
    <w:pPr>
      <w:tabs>
        <w:tab w:val="right" w:pos="4080"/>
      </w:tabs>
      <w:ind w:left="360" w:hanging="360"/>
    </w:pPr>
  </w:style>
  <w:style w:type="paragraph" w:styleId="ndice2">
    <w:name w:val="index 2"/>
    <w:basedOn w:val="Normal"/>
    <w:semiHidden/>
    <w:rsid w:val="005543E4"/>
    <w:pPr>
      <w:tabs>
        <w:tab w:val="right" w:pos="4080"/>
      </w:tabs>
      <w:ind w:left="720" w:hanging="360"/>
    </w:pPr>
  </w:style>
  <w:style w:type="paragraph" w:styleId="ndice3">
    <w:name w:val="index 3"/>
    <w:basedOn w:val="Normal"/>
    <w:semiHidden/>
    <w:rsid w:val="005543E4"/>
    <w:pPr>
      <w:tabs>
        <w:tab w:val="right" w:pos="4080"/>
      </w:tabs>
      <w:ind w:left="720" w:hanging="360"/>
    </w:pPr>
  </w:style>
  <w:style w:type="paragraph" w:styleId="ndice4">
    <w:name w:val="index 4"/>
    <w:basedOn w:val="Normal"/>
    <w:semiHidden/>
    <w:rsid w:val="005543E4"/>
    <w:pPr>
      <w:tabs>
        <w:tab w:val="right" w:pos="4080"/>
      </w:tabs>
      <w:ind w:left="720" w:hanging="360"/>
    </w:pPr>
  </w:style>
  <w:style w:type="paragraph" w:styleId="ndice5">
    <w:name w:val="index 5"/>
    <w:basedOn w:val="Normal"/>
    <w:semiHidden/>
    <w:rsid w:val="005543E4"/>
    <w:pPr>
      <w:tabs>
        <w:tab w:val="right" w:pos="4080"/>
      </w:tabs>
      <w:ind w:left="720" w:hanging="360"/>
    </w:pPr>
  </w:style>
  <w:style w:type="paragraph" w:styleId="TDC1">
    <w:name w:val="toc 1"/>
    <w:basedOn w:val="Normal"/>
    <w:semiHidden/>
    <w:rsid w:val="005543E4"/>
    <w:pPr>
      <w:tabs>
        <w:tab w:val="right" w:leader="dot" w:pos="6480"/>
      </w:tabs>
      <w:ind w:left="0"/>
    </w:pPr>
    <w:rPr>
      <w:b/>
      <w:spacing w:val="-4"/>
    </w:rPr>
  </w:style>
  <w:style w:type="paragraph" w:styleId="TDC2">
    <w:name w:val="toc 2"/>
    <w:basedOn w:val="Normal"/>
    <w:semiHidden/>
    <w:rsid w:val="005543E4"/>
    <w:pPr>
      <w:tabs>
        <w:tab w:val="right" w:leader="dot" w:pos="6480"/>
      </w:tabs>
      <w:ind w:left="0"/>
    </w:pPr>
  </w:style>
  <w:style w:type="paragraph" w:styleId="TDC3">
    <w:name w:val="toc 3"/>
    <w:basedOn w:val="Normal"/>
    <w:semiHidden/>
    <w:rsid w:val="005543E4"/>
    <w:pPr>
      <w:tabs>
        <w:tab w:val="right" w:leader="dot" w:pos="6480"/>
      </w:tabs>
      <w:ind w:left="0"/>
    </w:pPr>
  </w:style>
  <w:style w:type="paragraph" w:styleId="TDC4">
    <w:name w:val="toc 4"/>
    <w:basedOn w:val="Normal"/>
    <w:semiHidden/>
    <w:rsid w:val="005543E4"/>
  </w:style>
  <w:style w:type="paragraph" w:styleId="TDC5">
    <w:name w:val="toc 5"/>
    <w:basedOn w:val="Normal"/>
    <w:semiHidden/>
    <w:rsid w:val="005543E4"/>
  </w:style>
  <w:style w:type="paragraph" w:styleId="Textonotapie">
    <w:name w:val="footnote text"/>
    <w:basedOn w:val="Normal"/>
    <w:semiHidden/>
    <w:rsid w:val="005543E4"/>
  </w:style>
  <w:style w:type="paragraph" w:styleId="Textocomentario">
    <w:name w:val="annotation text"/>
    <w:basedOn w:val="Normal"/>
    <w:semiHidden/>
    <w:rsid w:val="005543E4"/>
  </w:style>
  <w:style w:type="paragraph" w:styleId="Encabezado">
    <w:name w:val="header"/>
    <w:basedOn w:val="Normal"/>
    <w:rsid w:val="005543E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5543E4"/>
    <w:pPr>
      <w:tabs>
        <w:tab w:val="center" w:pos="4320"/>
        <w:tab w:val="right" w:pos="8640"/>
      </w:tabs>
    </w:pPr>
  </w:style>
  <w:style w:type="paragraph" w:styleId="Ttulodendice">
    <w:name w:val="index heading"/>
    <w:basedOn w:val="Normal"/>
    <w:next w:val="ndice1"/>
    <w:semiHidden/>
    <w:rsid w:val="005543E4"/>
    <w:pPr>
      <w:keepNext/>
      <w:spacing w:before="440" w:line="220" w:lineRule="atLeast"/>
      <w:ind w:left="0"/>
    </w:pPr>
    <w:rPr>
      <w:b/>
      <w:caps/>
      <w:sz w:val="24"/>
      <w:szCs w:val="24"/>
    </w:rPr>
  </w:style>
  <w:style w:type="paragraph" w:styleId="Epgrafe">
    <w:name w:val="caption"/>
    <w:next w:val="Textoindependiente"/>
    <w:qFormat/>
    <w:rsid w:val="005543E4"/>
    <w:pPr>
      <w:keepNext/>
      <w:spacing w:before="120" w:after="220" w:line="220" w:lineRule="atLeast"/>
      <w:ind w:left="360"/>
    </w:pPr>
    <w:rPr>
      <w:rFonts w:ascii="Tahoma" w:hAnsi="Tahoma" w:cs="Tahoma"/>
      <w:i/>
      <w:spacing w:val="6"/>
      <w:sz w:val="16"/>
      <w:szCs w:val="16"/>
      <w:lang w:val="en-US" w:eastAsia="es-ES" w:bidi="hi-IN"/>
    </w:rPr>
  </w:style>
  <w:style w:type="paragraph" w:styleId="Tabladeilustraciones">
    <w:name w:val="table of figures"/>
    <w:basedOn w:val="Normal"/>
    <w:semiHidden/>
    <w:rsid w:val="005543E4"/>
    <w:pPr>
      <w:ind w:left="1440" w:hanging="360"/>
    </w:pPr>
  </w:style>
  <w:style w:type="paragraph" w:styleId="Textonotaalfinal">
    <w:name w:val="endnote text"/>
    <w:basedOn w:val="Normal"/>
    <w:semiHidden/>
    <w:rsid w:val="005543E4"/>
  </w:style>
  <w:style w:type="paragraph" w:styleId="Textoconsangra">
    <w:name w:val="table of authorities"/>
    <w:basedOn w:val="Normal"/>
    <w:semiHidden/>
    <w:rsid w:val="005543E4"/>
    <w:pPr>
      <w:tabs>
        <w:tab w:val="right" w:leader="dot" w:pos="7560"/>
      </w:tabs>
      <w:ind w:left="1440" w:hanging="360"/>
    </w:pPr>
  </w:style>
  <w:style w:type="paragraph" w:styleId="Textomacro">
    <w:name w:val="macro"/>
    <w:basedOn w:val="Normal"/>
    <w:semiHidden/>
    <w:rsid w:val="005543E4"/>
    <w:rPr>
      <w:rFonts w:ascii="Courier New" w:hAnsi="Courier New" w:cs="Courier New"/>
    </w:rPr>
  </w:style>
  <w:style w:type="paragraph" w:styleId="Encabezadodelista">
    <w:name w:val="toa heading"/>
    <w:basedOn w:val="Normal"/>
    <w:next w:val="Textoconsangra"/>
    <w:semiHidden/>
    <w:rsid w:val="005543E4"/>
    <w:pPr>
      <w:keepNext/>
      <w:spacing w:before="240" w:after="120" w:line="360" w:lineRule="exact"/>
    </w:pPr>
    <w:rPr>
      <w:rFonts w:ascii="Arial" w:hAnsi="Arial" w:cs="Arial"/>
      <w:b/>
      <w:kern w:val="28"/>
      <w:sz w:val="28"/>
      <w:szCs w:val="28"/>
    </w:rPr>
  </w:style>
  <w:style w:type="paragraph" w:styleId="Listaconvietas">
    <w:name w:val="List Bullet"/>
    <w:basedOn w:val="Normal"/>
    <w:rsid w:val="005543E4"/>
    <w:pPr>
      <w:numPr>
        <w:numId w:val="3"/>
      </w:numPr>
      <w:spacing w:after="200" w:line="240" w:lineRule="exact"/>
      <w:ind w:left="720"/>
    </w:pPr>
    <w:rPr>
      <w:spacing w:val="10"/>
      <w:sz w:val="17"/>
      <w:szCs w:val="17"/>
    </w:rPr>
  </w:style>
  <w:style w:type="paragraph" w:styleId="Listaconnmeros">
    <w:name w:val="List Number"/>
    <w:rsid w:val="005543E4"/>
    <w:pPr>
      <w:numPr>
        <w:numId w:val="6"/>
      </w:numPr>
      <w:spacing w:after="200" w:line="240" w:lineRule="exact"/>
    </w:pPr>
    <w:rPr>
      <w:rFonts w:ascii="Tahoma" w:hAnsi="Tahoma" w:cs="Tahoma"/>
      <w:spacing w:val="10"/>
      <w:sz w:val="17"/>
      <w:szCs w:val="17"/>
      <w:lang w:val="en-US" w:eastAsia="es-ES" w:bidi="hi-IN"/>
    </w:rPr>
  </w:style>
  <w:style w:type="paragraph" w:styleId="Ttulo">
    <w:name w:val="Title"/>
    <w:basedOn w:val="Normal"/>
    <w:next w:val="Normal"/>
    <w:qFormat/>
    <w:rsid w:val="005543E4"/>
    <w:pPr>
      <w:keepNext/>
      <w:keepLines/>
      <w:spacing w:before="600" w:after="40"/>
      <w:ind w:left="0"/>
    </w:pPr>
    <w:rPr>
      <w:spacing w:val="20"/>
      <w:kern w:val="28"/>
      <w:sz w:val="48"/>
      <w:szCs w:val="48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5543E4"/>
    <w:rPr>
      <w:rFonts w:ascii="Tahoma" w:hAnsi="Tahoma" w:hint="default"/>
      <w:spacing w:val="10"/>
      <w:sz w:val="17"/>
      <w:lang w:val="es-ES" w:eastAsia="es-ES" w:bidi="es-ES"/>
    </w:rPr>
  </w:style>
  <w:style w:type="paragraph" w:styleId="Textodeglobo">
    <w:name w:val="Balloon Text"/>
    <w:basedOn w:val="Normal"/>
    <w:semiHidden/>
    <w:rsid w:val="005543E4"/>
    <w:rPr>
      <w:rFonts w:cs="Times New Roman"/>
      <w:sz w:val="16"/>
      <w:szCs w:val="16"/>
    </w:rPr>
  </w:style>
  <w:style w:type="paragraph" w:customStyle="1" w:styleId="SubtitleSecondPage">
    <w:name w:val="Subtitle Second Page"/>
    <w:rsid w:val="005543E4"/>
    <w:pPr>
      <w:spacing w:after="200"/>
    </w:pPr>
    <w:rPr>
      <w:rFonts w:ascii="Tahoma" w:hAnsi="Tahoma" w:cs="Tahoma"/>
      <w:i/>
      <w:iCs/>
      <w:color w:val="808080"/>
      <w:spacing w:val="10"/>
      <w:lang w:val="es-ES" w:eastAsia="es-ES" w:bidi="es-ES"/>
    </w:rPr>
  </w:style>
  <w:style w:type="paragraph" w:customStyle="1" w:styleId="TableTextBold">
    <w:name w:val="Table Text Bold"/>
    <w:rsid w:val="005543E4"/>
    <w:rPr>
      <w:rFonts w:ascii="Tahoma" w:hAnsi="Tahoma" w:cs="Tahoma"/>
      <w:b/>
      <w:spacing w:val="6"/>
      <w:sz w:val="15"/>
      <w:szCs w:val="15"/>
      <w:lang w:val="es-ES" w:eastAsia="es-ES" w:bidi="es-ES"/>
    </w:rPr>
  </w:style>
  <w:style w:type="character" w:customStyle="1" w:styleId="BlockQuotationChar">
    <w:name w:val="Block Quotation Char"/>
    <w:basedOn w:val="Fuentedeprrafopredeter"/>
    <w:link w:val="BlockQuotation"/>
    <w:locked/>
    <w:rsid w:val="005543E4"/>
    <w:rPr>
      <w:rFonts w:ascii="Tahoma" w:hAnsi="Tahoma" w:hint="default"/>
      <w:i/>
      <w:iCs w:val="0"/>
      <w:spacing w:val="10"/>
      <w:sz w:val="17"/>
      <w:lang w:val="es-ES" w:eastAsia="es-ES" w:bidi="es-ES"/>
    </w:rPr>
  </w:style>
  <w:style w:type="paragraph" w:customStyle="1" w:styleId="BlockQuotation">
    <w:name w:val="Block Quotation"/>
    <w:basedOn w:val="Textoindependiente"/>
    <w:link w:val="BlockQuotationChar"/>
    <w:rsid w:val="005543E4"/>
    <w:pPr>
      <w:keepLines/>
      <w:spacing w:after="120"/>
      <w:ind w:left="360"/>
    </w:pPr>
    <w:rPr>
      <w:i/>
      <w:lang w:val="es-ES" w:bidi="es-ES"/>
    </w:rPr>
  </w:style>
  <w:style w:type="paragraph" w:customStyle="1" w:styleId="SubtitleItalic">
    <w:name w:val="Subtitle Italic"/>
    <w:next w:val="Textoindependiente"/>
    <w:rsid w:val="005543E4"/>
    <w:pPr>
      <w:spacing w:after="200" w:line="320" w:lineRule="exact"/>
    </w:pPr>
    <w:rPr>
      <w:rFonts w:ascii="Tahoma" w:hAnsi="Tahoma" w:cs="Tahoma"/>
      <w:i/>
      <w:color w:val="808080"/>
      <w:spacing w:val="20"/>
      <w:kern w:val="28"/>
      <w:sz w:val="28"/>
      <w:szCs w:val="28"/>
      <w:lang w:val="es-ES" w:eastAsia="es-ES" w:bidi="es-ES"/>
    </w:rPr>
  </w:style>
  <w:style w:type="character" w:customStyle="1" w:styleId="TitleCoverChar">
    <w:name w:val="Title Cover Char"/>
    <w:basedOn w:val="Fuentedeprrafopredeter"/>
    <w:link w:val="TitleCover"/>
    <w:locked/>
    <w:rsid w:val="005543E4"/>
    <w:rPr>
      <w:rFonts w:ascii="Tahoma" w:hAnsi="Tahoma" w:hint="default"/>
      <w:b/>
      <w:bCs w:val="0"/>
      <w:spacing w:val="20"/>
      <w:kern w:val="28"/>
      <w:sz w:val="60"/>
      <w:szCs w:val="72"/>
      <w:lang w:val="es-ES" w:eastAsia="es-ES" w:bidi="es-ES"/>
    </w:rPr>
  </w:style>
  <w:style w:type="paragraph" w:customStyle="1" w:styleId="TitleCover">
    <w:name w:val="Title Cover"/>
    <w:basedOn w:val="Normal"/>
    <w:next w:val="SubtitleItalic"/>
    <w:link w:val="TitleCoverChar"/>
    <w:rsid w:val="005543E4"/>
    <w:pPr>
      <w:keepNext/>
      <w:keepLines/>
      <w:spacing w:before="1600" w:after="200" w:line="600" w:lineRule="exact"/>
      <w:ind w:left="0"/>
    </w:pPr>
    <w:rPr>
      <w:b/>
      <w:spacing w:val="20"/>
      <w:kern w:val="28"/>
      <w:sz w:val="60"/>
      <w:szCs w:val="60"/>
      <w:lang w:val="es-ES" w:bidi="es-ES"/>
    </w:rPr>
  </w:style>
  <w:style w:type="paragraph" w:customStyle="1" w:styleId="CompanyName">
    <w:name w:val="Company Name"/>
    <w:basedOn w:val="Normal"/>
    <w:rsid w:val="005543E4"/>
    <w:pPr>
      <w:keepNext/>
      <w:keepLines/>
      <w:pBdr>
        <w:bottom w:val="single" w:sz="6" w:space="2" w:color="999999"/>
      </w:pBdr>
      <w:spacing w:line="220" w:lineRule="atLeast"/>
      <w:ind w:left="0"/>
    </w:pPr>
    <w:rPr>
      <w:spacing w:val="10"/>
      <w:kern w:val="28"/>
      <w:sz w:val="32"/>
      <w:szCs w:val="32"/>
      <w:lang w:val="es-ES" w:bidi="es-ES"/>
    </w:rPr>
  </w:style>
  <w:style w:type="paragraph" w:customStyle="1" w:styleId="TableText">
    <w:name w:val="Table Text"/>
    <w:rsid w:val="005543E4"/>
    <w:pPr>
      <w:spacing w:before="40" w:line="200" w:lineRule="atLeast"/>
    </w:pPr>
    <w:rPr>
      <w:rFonts w:ascii="Tahoma" w:hAnsi="Tahoma" w:cs="Tahoma"/>
      <w:spacing w:val="6"/>
      <w:sz w:val="15"/>
      <w:szCs w:val="15"/>
      <w:lang w:val="es-ES" w:eastAsia="es-ES" w:bidi="es-ES"/>
    </w:rPr>
  </w:style>
  <w:style w:type="character" w:customStyle="1" w:styleId="IndentedBodyTextChar">
    <w:name w:val="Indented Body Text Char"/>
    <w:basedOn w:val="Fuentedeprrafopredeter"/>
    <w:link w:val="IndentedBodyText"/>
    <w:locked/>
    <w:rsid w:val="005543E4"/>
    <w:rPr>
      <w:rFonts w:ascii="Verdana" w:hAnsi="Verdana" w:hint="default"/>
      <w:sz w:val="17"/>
      <w:lang w:val="es-ES" w:eastAsia="es-ES" w:bidi="es-ES"/>
    </w:rPr>
  </w:style>
  <w:style w:type="paragraph" w:customStyle="1" w:styleId="IndentedBodyText">
    <w:name w:val="Indented Body Text"/>
    <w:basedOn w:val="Normal"/>
    <w:link w:val="IndentedBodyTextChar"/>
    <w:rsid w:val="005543E4"/>
    <w:pPr>
      <w:spacing w:after="80" w:line="312" w:lineRule="auto"/>
      <w:ind w:left="360"/>
    </w:pPr>
    <w:rPr>
      <w:rFonts w:ascii="Verdana" w:hAnsi="Verdana" w:cs="Verdana"/>
      <w:sz w:val="17"/>
      <w:szCs w:val="17"/>
      <w:lang w:val="es-ES" w:bidi="es-ES"/>
    </w:rPr>
  </w:style>
  <w:style w:type="character" w:styleId="Refdenotaalpie">
    <w:name w:val="footnote reference"/>
    <w:semiHidden/>
    <w:rsid w:val="005543E4"/>
    <w:rPr>
      <w:vertAlign w:val="superscript"/>
    </w:rPr>
  </w:style>
  <w:style w:type="character" w:styleId="Refdecomentario">
    <w:name w:val="annotation reference"/>
    <w:semiHidden/>
    <w:rsid w:val="005543E4"/>
    <w:rPr>
      <w:sz w:val="16"/>
    </w:rPr>
  </w:style>
  <w:style w:type="character" w:styleId="Refdenotaalfinal">
    <w:name w:val="endnote reference"/>
    <w:semiHidden/>
    <w:rsid w:val="005543E4"/>
    <w:rPr>
      <w:b/>
      <w:bCs w:val="0"/>
      <w:vertAlign w:val="superscript"/>
    </w:rPr>
  </w:style>
  <w:style w:type="character" w:customStyle="1" w:styleId="Lead-inEmphasis">
    <w:name w:val="Lead-in Emphasis"/>
    <w:rsid w:val="005543E4"/>
    <w:rPr>
      <w:rFonts w:ascii="Tahoma" w:hAnsi="Tahoma" w:hint="default"/>
      <w:b/>
      <w:bCs w:val="0"/>
      <w:spacing w:val="4"/>
      <w:kern w:val="0"/>
      <w:lang w:val="es-ES" w:eastAsia="es-ES" w:bidi="es-ES"/>
    </w:rPr>
  </w:style>
  <w:style w:type="character" w:styleId="Nmerodepgina">
    <w:name w:val="page number"/>
    <w:basedOn w:val="Fuentedeprrafopredeter"/>
    <w:rsid w:val="005543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ilion%206409\AppData\Roaming\Microsoft\Templates\Business%20repor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1229</TotalTime>
  <Pages>3</Pages>
  <Words>904</Words>
  <Characters>4977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Teo Investigación y desarrollo</vt:lpstr>
    </vt:vector>
  </TitlesOfParts>
  <Company>Microsoft Corporation</Company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6409</dc:creator>
  <cp:lastModifiedBy>Pavilion 6409</cp:lastModifiedBy>
  <cp:revision>11</cp:revision>
  <cp:lastPrinted>2003-09-29T12:09:00Z</cp:lastPrinted>
  <dcterms:created xsi:type="dcterms:W3CDTF">2012-09-01T19:23:00Z</dcterms:created>
  <dcterms:modified xsi:type="dcterms:W3CDTF">2012-09-02T19:15:00Z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TC010178163082</vt:lpwstr>
  </property>
</Properties>
</file>