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  <w:t xml:space="preserve">Especificación de caso de uso: </w:t>
      </w:r>
      <w:r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Autorizar Envío</w:t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32783C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>
        <w:rPr>
          <w:rFonts w:ascii="Cambria,BoldItalic" w:hAnsi="Cambria,BoldItalic" w:cs="Cambria,BoldItalic"/>
          <w:b/>
          <w:bCs/>
          <w:i/>
          <w:iCs/>
          <w:noProof/>
          <w:color w:val="0070C1"/>
          <w:sz w:val="27"/>
          <w:szCs w:val="27"/>
          <w:lang w:eastAsia="es-AR"/>
        </w:rPr>
        <w:drawing>
          <wp:inline distT="0" distB="0" distL="0" distR="0">
            <wp:extent cx="2162175" cy="752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1.1 </w:t>
      </w:r>
      <w:r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>Autorizar Envío</w:t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1.2 </w:t>
      </w:r>
      <w:r w:rsidRPr="00513A3A"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  <w:t>Descripción</w:t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                Permite gestionar la autorización del envío de mercadería</w:t>
      </w:r>
    </w:p>
    <w:p w:rsidR="0032783C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32783C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2.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Actores</w:t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>2.1 Actor principal</w:t>
      </w:r>
    </w:p>
    <w:p w:rsidR="0032783C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Gerente de Logística </w:t>
      </w:r>
    </w:p>
    <w:p w:rsidR="0032783C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3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Precondiciones</w:t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Realizar </w:t>
      </w:r>
      <w:r w:rsidR="00153C60">
        <w:rPr>
          <w:rFonts w:cs="Calibri"/>
          <w:color w:val="000000"/>
          <w:sz w:val="21"/>
          <w:szCs w:val="21"/>
          <w:lang w:val="es-ES" w:eastAsia="es-ES"/>
        </w:rPr>
        <w:t>selección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previa de disponibilidad de vehículos</w:t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4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Flujo de Eventos</w:t>
      </w:r>
    </w:p>
    <w:p w:rsidR="0032783C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32783C" w:rsidRPr="008B5F7C" w:rsidRDefault="0032783C" w:rsidP="0032783C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4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.1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 xml:space="preserve">Flujo Básico  </w:t>
      </w:r>
    </w:p>
    <w:p w:rsidR="000C76A7" w:rsidRPr="000C76A7" w:rsidRDefault="000C76A7" w:rsidP="000C76A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32783C" w:rsidRDefault="000E485C" w:rsidP="0032783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Gerente de Logística a</w:t>
      </w:r>
      <w:r w:rsidR="00BF6F8E">
        <w:rPr>
          <w:rFonts w:cs="Calibri"/>
          <w:color w:val="000000"/>
          <w:sz w:val="21"/>
          <w:szCs w:val="21"/>
          <w:lang w:val="es-ES" w:eastAsia="es-ES"/>
        </w:rPr>
        <w:t xml:space="preserve">utoriza el envío </w:t>
      </w:r>
      <w:r w:rsidR="001127FD">
        <w:rPr>
          <w:rFonts w:cs="Calibri"/>
          <w:color w:val="000000"/>
          <w:sz w:val="21"/>
          <w:szCs w:val="21"/>
          <w:lang w:val="es-ES" w:eastAsia="es-ES"/>
        </w:rPr>
        <w:t>de mercadería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por sistema</w:t>
      </w:r>
      <w:r w:rsidR="00BF6F8E"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32783C" w:rsidRDefault="001127FD" w:rsidP="0032783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sistema enviará un aviso al transportista sobre el nuevo viaje que deberá efectuar.</w:t>
      </w:r>
    </w:p>
    <w:p w:rsidR="000E485C" w:rsidRDefault="000E485C" w:rsidP="0032783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sistema informará al transportista la cantidad de mercadería que deberá entregar en la sucursal.</w:t>
      </w:r>
    </w:p>
    <w:p w:rsidR="001127FD" w:rsidRDefault="000E485C" w:rsidP="0032783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sistema informará al transportista la ruta destino para efectuar la entrega de mercadería.</w:t>
      </w:r>
    </w:p>
    <w:p w:rsidR="000E485C" w:rsidRDefault="000E485C" w:rsidP="000E485C">
      <w:pPr>
        <w:pStyle w:val="Prrafodelista"/>
        <w:autoSpaceDE w:val="0"/>
        <w:autoSpaceDN w:val="0"/>
        <w:adjustRightInd w:val="0"/>
        <w:spacing w:after="0" w:line="240" w:lineRule="auto"/>
        <w:ind w:left="1263"/>
        <w:rPr>
          <w:rFonts w:cs="Calibri"/>
          <w:color w:val="000000"/>
          <w:sz w:val="21"/>
          <w:szCs w:val="21"/>
          <w:lang w:val="es-ES" w:eastAsia="es-ES"/>
        </w:rPr>
      </w:pPr>
    </w:p>
    <w:p w:rsidR="0032783C" w:rsidRPr="00513A3A" w:rsidRDefault="0032783C" w:rsidP="0032783C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cs="Calibri"/>
          <w:color w:val="000000"/>
          <w:sz w:val="21"/>
          <w:szCs w:val="21"/>
          <w:lang w:val="es-ES" w:eastAsia="es-ES"/>
        </w:rPr>
      </w:pPr>
    </w:p>
    <w:p w:rsidR="0032783C" w:rsidRPr="00850905" w:rsidRDefault="0032783C" w:rsidP="0032783C">
      <w:pPr>
        <w:pStyle w:val="Prrafodelista"/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  <w:r w:rsidRPr="00850905">
        <w:rPr>
          <w:rFonts w:cs="Calibri"/>
          <w:color w:val="000000"/>
          <w:sz w:val="21"/>
          <w:szCs w:val="21"/>
          <w:lang w:val="es-ES" w:eastAsia="es-ES"/>
        </w:rPr>
        <w:t xml:space="preserve">          </w:t>
      </w:r>
    </w:p>
    <w:p w:rsidR="0032783C" w:rsidRPr="00BF6F8E" w:rsidRDefault="0032783C" w:rsidP="00BF6F8E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BF6F8E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>Flujos Alternativos</w:t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bookmarkStart w:id="0" w:name="_GoBack"/>
      <w:bookmarkEnd w:id="0"/>
    </w:p>
    <w:p w:rsidR="0032783C" w:rsidRDefault="00BF6F8E" w:rsidP="00FC42A5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                   </w:t>
      </w:r>
      <w:r w:rsidR="00FC42A5">
        <w:rPr>
          <w:rFonts w:cs="Calibri"/>
          <w:color w:val="000000"/>
          <w:sz w:val="21"/>
          <w:szCs w:val="21"/>
          <w:lang w:val="es-ES" w:eastAsia="es-ES"/>
        </w:rPr>
        <w:t>No tiene</w:t>
      </w:r>
    </w:p>
    <w:p w:rsidR="0032783C" w:rsidRPr="00FC42A5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21"/>
          <w:szCs w:val="21"/>
          <w:lang w:val="es-ES" w:eastAsia="es-ES"/>
        </w:rPr>
      </w:pP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5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  <w:proofErr w:type="spellStart"/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Poscondiciones</w:t>
      </w:r>
      <w:proofErr w:type="spellEnd"/>
    </w:p>
    <w:p w:rsidR="0032783C" w:rsidRDefault="0032783C" w:rsidP="0032783C">
      <w:pPr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Ninguna</w:t>
      </w:r>
    </w:p>
    <w:p w:rsidR="0032783C" w:rsidRDefault="0032783C" w:rsidP="0032783C">
      <w:pPr>
        <w:rPr>
          <w:rFonts w:cs="Calibri"/>
          <w:color w:val="000000"/>
          <w:sz w:val="21"/>
          <w:szCs w:val="21"/>
          <w:lang w:val="es-ES" w:eastAsia="es-ES"/>
        </w:rPr>
      </w:pPr>
    </w:p>
    <w:p w:rsidR="0032783C" w:rsidRDefault="0032783C" w:rsidP="0032783C">
      <w:pPr>
        <w:rPr>
          <w:rFonts w:cs="Calibri"/>
          <w:color w:val="000000"/>
          <w:sz w:val="21"/>
          <w:szCs w:val="21"/>
          <w:lang w:val="es-ES" w:eastAsia="es-ES"/>
        </w:rPr>
      </w:pPr>
    </w:p>
    <w:p w:rsidR="006F23DD" w:rsidRDefault="006F23DD"/>
    <w:sectPr w:rsidR="006F23DD" w:rsidSect="00606E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91E11"/>
    <w:multiLevelType w:val="multilevel"/>
    <w:tmpl w:val="8758D408"/>
    <w:lvl w:ilvl="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176" w:hanging="57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176" w:hanging="57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176" w:hanging="57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6" w:hanging="57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76" w:hanging="57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76" w:hanging="57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76" w:hanging="57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76" w:hanging="5760"/>
      </w:pPr>
      <w:rPr>
        <w:rFonts w:hint="default"/>
      </w:rPr>
    </w:lvl>
  </w:abstractNum>
  <w:abstractNum w:abstractNumId="1">
    <w:nsid w:val="6FCF1892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263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983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703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423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143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863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583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303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023" w:hanging="180"/>
      </w:pPr>
      <w:rPr>
        <w:rFonts w:cs="Times New Roman"/>
      </w:rPr>
    </w:lvl>
  </w:abstractNum>
  <w:abstractNum w:abstractNumId="2">
    <w:nsid w:val="740C38BD"/>
    <w:multiLevelType w:val="multilevel"/>
    <w:tmpl w:val="F7143C72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1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ascii="Calibri" w:hAnsi="Calibri" w:cs="Calibri" w:hint="default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libri" w:hAnsi="Calibri" w:cs="Calibr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libri" w:hAnsi="Calibri" w:cs="Calibri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libri" w:hAnsi="Calibri" w:cs="Calibri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libri" w:hAnsi="Calibri" w:cs="Calibri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ascii="Calibri" w:hAnsi="Calibri" w:cs="Calibri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libri" w:hAnsi="Calibri" w:cs="Calibr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="Calibri" w:hAnsi="Calibri" w:cs="Calibri" w:hint="default"/>
        <w:b w:val="0"/>
        <w:i w:val="0"/>
        <w:sz w:val="21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3C"/>
    <w:rsid w:val="000C76A7"/>
    <w:rsid w:val="000E485C"/>
    <w:rsid w:val="001127FD"/>
    <w:rsid w:val="00153C60"/>
    <w:rsid w:val="0032783C"/>
    <w:rsid w:val="004D477C"/>
    <w:rsid w:val="006F23DD"/>
    <w:rsid w:val="008D0A3B"/>
    <w:rsid w:val="00BF6F8E"/>
    <w:rsid w:val="00FC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83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83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27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83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83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83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27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83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Yesi</cp:lastModifiedBy>
  <cp:revision>4</cp:revision>
  <cp:lastPrinted>2012-10-12T15:34:00Z</cp:lastPrinted>
  <dcterms:created xsi:type="dcterms:W3CDTF">2012-10-12T07:55:00Z</dcterms:created>
  <dcterms:modified xsi:type="dcterms:W3CDTF">2012-10-12T15:48:00Z</dcterms:modified>
</cp:coreProperties>
</file>