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964"/>
          <w:sz w:val="36"/>
        </w:rPr>
        <w:t>TFT-модель прогнозирования продаж АЗС</w:t>
      </w:r>
    </w:p>
    <w:p>
      <w:pPr>
        <w:jc w:val="center"/>
      </w:pPr>
      <w:r>
        <w:rPr>
          <w:i/>
          <w:color w:val="606060"/>
          <w:sz w:val="26"/>
        </w:rPr>
        <w:t>Описание данных, переменных, предобработки и архитектуры модели</w:t>
      </w:r>
    </w:p>
    <w:p>
      <w:pPr>
        <w:jc w:val="center"/>
      </w:pPr>
      <w:r>
        <w:t>Temporal Fusion Transformer (Lim et al., 2020)  |  Период: 2025 год  |  Станций: 5  |  Гранулярность: ежедневные данные</w:t>
      </w:r>
    </w:p>
    <w:p>
      <w:r>
        <w:br w:type="page"/>
      </w:r>
    </w:p>
    <w:p>
      <w:pPr>
        <w:pStyle w:val="Heading1"/>
      </w:pPr>
      <w:r>
        <w:rPr>
          <w:color w:val="1F3964"/>
        </w:rPr>
        <w:t>1. Источники данных</w:t>
      </w:r>
    </w:p>
    <w:p>
      <w:r>
        <w:rPr>
          <w:b/>
          <w:i w:val="0"/>
          <w:sz w:val="20"/>
        </w:rPr>
        <w:t>В работе используются два исходных файла для 5 АЗС Татнефть: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Файл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Строк</w:t>
            </w:r>
          </w:p>
        </w:tc>
        <w:tc>
          <w:tcPr>
            <w:tcW w:type="dxa" w:w="1417"/>
            <w:shd w:fill="1F3964" w:val="clear"/>
          </w:tcPr>
          <w:p>
            <w:r>
              <w:rPr>
                <w:b/>
                <w:color w:val="FFFFFF"/>
                <w:sz w:val="18"/>
              </w:rPr>
              <w:t>Колонок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Содержимое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gas_stations_static.csv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Паспорт АЗС: тип дороги, услуги, количество колонок, характеристики расположения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gas_stations_temporal_daily_2025.csv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1825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Ежедневные данные 2025 г.: погода, трафик, продажи, цены, акции, метрики клиентов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merged_data.csv (LEFT JOIN по station_id)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1825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115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Объединённый датасет: все временные данные + статические характеристики АЗС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prepared_data.csv (после предобработки)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1825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133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Нормализованный датасет для подачи в TimeSeriesDataSet</w:t>
            </w:r>
          </w:p>
        </w:tc>
      </w:tr>
    </w:tbl>
    <w:p/>
    <w:p>
      <w:r>
        <w:rPr>
          <w:b w:val="0"/>
          <w:i w:val="0"/>
          <w:sz w:val="20"/>
        </w:rPr>
        <w:t>LEFT JOIN добавляет к каждой из 1825 строк временного ряда статические признаки из паспорта АЗС. Временной ряд: 2025-01-01 — 2025-12-31 (365 дней x 5 станций). Пропущенных дат нет.</w:t>
      </w:r>
    </w:p>
    <w:p>
      <w:pPr>
        <w:pStyle w:val="Heading1"/>
      </w:pPr>
      <w:r>
        <w:rPr>
          <w:color w:val="1F3964"/>
        </w:rPr>
        <w:t>2. Исключённые переменные (не подаются в модель)</w:t>
      </w:r>
    </w:p>
    <w:p>
      <w:r>
        <w:rPr>
          <w:b w:val="0"/>
          <w:i w:val="0"/>
          <w:sz w:val="20"/>
        </w:rPr>
        <w:t>Из 115 колонок объединённого датасета 8 исключены как избыточные. Остаётся 115 - 8 = 107 колонок. Препроцессинг добавляет 26 новых колонок (7 _enc + 6 sin/cos + 1 time_idx + 12 _orig). Итого в prepared_data.csv: 133 колонок.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7370"/>
            <w:shd w:fill="1F3964" w:val="clear"/>
          </w:tcPr>
          <w:p>
            <w:r>
              <w:rPr>
                <w:b/>
                <w:color w:val="FFFFFF"/>
                <w:sz w:val="18"/>
              </w:rPr>
              <w:t>Причина исключения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station_name</w:t>
            </w:r>
          </w:p>
        </w:tc>
        <w:tc>
          <w:tcPr>
            <w:tcW w:type="dxa" w:w="7370"/>
            <w:shd w:fill="F2F2F2" w:val="clear"/>
          </w:tcPr>
          <w:p>
            <w:r>
              <w:rPr>
                <w:sz w:val="18"/>
              </w:rPr>
              <w:t>Служебная строка; идентификатор станции — station_id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total_pumps</w:t>
            </w:r>
          </w:p>
        </w:tc>
        <w:tc>
          <w:tcPr>
            <w:tcW w:type="dxa" w:w="7370"/>
            <w:shd w:fill="FFFFFF" w:val="clear"/>
          </w:tcPr>
          <w:p>
            <w:r>
              <w:rPr>
                <w:sz w:val="18"/>
              </w:rPr>
              <w:t>= sum(num_pumps_AI92, num_pumps_AI95, …) — дублирует детальные колонки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total_fuel_sales</w:t>
            </w:r>
          </w:p>
        </w:tc>
        <w:tc>
          <w:tcPr>
            <w:tcW w:type="dxa" w:w="7370"/>
            <w:shd w:fill="F2F2F2" w:val="clear"/>
          </w:tcPr>
          <w:p>
            <w:r>
              <w:rPr>
                <w:sz w:val="18"/>
              </w:rPr>
              <w:t>= sum(sales_AI92, sales_AI95, …) — дублирует целевые переменные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quarter</w:t>
            </w:r>
          </w:p>
        </w:tc>
        <w:tc>
          <w:tcPr>
            <w:tcW w:type="dxa" w:w="7370"/>
            <w:shd w:fill="FFFFFF" w:val="clear"/>
          </w:tcPr>
          <w:p>
            <w:r>
              <w:rPr>
                <w:sz w:val="18"/>
              </w:rPr>
              <w:t>Однозначно выводится из month; избыточен для модели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traffic_uroven_jbslugi_1_poputn</w:t>
            </w:r>
          </w:p>
        </w:tc>
        <w:tc>
          <w:tcPr>
            <w:tcW w:type="dxa" w:w="7370"/>
            <w:shd w:fill="F2F2F2" w:val="clear"/>
          </w:tcPr>
          <w:p>
            <w:r>
              <w:rPr>
                <w:sz w:val="18"/>
              </w:rPr>
              <w:t>Уровень обслуживания дороги A–F (строка): дублирует числовые счётчики трафика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traffic_uroven_jbslugi_2_poputn</w:t>
            </w:r>
          </w:p>
        </w:tc>
        <w:tc>
          <w:tcPr>
            <w:tcW w:type="dxa" w:w="7370"/>
            <w:shd w:fill="FFFFFF" w:val="clear"/>
          </w:tcPr>
          <w:p>
            <w:r>
              <w:rPr>
                <w:sz w:val="18"/>
              </w:rPr>
              <w:t>То же, полоса 2, попутное направление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traffic_uroven_jbslugi_1_wstrechn</w:t>
            </w:r>
          </w:p>
        </w:tc>
        <w:tc>
          <w:tcPr>
            <w:tcW w:type="dxa" w:w="7370"/>
            <w:shd w:fill="F2F2F2" w:val="clear"/>
          </w:tcPr>
          <w:p>
            <w:r>
              <w:rPr>
                <w:sz w:val="18"/>
              </w:rPr>
              <w:t>Уровень обслуживания дороги A–F, полоса 1, встречное направление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traffic_uroven_jbslugi_2_wstrechn</w:t>
            </w:r>
          </w:p>
        </w:tc>
        <w:tc>
          <w:tcPr>
            <w:tcW w:type="dxa" w:w="7370"/>
            <w:shd w:fill="FFFFFF" w:val="clear"/>
          </w:tcPr>
          <w:p>
            <w:r>
              <w:rPr>
                <w:sz w:val="18"/>
              </w:rPr>
              <w:t>То же, полоса 2, встречное направление</w:t>
            </w:r>
          </w:p>
        </w:tc>
      </w:tr>
    </w:tbl>
    <w:p>
      <w:pPr>
        <w:pStyle w:val="Heading1"/>
      </w:pPr>
      <w:r>
        <w:rPr>
          <w:color w:val="1F3964"/>
        </w:rPr>
        <w:t>3. Таксономия переменных TFT</w:t>
      </w:r>
    </w:p>
    <w:p>
      <w:r>
        <w:rPr>
          <w:b/>
          <w:i w:val="0"/>
          <w:sz w:val="20"/>
        </w:rPr>
        <w:t>Temporal Fusion Transformer (Lim et al., 2020) принимает три типа входов. Разделение определяет, какую информацию модель использует при прогнозировании: статические — зашиты в контекстный вектор; известные будущие — подаются в декодер; наблюдаемые прошлые — только в энкодер.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Тип входа TFT</w:t>
            </w:r>
          </w:p>
        </w:tc>
        <w:tc>
          <w:tcPr>
            <w:tcW w:type="dxa" w:w="6236"/>
            <w:shd w:fill="1F3964" w:val="clear"/>
          </w:tcPr>
          <w:p>
            <w:r>
              <w:rPr>
                <w:b/>
                <w:color w:val="FFFFFF"/>
                <w:sz w:val="18"/>
              </w:rPr>
              <w:t>Определение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sz w:val="18"/>
              </w:rPr>
              <w:t>Категориальные свойства АЗС, не меняющиеся во времени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sz w:val="18"/>
              </w:rPr>
              <w:t>Числовые свойства АЗС из паспорта (metadata). Не нормализуются.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time_varying_known_categoricals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sz w:val="18"/>
              </w:rPr>
              <w:t>Категориальные признаки, известные заранее или задаваемые в what-if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time_varying_known_reals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sz w:val="18"/>
              </w:rPr>
              <w:t>Числовые признаки, известные на весь горизонт прогноза (время, погода, трафик, цены). Только эти переменные можно менять в сценарном what-if анализе.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53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time_varying_unknown_reals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sz w:val="18"/>
              </w:rPr>
              <w:t>Наблюдаемые прошлые: известны за прошлые периоды, недоступны для горизонта прогноза. Клиентские метрики и производные трафика.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18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sz w:val="18"/>
              </w:rPr>
              <w:t>12 целевых переменных (5 видов топлива + 7 категорий магазина). TFT использует их как авторегрессивные входы энкодера автоматически.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12</w:t>
            </w:r>
          </w:p>
        </w:tc>
      </w:tr>
    </w:tbl>
    <w:p>
      <w:pPr>
        <w:pStyle w:val="Heading2"/>
      </w:pPr>
      <w:r>
        <w:rPr>
          <w:color w:val="2E74B5"/>
        </w:rPr>
        <w:t>3.1 Статические переменные</w:t>
      </w:r>
    </w:p>
    <w:p>
      <w:r>
        <w:rPr>
          <w:b w:val="0"/>
          <w:i w:val="0"/>
          <w:sz w:val="20"/>
        </w:rPr>
        <w:t>Паспортные данные АЗС из gas_stations_static.csv. Не изменяются во времени. TFT строит для них глобальный статический энкодер (контекстный вектор). Категориальные не нормализуются (эмбеддинги); числовые — Z-score не применяется.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 (оригинал)</w:t>
            </w:r>
          </w:p>
        </w:tc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Тип TFT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  <w:tc>
          <w:tcPr>
            <w:tcW w:type="dxa" w:w="3402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road_type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LabelEncoder -&gt; road_type_enc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Тип дороги (федеральная / региональная / местная)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road_level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LabelEncoder -&gt; road_level_enc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Уровень дороги (числовой код: 1, 5, …). Порядковая категория, не число.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direction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LabelEncoder -&gt; direction_enc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Направление (транзит-трассовая / городская и др.)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settlement_size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LabelEncoder -&gt; settlement_size_enc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Размер ближайшего населённого пункта (код 1–6). Порядковая категория.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distance_to_city_km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LabelEncoder -&gt; distance_to_city_km_enc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Расстояние до ближайшего города (код 0–6). Порядковая категория.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shop_area_m2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Площадь магазина, м²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num_pumps_AI92/95/AI100_bio/DT/DT_bio/... (10 к.)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— (целые числа)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Количество колонок по каждому виду топлива (AI92, AI92_bio, AI95, AI95_bio, AI100_bio, DT, DT_bio, SUG, KPG, SPG)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has_car_wash / has_tire_service / has_cafe / has_hotel / has_shop (5 к.)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— (бинарные)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Наличие основных сервисов (0/1)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has_shop_молельная_комната / has_shop_прачечная / has_shop_электрозарядная_станция / has_shop_подкачка_шин (4 к.)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— (бинарные)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Наличие дополнительных услуг магазина (0/1)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competitors_wink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Число конкурирующих АЗС поблизости (данные Wink)</w:t>
            </w:r>
          </w:p>
        </w:tc>
      </w:tr>
    </w:tbl>
    <w:p>
      <w:pPr>
        <w:pStyle w:val="Heading2"/>
      </w:pPr>
      <w:r>
        <w:rPr>
          <w:color w:val="2E74B5"/>
        </w:rPr>
        <w:t>3.2 Известные будущие переменные</w:t>
      </w:r>
    </w:p>
    <w:p>
      <w:r>
        <w:rPr>
          <w:b w:val="0"/>
          <w:i w:val="0"/>
          <w:sz w:val="20"/>
        </w:rPr>
        <w:t>Признаки, задаваемые заранее (расписание, метеопрогноз, плановые акции) или устанавливаемые пользователем в what-if сценарии. TFT подаёт их и в энкодер (ретроспектива), и в декодер (горизонт прогноза). Именно поэтому к ним применима сценарная аналитика.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 / Группа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Тип TFT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  <w:tc>
          <w:tcPr>
            <w:tcW w:type="dxa" w:w="3685"/>
            <w:shd w:fill="1F3964" w:val="clear"/>
          </w:tcPr>
          <w:p>
            <w:r>
              <w:rPr>
                <w:b/>
                <w:color w:val="FFFFFF"/>
                <w:sz w:val="18"/>
              </w:rPr>
              <w:t>Обоснование / what-if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season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LabelEncoder -&gt; season_enc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Сезон известен заранее; what-if: другой сезон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holiday_name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NaN-&gt;'нет_праздника'; LabelEncoder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Государственные праздники известны заранее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day_of_week, day_of_week_sin, day_of_week_cos (3)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sin/cos(2*pi*d/7)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День недели; циклическое кодирование устраняет разрыв Вс-&gt;Пн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week_of_year, week_of_year_sin, week_of_year_cos (3)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sin/cos(2*pi*w/52)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Номер недели (сезонность)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month, month_sin, month_cos (3)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sin/cos(2*pi*m/12)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Месяц (месячная сезонность)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is_weekend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Выходной день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is_holiday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Праздничный день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weather_condition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— (бинарный 0/1)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Тип погоды: 0 = ясно/облачно, 1 = осадки/плохая видимость; задаётся по метеопрогнозу; what-if: 'что если осадки?'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temperature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Z-score (только train)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Температура воздуха, °C; what-if: ожидаемая температура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precipitation_mm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Z-score (только train)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Осадки, мм; what-if: интенсивность осадков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promotion_fuel_active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Акция на топливо активна; what-if: включить/выключить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promotion_shop_active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Акция в магазине; what-if: эффект промо-кампании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promotion_cafe_active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Акция в кафе; what-if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price_AI92 / AI95 / DT / DT_bio / AI100_bio (5 к.)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Z-score (только train)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Текущие цены топлива, руб/л; ежедневно меняются в 2025 г.; what-if: сценарий ценообразования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traffic_Passengers_cars / Truck_short / Truck / Truck_long / Transporter / Undefined, полоса 1+2, попутн. (12 к.)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Z-score (только train)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Счётчики ТС по типам, попутное направление; прогнозируются службами дорожного движения; what-if: высокий/низкий трафик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traffic_* встречное направление, полоса 1+2 (12 к.)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Z-score (только train)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Счётчики ТС, встречное направление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competitor_price_AI92 / AI95 / DT (3 к.)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Z-score (только train)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Цены небрендовых конкурентов; what-if: снижение/повышение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competitor_price_AI92_brend / AI95_brend / DT_brend / AI100 (4 к.)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Z-score (только train)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Цены брендовых конкурентов + AI100 конкурентов; what-if</w:t>
            </w:r>
          </w:p>
        </w:tc>
      </w:tr>
    </w:tbl>
    <w:p>
      <w:pPr>
        <w:pStyle w:val="Heading2"/>
      </w:pPr>
      <w:r>
        <w:rPr>
          <w:color w:val="2E74B5"/>
        </w:rPr>
        <w:t>3.3 Наблюдаемые прошлые (time_varying_unknown_reals)</w:t>
      </w:r>
    </w:p>
    <w:p>
      <w:r>
        <w:rPr>
          <w:b w:val="0"/>
          <w:i w:val="0"/>
          <w:sz w:val="20"/>
        </w:rPr>
        <w:t>В данном проекте TIME_VARYING_UNKNOWN_REALS содержит 18 переменных: клиентские метрики и производные показатели трафика.</w:t>
      </w:r>
    </w:p>
    <w:p>
      <w:r>
        <w:rPr>
          <w:b w:val="0"/>
          <w:i w:val="0"/>
          <w:sz w:val="20"/>
        </w:rPr>
        <w:t>Эти переменные ИЗВЕСТНЫ за прошлые периоды (энкодер видит их), но НЕ МОГУТ быть заданы для горизонта прогноза (7 дн.): они не прогнозируются службами заранее и не задаются в what-if сценарии.</w:t>
      </w:r>
    </w:p>
    <w:p>
      <w:r>
        <w:rPr>
          <w:b w:val="0"/>
          <w:i w:val="0"/>
          <w:sz w:val="20"/>
        </w:rPr>
        <w:t>Трафик-счётчики (количество ТС по типам, полоса 1 и 2) перенесены в KNOWN_REALS: прогнозируются дорожными службами. Производные метрики трафика (скорость, плотность, интенсивность) остаются в UNKNOWN: они вычисляются из счётчиков и требуют симуляции дорожного потока.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402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 / Группа</w:t>
            </w:r>
          </w:p>
        </w:tc>
        <w:tc>
          <w:tcPr>
            <w:tcW w:type="dxa" w:w="7087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corporate_customer_ratio</w:t>
            </w:r>
          </w:p>
        </w:tc>
        <w:tc>
          <w:tcPr>
            <w:tcW w:type="dxa" w:w="7087"/>
            <w:shd w:fill="F2F2F2" w:val="clear"/>
          </w:tcPr>
          <w:p>
            <w:r>
              <w:rPr>
                <w:sz w:val="18"/>
              </w:rPr>
              <w:t>Доля корпоративных клиентов в день. Наблюдается по факту, не прогнозируется.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customer_loyalty_score</w:t>
            </w:r>
          </w:p>
        </w:tc>
        <w:tc>
          <w:tcPr>
            <w:tcW w:type="dxa" w:w="7087"/>
            <w:shd w:fill="FFFFFF" w:val="clear"/>
          </w:tcPr>
          <w:p>
            <w:r>
              <w:rPr>
                <w:sz w:val="18"/>
              </w:rPr>
              <w:t>Оценка лояльности клиентов. Меняется ежедневно, не прогнозируется заранее.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traffic_scorost_1_poputn / 2_poputn / 1_wstrechn / 2_wstrechn (4 к.)</w:t>
            </w:r>
          </w:p>
        </w:tc>
        <w:tc>
          <w:tcPr>
            <w:tcW w:type="dxa" w:w="7087"/>
            <w:shd w:fill="F2F2F2" w:val="clear"/>
          </w:tcPr>
          <w:p>
            <w:r>
              <w:rPr>
                <w:sz w:val="18"/>
              </w:rPr>
              <w:t>Средняя скорость потока, км/ч. Производная от объёма ТС.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traffic_plotnost_1/2 (poputn+wstrechn = 4 к.)</w:t>
            </w:r>
          </w:p>
        </w:tc>
        <w:tc>
          <w:tcPr>
            <w:tcW w:type="dxa" w:w="7087"/>
            <w:shd w:fill="FFFFFF" w:val="clear"/>
          </w:tcPr>
          <w:p>
            <w:r>
              <w:rPr>
                <w:sz w:val="18"/>
              </w:rPr>
              <w:t>Плотность потока, авт/км.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traffic_intensiv_priv_1/2 (poputn+wstrechn = 4 к.)</w:t>
            </w:r>
          </w:p>
        </w:tc>
        <w:tc>
          <w:tcPr>
            <w:tcW w:type="dxa" w:w="7087"/>
            <w:shd w:fill="F2F2F2" w:val="clear"/>
          </w:tcPr>
          <w:p>
            <w:r>
              <w:rPr>
                <w:sz w:val="18"/>
              </w:rPr>
              <w:t>Интенсивность приведённого потока, авт/ч.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traffic_intensiv_fiz_1/2 (poputn+wstrechn = 4 к.)</w:t>
            </w:r>
          </w:p>
        </w:tc>
        <w:tc>
          <w:tcPr>
            <w:tcW w:type="dxa" w:w="7087"/>
            <w:shd w:fill="FFFFFF" w:val="clear"/>
          </w:tcPr>
          <w:p>
            <w:r>
              <w:rPr>
                <w:sz w:val="18"/>
              </w:rPr>
              <w:t>Интенсивность физического потока, авт/ч.</w:t>
            </w:r>
          </w:p>
        </w:tc>
      </w:tr>
    </w:tbl>
    <w:p>
      <w:pPr>
        <w:pStyle w:val="Heading2"/>
      </w:pPr>
      <w:r>
        <w:rPr>
          <w:color w:val="2E74B5"/>
        </w:rPr>
        <w:t>3.4 Целевые переменные (12 штук)</w:t>
      </w:r>
    </w:p>
    <w:p>
      <w:r>
        <w:rPr>
          <w:b w:val="0"/>
          <w:i w:val="0"/>
          <w:sz w:val="20"/>
        </w:rPr>
        <w:t>TFT прогнозирует 12 переменных совместно, используя взаимные корреляции (покупатели топлива = покупатели магазина). Модель выдаёт квантильные прогнозы [q2, q10, q25, q50, q75, q90, q98] для каждой цели.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402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Диапазон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Skew до log1p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Skew после log1p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sales_AI92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1385-10389 л/день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1.60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1.08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sales_AI95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1132-9367 л/день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1.57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1.07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sales_DT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1016-13074 л/день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1.44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0.82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sales_DT_bio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0-1881 л/день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1.82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-0.16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sales_AI100_bio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0-3642 л/день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2.36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1.59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shop_напитки_безалкогольные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620-15064 руб/день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1.37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0.39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shop_кондитерка_снеки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496-12052 руб/день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1.37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0.39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shop_мороженое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62-4519 руб/день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2.67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0.42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shop_автотовары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298-10846 руб/день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1.50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0.42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shop_кафе_вся_еда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744-20728 руб/день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1.39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0.39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shop_кофе_все_горячие_напитки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992-24103 руб/день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1.37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0.39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shop_табак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1240-30129 руб/день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1.37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0.39</w:t>
            </w:r>
          </w:p>
        </w:tc>
      </w:tr>
    </w:tbl>
    <w:p/>
    <w:p>
      <w:r>
        <w:rPr>
          <w:b w:val="0"/>
          <w:i w:val="0"/>
          <w:sz w:val="20"/>
        </w:rPr>
        <w:t>log1p(x) = log(1+x) снижает правостороннюю асимметрию продаж (skew 2-4 -&gt; 0.2-1.5). Работает при x=0 (дни с нулевыми продажами). TorchNormalizer(method='robust') внутри TFT дополнительно нормализует по медиане и IQR.</w:t>
      </w:r>
    </w:p>
    <w:p>
      <w:pPr>
        <w:pStyle w:val="Heading1"/>
      </w:pPr>
      <w:r>
        <w:rPr>
          <w:color w:val="1F3964"/>
        </w:rPr>
        <w:t>4. Предобработка данных</w:t>
      </w:r>
    </w:p>
    <w:p>
      <w:r>
        <w:rPr>
          <w:b/>
          <w:i w:val="0"/>
          <w:sz w:val="20"/>
        </w:rPr>
        <w:t>Файл: eda/eda_preprocessing.py. Порядок шагов строго фиксирован.</w:t>
      </w:r>
    </w:p>
    <w:p>
      <w:pPr>
        <w:pStyle w:val="Heading3"/>
      </w:pPr>
      <w:r>
        <w:rPr>
          <w:color w:val="37868C"/>
        </w:rPr>
        <w:t>Шаг 1. Заполнение пропусков</w:t>
      </w:r>
    </w:p>
    <w:p>
      <w:pPr/>
      <w:r>
        <w:rPr>
          <w:sz w:val="20"/>
        </w:rPr>
        <w:t>Одно поле содержит пропуски:</w:t>
      </w:r>
    </w:p>
    <w:p>
      <w:pPr>
        <w:pStyle w:val="ListBullet"/>
      </w:pPr>
      <w:r>
        <w:rPr>
          <w:sz w:val="20"/>
        </w:rPr>
        <w:t>- holiday_name: заполняется значением 'нет_праздника'</w:t>
      </w:r>
    </w:p>
    <w:p>
      <w:pPr/>
      <w:r>
        <w:rPr>
          <w:sz w:val="20"/>
        </w:rPr>
        <w:t xml:space="preserve">    (~99% строк — обычные дни без праздника)</w:t>
      </w:r>
    </w:p>
    <w:p>
      <w:pPr/>
      <w:r>
        <w:rPr>
          <w:sz w:val="20"/>
        </w:rPr>
        <w:t>Удаление строк с пропусками недопустимо: нарушило бы непрерывность временного ряда.</w:t>
      </w:r>
    </w:p>
    <w:p>
      <w:pPr>
        <w:pStyle w:val="Heading3"/>
      </w:pPr>
      <w:r>
        <w:rPr>
          <w:color w:val="37868C"/>
        </w:rPr>
        <w:t>Шаг 2. Исключение избыточных колонок (8 штук)</w:t>
      </w:r>
    </w:p>
    <w:p>
      <w:pPr/>
      <w:r>
        <w:rPr>
          <w:sz w:val="20"/>
        </w:rPr>
        <w:t>Из датафрейма удаляются 8 избыточных колонок (см. раздел 2):</w:t>
      </w:r>
    </w:p>
    <w:p>
      <w:pPr>
        <w:pStyle w:val="ListBullet"/>
      </w:pPr>
      <w:r>
        <w:rPr>
          <w:sz w:val="20"/>
        </w:rPr>
        <w:t>- station_name  — служебная строка</w:t>
      </w:r>
    </w:p>
    <w:p>
      <w:pPr>
        <w:pStyle w:val="ListBullet"/>
      </w:pPr>
      <w:r>
        <w:rPr>
          <w:sz w:val="20"/>
        </w:rPr>
        <w:t>- total_pumps   — = sum(num_pumps_*), дублирует детальные</w:t>
      </w:r>
    </w:p>
    <w:p>
      <w:pPr>
        <w:pStyle w:val="ListBullet"/>
      </w:pPr>
      <w:r>
        <w:rPr>
          <w:sz w:val="20"/>
        </w:rPr>
        <w:t>- total_fuel_sales — = sum(sales_*), дублирует целевые</w:t>
      </w:r>
    </w:p>
    <w:p>
      <w:pPr>
        <w:pStyle w:val="ListBullet"/>
      </w:pPr>
      <w:r>
        <w:rPr>
          <w:sz w:val="20"/>
        </w:rPr>
        <w:t>- quarter       — выводится из month</w:t>
      </w:r>
    </w:p>
    <w:p>
      <w:pPr>
        <w:pStyle w:val="ListBullet"/>
      </w:pPr>
      <w:r>
        <w:rPr>
          <w:sz w:val="20"/>
        </w:rPr>
        <w:t>- traffic_uroven_jbslugi_1/2_poputn — уровень обслуживания A-F, строки</w:t>
      </w:r>
    </w:p>
    <w:p>
      <w:pPr>
        <w:pStyle w:val="ListBullet"/>
      </w:pPr>
      <w:r>
        <w:rPr>
          <w:sz w:val="20"/>
        </w:rPr>
        <w:t>- traffic_uroven_jbslugi_1/2_wstrechn — то же, встречное направление</w:t>
      </w:r>
    </w:p>
    <w:p>
      <w:pPr/>
      <w:r>
        <w:rPr>
          <w:sz w:val="20"/>
        </w:rPr>
        <w:t>После исключения: 115 - 8 = 107 колонок.</w:t>
      </w:r>
    </w:p>
    <w:p>
      <w:pPr/>
      <w:r>
        <w:rPr>
          <w:sz w:val="20"/>
        </w:rPr>
        <w:t>Winsorization не применяется: не описана в статье TFT (Lim et al., 2020); выбросы целевых переменных обрабатываются TorchNormalizer(robust) внутри модели.</w:t>
      </w:r>
    </w:p>
    <w:p>
      <w:pPr>
        <w:pStyle w:val="Heading3"/>
      </w:pPr>
      <w:r>
        <w:rPr>
          <w:color w:val="37868C"/>
        </w:rPr>
        <w:t>Шаг 3. Label Encoding категориальных переменных</w:t>
      </w:r>
    </w:p>
    <w:p>
      <w:pPr/>
      <w:r>
        <w:rPr>
          <w:sz w:val="20"/>
        </w:rPr>
        <w:t>Закодировано 7 колонок:</w:t>
      </w:r>
    </w:p>
    <w:p>
      <w:pPr/>
      <w:r>
        <w:rPr>
          <w:sz w:val="20"/>
        </w:rPr>
        <w:t xml:space="preserve">  Строковые категории (4 шт.): road_type, direction, season, holiday_name</w:t>
      </w:r>
    </w:p>
    <w:p>
      <w:pPr/>
      <w:r>
        <w:rPr>
          <w:sz w:val="20"/>
        </w:rPr>
        <w:t xml:space="preserve">  Числовые коды категорий (3 шт.): road_level, settlement_size, distance_to_city_km</w:t>
      </w:r>
    </w:p>
    <w:p>
      <w:pPr/>
      <w:r>
        <w:rPr>
          <w:sz w:val="20"/>
        </w:rPr>
        <w:t xml:space="preserve">    -&gt; эти поля содержат коды (1=малый город, 6=мегаполис), не числа</w:t>
      </w:r>
    </w:p>
    <w:p>
      <w:pPr/>
      <w:r>
        <w:rPr>
          <w:sz w:val="20"/>
        </w:rPr>
        <w:t xml:space="preserve">    -&gt; нормализация Z-score некорректна; нужен LabelEncoder + эмбеддинг</w:t>
      </w:r>
    </w:p>
    <w:p>
      <w:pPr/>
      <w:r>
        <w:rPr>
          <w:sz w:val="20"/>
        </w:rPr>
        <w:t>Для каждой колонки создаётся новая с суффиксом _enc.</w:t>
      </w:r>
    </w:p>
    <w:p>
      <w:pPr/>
      <w:r>
        <w:rPr>
          <w:sz w:val="20"/>
        </w:rPr>
        <w:t>Итого: 107 + 7 = 114 колонок.</w:t>
      </w:r>
    </w:p>
    <w:p>
      <w:pPr/>
      <w:r>
        <w:rPr>
          <w:sz w:val="20"/>
        </w:rPr>
        <w:t>LabelEncoder обучается (fit) на ВСЕХ 1825 строках, чтобы словарь</w:t>
      </w:r>
    </w:p>
    <w:p>
      <w:pPr/>
      <w:r>
        <w:rPr>
          <w:sz w:val="20"/>
        </w:rPr>
        <w:t>содержал все категории, включая праздники только в ноябре/декабре.</w:t>
      </w:r>
    </w:p>
    <w:p>
      <w:pPr/>
      <w:r>
        <w:rPr>
          <w:sz w:val="20"/>
        </w:rPr>
        <w:t>Для категориального кодирования (не для обучения модели) это допустимо.</w:t>
      </w:r>
    </w:p>
    <w:p>
      <w:pPr>
        <w:pStyle w:val="Heading3"/>
      </w:pPr>
      <w:r>
        <w:rPr>
          <w:color w:val="37868C"/>
        </w:rPr>
        <w:t>Шаг 4. Циклическое sin/cos кодирование</w:t>
      </w:r>
    </w:p>
    <w:p>
      <w:pPr/>
      <w:r>
        <w:rPr>
          <w:sz w:val="20"/>
        </w:rPr>
        <w:t>Ежедневные данные имеют 3 цикличных признака (hour отсутствует):</w:t>
      </w:r>
    </w:p>
    <w:p>
      <w:pPr/>
      <w:r>
        <w:rPr>
          <w:sz w:val="20"/>
        </w:rPr>
        <w:t xml:space="preserve">  day_of_week (период 7):  day_of_week_sin, day_of_week_cos</w:t>
      </w:r>
    </w:p>
    <w:p>
      <w:pPr/>
      <w:r>
        <w:rPr>
          <w:sz w:val="20"/>
        </w:rPr>
        <w:t xml:space="preserve">  week_of_year (период 52): week_of_year_sin, week_of_year_cos</w:t>
      </w:r>
    </w:p>
    <w:p>
      <w:pPr/>
      <w:r>
        <w:rPr>
          <w:sz w:val="20"/>
        </w:rPr>
        <w:t xml:space="preserve">  month (период 12):        month_sin, month_cos</w:t>
      </w:r>
    </w:p>
    <w:p>
      <w:pPr/>
      <w:r>
        <w:rPr>
          <w:sz w:val="20"/>
        </w:rPr>
        <w:t>Проекция на единичную окружность: col_sin = sin(2*pi*col/period)</w:t>
      </w:r>
    </w:p>
    <w:p>
      <w:pPr/>
      <w:r>
        <w:rPr>
          <w:sz w:val="20"/>
        </w:rPr>
        <w:t>Расстояние между Вс (day=6) и Пн (day=0) на окружности минимально.</w:t>
      </w:r>
    </w:p>
    <w:p>
      <w:pPr/>
      <w:r>
        <w:rPr>
          <w:sz w:val="20"/>
        </w:rPr>
        <w:t>Добавляются 6 новых колонок. Итого: 114 + 6 = 120.</w:t>
      </w:r>
    </w:p>
    <w:p>
      <w:pPr>
        <w:pStyle w:val="Heading3"/>
      </w:pPr>
      <w:r>
        <w:rPr>
          <w:color w:val="37868C"/>
        </w:rPr>
        <w:t>Шаг 5. Монотонный индекс времени (time_idx)</w:t>
      </w:r>
    </w:p>
    <w:p>
      <w:pPr/>
      <w:r>
        <w:rPr>
          <w:sz w:val="20"/>
        </w:rPr>
        <w:t>TFT требует целочисленный time_idx без пропусков для каждой группы (станции).</w:t>
      </w:r>
    </w:p>
    <w:p>
      <w:pPr/>
      <w:r>
        <w:rPr>
          <w:sz w:val="20"/>
        </w:rPr>
        <w:t>Реализация: cumcount() после сортировки по (station_id, date).</w:t>
      </w:r>
    </w:p>
    <w:p>
      <w:pPr/>
      <w:r>
        <w:rPr>
          <w:sz w:val="20"/>
        </w:rPr>
        <w:t xml:space="preserve">  time_idx = 0, 1, 2, ..., 364 для каждой из 5 станций (365 дней 2025 года).</w:t>
      </w:r>
    </w:p>
    <w:p>
      <w:pPr/>
      <w:r>
        <w:rPr>
          <w:sz w:val="20"/>
        </w:rPr>
        <w:t>Добавляется 1 колонка. Итого: 120 + 1 = 121.</w:t>
      </w:r>
    </w:p>
    <w:p>
      <w:pPr>
        <w:pStyle w:val="Heading3"/>
      </w:pPr>
      <w:r>
        <w:rPr>
          <w:color w:val="37868C"/>
        </w:rPr>
        <w:t>Шаг 6. Логарифмическое преобразование (log1p)</w:t>
      </w:r>
    </w:p>
    <w:p>
      <w:pPr/>
      <w:r>
        <w:rPr>
          <w:sz w:val="20"/>
        </w:rPr>
        <w:t>Все 12 целевых переменных (TARGET_COLS) имеют правостороннюю асимметрию.</w:t>
      </w:r>
    </w:p>
    <w:p>
      <w:pPr/>
      <w:r>
        <w:rPr>
          <w:sz w:val="20"/>
        </w:rPr>
        <w:t>log1p(x) = log(1+x):</w:t>
      </w:r>
    </w:p>
    <w:p>
      <w:pPr>
        <w:pStyle w:val="ListBullet"/>
      </w:pPr>
      <w:r>
        <w:rPr>
          <w:sz w:val="20"/>
        </w:rPr>
        <w:t>- работает при x=0 (нулевые продажи редких позиций)</w:t>
      </w:r>
    </w:p>
    <w:p>
      <w:pPr>
        <w:pStyle w:val="ListBullet"/>
      </w:pPr>
      <w:r>
        <w:rPr>
          <w:sz w:val="20"/>
        </w:rPr>
        <w:t>- снижает skew с 2-4 до 0.2-1.5</w:t>
      </w:r>
    </w:p>
    <w:p>
      <w:pPr>
        <w:pStyle w:val="ListBullet"/>
      </w:pPr>
      <w:r>
        <w:rPr>
          <w:sz w:val="20"/>
        </w:rPr>
        <w:t>- улучшает сходимость нейронной сети</w:t>
      </w:r>
    </w:p>
    <w:p>
      <w:pPr/>
      <w:r>
        <w:rPr>
          <w:sz w:val="20"/>
        </w:rPr>
        <w:t>Оригинальные значения сохраняются в _orig (для обратного преобразования в predict.py).</w:t>
      </w:r>
    </w:p>
    <w:p>
      <w:pPr/>
      <w:r>
        <w:rPr>
          <w:sz w:val="20"/>
        </w:rPr>
        <w:t>Добавляются 12 _orig колонок. Итого: 121 + 12 = 133.</w:t>
      </w:r>
    </w:p>
    <w:p>
      <w:pPr>
        <w:pStyle w:val="Heading3"/>
      </w:pPr>
      <w:r>
        <w:rPr>
          <w:color w:val="37868C"/>
        </w:rPr>
        <w:t>Шаг 7. Z-score нормализация per-station (без data leakage)</w:t>
      </w:r>
    </w:p>
    <w:p>
      <w:pPr/>
      <w:r>
        <w:rPr>
          <w:sz w:val="20"/>
        </w:rPr>
        <w:t>Формула: z = (x - mean_train) / std_train</w:t>
      </w:r>
    </w:p>
    <w:p>
      <w:pPr/>
      <w:r>
        <w:rPr>
          <w:sz w:val="20"/>
        </w:rPr>
        <w:t>Статистика вычисляется ТОЛЬКО по обучающей выборке (Jan-Oct 2025).</w:t>
      </w:r>
    </w:p>
    <w:p>
      <w:pPr/>
      <w:r>
        <w:rPr>
          <w:sz w:val="20"/>
        </w:rPr>
        <w:t>Одни и те же mean/std применяются к val и test — стандартная ML-практика,</w:t>
      </w:r>
    </w:p>
    <w:p>
      <w:pPr/>
      <w:r>
        <w:rPr>
          <w:sz w:val="20"/>
        </w:rPr>
        <w:t>исключающая data leakage из будущего в нормализацию обучающих данных.</w:t>
      </w:r>
    </w:p>
    <w:p>
      <w:pPr/>
    </w:p>
    <w:p>
      <w:pPr/>
      <w:r>
        <w:rPr>
          <w:sz w:val="20"/>
        </w:rPr>
        <w:t>Исключения из нормализации:</w:t>
      </w:r>
    </w:p>
    <w:p>
      <w:pPr>
        <w:pStyle w:val="ListBullet"/>
      </w:pPr>
      <w:r>
        <w:rPr>
          <w:sz w:val="20"/>
        </w:rPr>
        <w:t>- STATIC_REALS: паспортные данные АЗС (константны для каждой станции)</w:t>
      </w:r>
    </w:p>
    <w:p>
      <w:pPr>
        <w:pStyle w:val="ListBullet"/>
      </w:pPr>
      <w:r>
        <w:rPr>
          <w:sz w:val="20"/>
        </w:rPr>
        <w:t>- Бинарные переменные (0/1): нормализация бессмысленна</w:t>
      </w:r>
    </w:p>
    <w:p>
      <w:pPr>
        <w:pStyle w:val="ListBullet"/>
      </w:pPr>
      <w:r>
        <w:rPr>
          <w:sz w:val="20"/>
        </w:rPr>
        <w:t>- _enc колонки: целые числа для эмбеддинга</w:t>
      </w:r>
    </w:p>
    <w:p>
      <w:pPr>
        <w:pStyle w:val="ListBullet"/>
      </w:pPr>
      <w:r>
        <w:rPr>
          <w:sz w:val="20"/>
        </w:rPr>
        <w:t>- _orig колонки: оригиналы до log1p</w:t>
      </w:r>
    </w:p>
    <w:p>
      <w:pPr>
        <w:pStyle w:val="ListBullet"/>
      </w:pPr>
      <w:r>
        <w:rPr>
          <w:sz w:val="20"/>
        </w:rPr>
        <w:t>- TARGET_COLS: нормализует TorchNormalizer внутри TFT</w:t>
      </w:r>
    </w:p>
    <w:p>
      <w:pPr>
        <w:pStyle w:val="ListBullet"/>
      </w:pPr>
      <w:r>
        <w:rPr>
          <w:sz w:val="20"/>
        </w:rPr>
        <w:t>- NO_ZSCORE_COLS = []: в данных 2025 г. цены меняются ежедневно (std &gt; 0 везде)</w:t>
      </w:r>
    </w:p>
    <w:p>
      <w:pPr/>
    </w:p>
    <w:p>
      <w:pPr/>
      <w:r>
        <w:rPr>
          <w:sz w:val="20"/>
        </w:rPr>
        <w:t>Скейлеры (mean, std) сохраняются в tft/scalers.pkl для обратного преобразования прогнозов в predict.py.</w:t>
      </w:r>
    </w:p>
    <w:p>
      <w:pPr>
        <w:pStyle w:val="Heading3"/>
      </w:pPr>
      <w:r>
        <w:rPr>
          <w:color w:val="37868C"/>
        </w:rPr>
        <w:t>Темпоральный сплит данных</w:t>
      </w:r>
    </w:p>
    <w:p>
      <w:r>
        <w:rPr>
          <w:b w:val="0"/>
          <w:i w:val="0"/>
          <w:sz w:val="20"/>
        </w:rPr>
        <w:t>Данные разбиваются строго по времени (случайная выборка недопустима — data leakage):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Сплит</w:t>
            </w:r>
          </w:p>
        </w:tc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Период df, переданного в from_dataset()</w:t>
            </w:r>
          </w:p>
        </w:tc>
        <w:tc>
          <w:tcPr>
            <w:tcW w:type="dxa" w:w="850"/>
            <w:shd w:fill="1F3964" w:val="clear"/>
          </w:tcPr>
          <w:p>
            <w:r>
              <w:rPr>
                <w:b/>
                <w:color w:val="FFFFFF"/>
                <w:sz w:val="18"/>
              </w:rPr>
              <w:t>Строк</w:t>
            </w:r>
          </w:p>
        </w:tc>
        <w:tc>
          <w:tcPr>
            <w:tcW w:type="dxa" w:w="850"/>
            <w:shd w:fill="1F3964" w:val="clear"/>
          </w:tcPr>
          <w:p>
            <w:r>
              <w:rPr>
                <w:b/>
                <w:color w:val="FFFFFF"/>
                <w:sz w:val="18"/>
              </w:rPr>
              <w:t>Доля train</w:t>
            </w:r>
          </w:p>
        </w:tc>
        <w:tc>
          <w:tcPr>
            <w:tcW w:type="dxa" w:w="4819"/>
            <w:shd w:fill="1F3964" w:val="clear"/>
          </w:tcPr>
          <w:p>
            <w:r>
              <w:rPr>
                <w:b/>
                <w:color w:val="FFFFFF"/>
                <w:sz w:val="18"/>
              </w:rPr>
              <w:t>Декодерные окна (целевой период)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Train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01.01.2025 - 31.10.2025</w:t>
            </w:r>
          </w:p>
        </w:tc>
        <w:tc>
          <w:tcPr>
            <w:tcW w:type="dxa" w:w="850"/>
            <w:shd w:fill="F2F2F2" w:val="clear"/>
          </w:tcPr>
          <w:p>
            <w:r>
              <w:rPr>
                <w:sz w:val="18"/>
              </w:rPr>
              <w:t>1520</w:t>
            </w:r>
          </w:p>
        </w:tc>
        <w:tc>
          <w:tcPr>
            <w:tcW w:type="dxa" w:w="850"/>
            <w:shd w:fill="F2F2F2" w:val="clear"/>
          </w:tcPr>
          <w:p>
            <w:r>
              <w:rPr>
                <w:sz w:val="18"/>
              </w:rPr>
              <w:t>~83%</w:t>
            </w:r>
          </w:p>
        </w:tc>
        <w:tc>
          <w:tcPr>
            <w:tcW w:type="dxa" w:w="4819"/>
            <w:shd w:fill="F2F2F2" w:val="clear"/>
          </w:tcPr>
          <w:p>
            <w:r>
              <w:rPr>
                <w:sz w:val="18"/>
              </w:rPr>
              <w:t>Январь–октябрь (все окна). Вычисляются mean/std для Z-score.</w:t>
            </w:r>
          </w:p>
        </w:tc>
      </w:tr>
      <w:tr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Val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01.01.2025 - 30.11.2025</w:t>
            </w:r>
          </w:p>
        </w:tc>
        <w:tc>
          <w:tcPr>
            <w:tcW w:type="dxa" w:w="850"/>
            <w:shd w:fill="FFFFFF" w:val="clear"/>
          </w:tcPr>
          <w:p>
            <w:r>
              <w:rPr>
                <w:sz w:val="18"/>
              </w:rPr>
              <w:t>1670</w:t>
            </w:r>
          </w:p>
        </w:tc>
        <w:tc>
          <w:tcPr>
            <w:tcW w:type="dxa" w:w="850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819"/>
            <w:shd w:fill="FFFFFF" w:val="clear"/>
          </w:tcPr>
          <w:p>
            <w:r>
              <w:rPr>
                <w:sz w:val="18"/>
              </w:rPr>
              <w:t>Ноябрь. Окна с декодером в ноябре.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Test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01.01.2025 - 31.12.2025</w:t>
            </w:r>
          </w:p>
        </w:tc>
        <w:tc>
          <w:tcPr>
            <w:tcW w:type="dxa" w:w="850"/>
            <w:shd w:fill="F2F2F2" w:val="clear"/>
          </w:tcPr>
          <w:p>
            <w:r>
              <w:rPr>
                <w:sz w:val="18"/>
              </w:rPr>
              <w:t>1825</w:t>
            </w:r>
          </w:p>
        </w:tc>
        <w:tc>
          <w:tcPr>
            <w:tcW w:type="dxa" w:w="850"/>
            <w:shd w:fill="F2F2F2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819"/>
            <w:shd w:fill="F2F2F2" w:val="clear"/>
          </w:tcPr>
          <w:p>
            <w:r>
              <w:rPr>
                <w:sz w:val="18"/>
              </w:rPr>
              <w:t>Декабрь. Окна с декодером в декабре.</w:t>
            </w:r>
          </w:p>
        </w:tc>
      </w:tr>
    </w:tbl>
    <w:p/>
    <w:p>
      <w:r>
        <w:rPr>
          <w:b/>
          <w:i w:val="0"/>
          <w:sz w:val="20"/>
        </w:rPr>
        <w:t>Почему Val и Test включают весь год, а не только «свой» месяц?</w:t>
      </w:r>
    </w:p>
    <w:p>
      <w:r>
        <w:rPr>
          <w:b w:val="0"/>
          <w:i/>
          <w:sz w:val="20"/>
        </w:rPr>
        <w:t>TimeSeriesDataSet.from_dataset() создаёт сэмплы для ВСЕХ допустимых окон (encoder + decoder) внутри переданного датафрейма. Энкодерное окно первого ноябрьского дня (1 ноября) требует 30 дней ретроспективы — октябрь 1–31. Если передать только ноябрь, первые окна получат неполный контекст (encoder_length &lt; 30), что ухудшает качество предсказаний. Аналогично для декабря: первые декабрьские окна требуют ноябрьского контекста. Поэтому Val df = январь–ноябрь, Test df = весь январь–декабрь.</w:t>
      </w:r>
    </w:p>
    <w:p>
      <w:r>
        <w:rPr>
          <w:b w:val="0"/>
          <w:i/>
          <w:sz w:val="20"/>
        </w:rPr>
        <w:t>Важно: «лишние» окна (энкодер=январь, декодер=январь) тоже попадают в Val/Test df, но модель уже видела их при обучении — это нормально. «Честными» метриками остаются только ноябрьские (val) и декабрьские (test) декодерные окна. max_encoder_length=30 гарантирует, что модель не видит данные «из будущего».</w:t>
      </w:r>
    </w:p>
    <w:p>
      <w:pPr>
        <w:pStyle w:val="Heading1"/>
      </w:pPr>
      <w:r>
        <w:rPr>
          <w:color w:val="1F3964"/>
        </w:rPr>
        <w:t>5. Параметры TFT-модели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CPU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GPU</w:t>
            </w:r>
          </w:p>
        </w:tc>
        <w:tc>
          <w:tcPr>
            <w:tcW w:type="dxa" w:w="5386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hidden_size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Размер скрытого слоя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attention_head_size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Число голов многоголового внимания (temporal self-attention)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hidden_continuous_size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Размер Variable Selection Network для числовых входов (рекомендация TFT: hidden_continuous &lt;= hidden_size / 2)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BATCH_SIZE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Размер мини-батча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EPOCHS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Максимальное число эпох (EarlyStopping остановит раньше)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ENCODER_LENGTH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30 дн.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sz w:val="18"/>
              </w:rPr>
              <w:t>Ретроспективное окно. Охватывает месячный и недельный циклы (1 месяц).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PREDICTION_LENGTH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7 дн.</w:t>
            </w:r>
          </w:p>
        </w:tc>
        <w:tc>
          <w:tcPr>
            <w:tcW w:type="dxa" w:w="5102"/>
            <w:shd w:fill="FFFFFF" w:val="clear"/>
          </w:tcPr>
          <w:p>
            <w:r>
              <w:rPr>
                <w:sz w:val="18"/>
              </w:rPr>
              <w:t>Горизонт прогноза: следующая неделя. Поддерживает рекурсивное прогнозирование на 1 день (первый шаг) и на 1 месяц (4-5 итераций по 7 дней).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3e-4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sz w:val="18"/>
              </w:rPr>
              <w:t>Начальный LR. Снижается ReduceLROnPlateau(patience=5)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0.15</w:t>
            </w:r>
          </w:p>
        </w:tc>
        <w:tc>
          <w:tcPr>
            <w:tcW w:type="dxa" w:w="5102"/>
            <w:shd w:fill="FFFFFF" w:val="clear"/>
          </w:tcPr>
          <w:p>
            <w:r>
              <w:rPr>
                <w:sz w:val="18"/>
              </w:rPr>
              <w:t>Регуляризация (Dropout + VariationalDropout)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gradient_clip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sz w:val="18"/>
              </w:rPr>
              <w:t>Обрезка градиентов (предотвращает взрыв градиентов)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EarlyStopping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patience=12</w:t>
            </w:r>
          </w:p>
        </w:tc>
        <w:tc>
          <w:tcPr>
            <w:tcW w:type="dxa" w:w="5102"/>
            <w:shd w:fill="FFFFFF" w:val="clear"/>
          </w:tcPr>
          <w:p>
            <w:r>
              <w:rPr>
                <w:sz w:val="18"/>
              </w:rPr>
              <w:t>Останавливается при отсутствии улучшения val_loss 12 эпох подряд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loss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QuantileLoss([0.02, 0.1, 0.25, 0.5, 0.75, 0.9, 0.98])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sz w:val="18"/>
              </w:rPr>
              <w:t>7-квантильный прогноз: медиана + доверительные интервалы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target_normalizer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MultiNormalizer([TorchNormalizer(robust)] x 12)</w:t>
            </w:r>
          </w:p>
        </w:tc>
        <w:tc>
          <w:tcPr>
            <w:tcW w:type="dxa" w:w="5102"/>
            <w:shd w:fill="FFFFFF" w:val="clear"/>
          </w:tcPr>
          <w:p>
            <w:r>
              <w:rPr>
                <w:sz w:val="18"/>
              </w:rPr>
              <w:t>Нормализация целей по медиане+IQR (устойчива к выбросам). Применяется внутри TFT поверх log1p.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add_relative_time_idx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sz w:val="18"/>
              </w:rPr>
              <w:t>Относительная позиция шага в окне -&gt; known_real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add_target_scales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5102"/>
            <w:shd w:fill="FFFFFF" w:val="clear"/>
          </w:tcPr>
          <w:p>
            <w:r>
              <w:rPr>
                <w:sz w:val="18"/>
              </w:rPr>
              <w:t>Масштаб каждой цели (location + scale) -&gt; static_real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add_encoder_length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sz w:val="18"/>
              </w:rPr>
              <w:t>Фактическая длина энкодера -&gt; static_real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min_encoder_length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15 дн.</w:t>
            </w:r>
          </w:p>
        </w:tc>
        <w:tc>
          <w:tcPr>
            <w:tcW w:type="dxa" w:w="5102"/>
            <w:shd w:fill="FFFFFF" w:val="clear"/>
          </w:tcPr>
          <w:p>
            <w:r>
              <w:rPr>
                <w:sz w:val="18"/>
              </w:rPr>
              <w:t>Минимальное окно (половина от max_encoder_length)</w:t>
            </w:r>
          </w:p>
        </w:tc>
      </w:tr>
    </w:tbl>
    <w:p>
      <w:pPr>
        <w:pStyle w:val="Heading1"/>
      </w:pPr>
      <w:r>
        <w:rPr>
          <w:color w:val="1F3964"/>
        </w:rPr>
        <w:t>6. Итоговый состав тензоров TFT</w:t>
      </w:r>
    </w:p>
    <w:p>
      <w:r>
        <w:rPr>
          <w:b/>
          <w:i w:val="0"/>
          <w:sz w:val="20"/>
        </w:rPr>
        <w:t>Размеры тензоров, которые TFT получает на вход. Включают как исходные переменные, так и дополнительные признаки, добавляемые pytorch-forecasting автоматически.</w:t>
      </w:r>
    </w:p>
    <w:p>
      <w:pPr>
        <w:pStyle w:val="Heading2"/>
      </w:pPr>
      <w:r>
        <w:rPr>
          <w:color w:val="2E74B5"/>
        </w:rPr>
        <w:t>6.1 Статические признаки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 датасета</w:t>
            </w:r>
          </w:p>
        </w:tc>
        <w:tc>
          <w:tcPr>
            <w:tcW w:type="dxa" w:w="4252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road_type_enc, road_level_enc, direction_enc, settlement_size_enc, distance_to_city_km_enc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 (паспорт)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shop_area_m2, num_pumps_* (10), has_* (9), competitors_wink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target_scales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add_target_scales=True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12 целей x 2: location (медиана) + scale (IQR) от TorchNormalizer(robust)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encoder_length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add_encoder_length=True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Фактическая длина энкодера в текущем сэмпле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2E74B5"/>
        </w:rPr>
        <w:t>6.2 Признаки энкодера (прошлое)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 датасета</w:t>
            </w:r>
          </w:p>
        </w:tc>
        <w:tc>
          <w:tcPr>
            <w:tcW w:type="dxa" w:w="4252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time_varying_known_categoricals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season_enc, holiday_name_enc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time_varying_known_reals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Время (9: raw+sin/cos x 3 признака), флаги (2), weather_condition (1), акции (3), цены топлива (5), погода (2), трафик поп. (12), трафик встр. (12), конкуренты (7)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relative_time_idx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add_relative_time_idx=True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Относительная позиция шага в энкодерном окне [0..1]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unknown_reals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time_varying_unknown_reals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Клиентские метрики (2) + производные трафика: скорость (4), плотность (4), интенс. привед. (4), интенс. физ. (4)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targets (observed past)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target=TARGET_COLS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12 целевых переменных — в энкодере как лаговые входы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Полный набор признаков, доступных энкодеру за ретроспективный период</w:t>
            </w:r>
          </w:p>
        </w:tc>
      </w:tr>
    </w:tbl>
    <w:p/>
    <w:p>
      <w:pPr>
        <w:pStyle w:val="Heading2"/>
      </w:pPr>
      <w:r>
        <w:rPr>
          <w:color w:val="2E74B5"/>
        </w:rPr>
        <w:t>6.3 Признаки декодера (будущее)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 датасета</w:t>
            </w:r>
          </w:p>
        </w:tc>
        <w:tc>
          <w:tcPr>
            <w:tcW w:type="dxa" w:w="4252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time_varying_known_categoricals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season_enc, holiday_name_enc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time_varying_known_reals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Те же 53 признаков, что и в энкодере — задаются на весь горизонт прогноза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relative_time_idx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add_relative_time_idx=True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Относительная позиция шага в декодерном окне [0..1]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Декодер видит ТОЛЬКО то, что известно заранее — нет unknown_reals и нет целевых</w:t>
            </w:r>
          </w:p>
        </w:tc>
      </w:tr>
    </w:tbl>
    <w:p/>
    <w:p>
      <w:r>
        <w:rPr>
          <w:b w:val="0"/>
          <w:i/>
          <w:sz w:val="20"/>
        </w:rPr>
        <w:t>Ключевое отличие энкодера от декодера: декодер не видит unknown_reals (18 шт.) и не видит прошлых целевых значений (12 шт.) — их суммарно 30 признаков доступны только в ретроспективе. Благодаря переносу трафика-счётчиков и цен конкурентов в KNOWN, декодер располагает полным контекстом для сценарного прогнозирования на 7-дневный горизонт.</w:t>
      </w:r>
    </w:p>
    <w:p>
      <w:pPr>
        <w:pStyle w:val="Heading1"/>
      </w:pPr>
      <w:r>
        <w:rPr>
          <w:color w:val="1F3964"/>
        </w:rPr>
        <w:t>7. Итоговая сводка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fill="2E74B5" w:val="clear"/>
          </w:tcPr>
          <w:p>
            <w:r>
              <w:rPr>
                <w:b/>
                <w:color w:val="FFFFFF"/>
                <w:sz w:val="18"/>
              </w:rPr>
              <w:t>TFT-роль</w:t>
            </w:r>
          </w:p>
        </w:tc>
        <w:tc>
          <w:tcPr>
            <w:tcW w:type="dxa" w:w="1417"/>
            <w:shd w:fill="2E74B5" w:val="clear"/>
          </w:tcPr>
          <w:p>
            <w:r>
              <w:rPr>
                <w:b/>
                <w:color w:val="FFFFFF"/>
                <w:sz w:val="18"/>
              </w:rPr>
              <w:t>Кол-во</w:t>
            </w:r>
          </w:p>
        </w:tc>
        <w:tc>
          <w:tcPr>
            <w:tcW w:type="dxa" w:w="5953"/>
            <w:shd w:fill="2E74B5" w:val="clear"/>
          </w:tcPr>
          <w:p>
            <w:r>
              <w:rPr>
                <w:b/>
                <w:color w:val="FFFFFF"/>
                <w:sz w:val="18"/>
              </w:rPr>
              <w:t>Примечание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953"/>
            <w:shd w:fill="F2F2F2" w:val="clear"/>
          </w:tcPr>
          <w:p>
            <w:r>
              <w:rPr>
                <w:sz w:val="18"/>
              </w:rPr>
              <w:t>road_type, road_level, direction, settlement_size, distance_to_city_km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5953"/>
            <w:shd w:fill="FFFFFF" w:val="clear"/>
          </w:tcPr>
          <w:p>
            <w:r>
              <w:rPr>
                <w:sz w:val="18"/>
              </w:rPr>
              <w:t>shop_area_m2, num_pumps_* (10), has_* (9), competitors_wink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time_varying_known_categoricals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953"/>
            <w:shd w:fill="F2F2F2" w:val="clear"/>
          </w:tcPr>
          <w:p>
            <w:r>
              <w:rPr>
                <w:sz w:val="18"/>
              </w:rPr>
              <w:t>season, holiday_name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time_varying_known_reals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953"/>
            <w:shd w:fill="FFFFFF" w:val="clear"/>
          </w:tcPr>
          <w:p>
            <w:r>
              <w:rPr>
                <w:sz w:val="18"/>
              </w:rPr>
              <w:t>Время (9), флаги (2), weather_condition (1), акции (3), цены топлива (5), погода (2), трафик поп. (12), трафик встр. (12), конкуренты (7)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time_varying_unknown_reals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5953"/>
            <w:shd w:fill="F2F2F2" w:val="clear"/>
          </w:tcPr>
          <w:p>
            <w:r>
              <w:rPr>
                <w:sz w:val="18"/>
              </w:rPr>
              <w:t>Клиентские метрики (2) + производные трафика (16)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target (12 совместных прогнозов)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5953"/>
            <w:shd w:fill="FFFFFF" w:val="clear"/>
          </w:tcPr>
          <w:p>
            <w:r>
              <w:rPr>
                <w:sz w:val="18"/>
              </w:rPr>
              <w:t>5 видов топлива (AI92/95/DT/DT_bio/AI100_bio) + 7 категорий магазина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ИТОГО входных переменных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5953"/>
            <w:shd w:fill="F2F2F2" w:val="clear"/>
          </w:tcPr>
          <w:p>
            <w:r>
              <w:rPr>
                <w:sz w:val="18"/>
              </w:rPr>
              <w:t>Без учёта time_idx, station_id и автодобавляемых target_scales/enc_length/rel_time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551"/>
            <w:shd w:fill="2E74B5" w:val="clear"/>
          </w:tcPr>
          <w:p>
            <w:r>
              <w:rPr>
                <w:b/>
                <w:color w:val="FFFFFF"/>
                <w:sz w:val="18"/>
              </w:rPr>
              <w:t>Тензор</w:t>
            </w:r>
          </w:p>
        </w:tc>
        <w:tc>
          <w:tcPr>
            <w:tcW w:type="dxa" w:w="1701"/>
            <w:shd w:fill="2E74B5" w:val="clear"/>
          </w:tcPr>
          <w:p>
            <w:r>
              <w:rPr>
                <w:b/>
                <w:color w:val="FFFFFF"/>
                <w:sz w:val="18"/>
              </w:rPr>
              <w:t>Теоретический размер</w:t>
            </w:r>
          </w:p>
        </w:tc>
        <w:tc>
          <w:tcPr>
            <w:tcW w:type="dxa" w:w="6236"/>
            <w:shd w:fill="2E74B5" w:val="clear"/>
          </w:tcPr>
          <w:p>
            <w:r>
              <w:rPr>
                <w:b/>
                <w:color w:val="FFFFFF"/>
                <w:sz w:val="18"/>
              </w:rPr>
              <w:t>Содержимое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sz w:val="18"/>
              </w:rPr>
              <w:t>static_cats(5) + static_reals(21) + target_scales(24) + enc_length(1)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encoder_cont (прошлое)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sz w:val="18"/>
              </w:rPr>
              <w:t>known_cats(2) + known_reals(53) + rel_idx(1) + unknown(18) + targets_past(12)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decoder_cont (будущее)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sz w:val="18"/>
              </w:rPr>
              <w:t>known_cats(2) + known_reals(53) + rel_idx(1)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Реальная ширина тензора (encoder_cont = decoder_cont)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118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sz w:val="18"/>
              </w:rPr>
              <w:t>Фактическое значение из batch-проверки prepare_dataset.py. pytorch_forecasting добавляет дополнительные внутренние признаки (target_scales, enc_length broadcast per step, padding для выравнивания encoder/decoder).</w:t>
            </w:r>
          </w:p>
        </w:tc>
      </w:tr>
    </w:tbl>
    <w:p/>
    <w:p>
      <w:r>
        <w:rPr>
          <w:b w:val="0"/>
          <w:i/>
          <w:sz w:val="20"/>
        </w:rPr>
        <w:t>Сценарный анализ (what-if): изменять для прогноза можно только переменные из TIME_VARYING_KNOWN_REALS и TIME_VARYING_KNOWN_CATS. Переменные из UNKNOWN_REALS (клиентские метрики, производные трафика) недоступны для декодера — модель не знает их будущих значений. Статические переменные (паспорт АЗС) зашиты в веса модели при обучении и не могут быть изменены без переобучения.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