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964"/>
          <w:sz w:val="36"/>
        </w:rPr>
        <w:t>Анализ данных и предобработка для TFT-модели</w:t>
      </w:r>
    </w:p>
    <w:p>
      <w:pPr>
        <w:jc w:val="center"/>
      </w:pPr>
      <w:r>
        <w:rPr>
          <w:i/>
          <w:color w:val="606060"/>
          <w:sz w:val="26"/>
        </w:rPr>
        <w:t>Прогнозирование продаж топлива сети АЗС Татнефть</w:t>
      </w:r>
    </w:p>
    <w:p>
      <w:pPr>
        <w:jc w:val="center"/>
      </w:pPr>
      <w:r>
        <w:t>Temporal Fusion Transformer (Lim et al., 2020)  |  Период: 2023 год  |  Станций: 5</w:t>
      </w:r>
    </w:p>
    <w:p>
      <w:r>
        <w:br w:type="page"/>
      </w:r>
    </w:p>
    <w:p>
      <w:pPr>
        <w:pStyle w:val="Heading1"/>
      </w:pPr>
      <w:r>
        <w:rPr>
          <w:color w:val="1F3964"/>
        </w:rPr>
        <w:t>1. Источники данных</w:t>
      </w:r>
    </w:p>
    <w:p>
      <w:r>
        <w:rPr>
          <w:b/>
          <w:i w:val="0"/>
          <w:sz w:val="20"/>
        </w:rPr>
        <w:t>В работе используются два исходных файла для 5 АЗС Татнефть: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Файл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Строк</w:t>
            </w:r>
          </w:p>
        </w:tc>
        <w:tc>
          <w:tcPr>
            <w:tcW w:type="dxa" w:w="1417"/>
            <w:shd w:fill="1F3964" w:val="clear"/>
          </w:tcPr>
          <w:p>
            <w:r>
              <w:rPr>
                <w:b/>
                <w:color w:val="FFFFFF"/>
                <w:sz w:val="18"/>
              </w:rPr>
              <w:t>Колонок</w:t>
            </w:r>
          </w:p>
        </w:tc>
        <w:tc>
          <w:tcPr>
            <w:tcW w:type="dxa" w:w="4535"/>
            <w:shd w:fill="1F3964" w:val="clear"/>
          </w:tcPr>
          <w:p>
            <w:r>
              <w:rPr>
                <w:b/>
                <w:color w:val="FFFFFF"/>
                <w:sz w:val="18"/>
              </w:rPr>
              <w:t>Содержимое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5stations_metadata.csv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Паспорт АЗС: тип дороги, услуги, количество колонок, базовые цены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5stations_data.csv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43 800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Почасовые данные 2023 г.: погода, трафик, продажи, цены, акции, реклама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merged_data.csv (LEFT JOIN по station_id)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4535"/>
            <w:shd w:fill="F2F2F2" w:val="clear"/>
          </w:tcPr>
          <w:p>
            <w:r>
              <w:rPr>
                <w:sz w:val="18"/>
              </w:rPr>
              <w:t>Объединённый датасет: все временны́е данные + статические характеристики АЗС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prepared_data.csv (после предобработки)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43800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111</w:t>
            </w:r>
          </w:p>
        </w:tc>
        <w:tc>
          <w:tcPr>
            <w:tcW w:type="dxa" w:w="4535"/>
            <w:shd w:fill="FFFFFF" w:val="clear"/>
          </w:tcPr>
          <w:p>
            <w:r>
              <w:rPr>
                <w:sz w:val="18"/>
              </w:rPr>
              <w:t>Нормализованный датасет для подачи в TimeSeriesDataSet</w:t>
            </w:r>
          </w:p>
        </w:tc>
      </w:tr>
    </w:tbl>
    <w:p/>
    <w:p>
      <w:r>
        <w:rPr>
          <w:b w:val="0"/>
          <w:i w:val="0"/>
          <w:sz w:val="20"/>
        </w:rPr>
        <w:t>LEFT JOIN добавляет к каждой из 43 800 строк временного ряда 17 статических признаков из паспорта АЗС. Все строки временного ряда сохраняются (пропущенных периодов нет).</w:t>
      </w:r>
    </w:p>
    <w:p>
      <w:pPr>
        <w:pStyle w:val="Heading1"/>
      </w:pPr>
      <w:r>
        <w:rPr>
          <w:color w:val="1F3964"/>
        </w:rPr>
        <w:t>2. Исключённые переменные (не подаются в модель)</w:t>
      </w:r>
    </w:p>
    <w:p>
      <w:r>
        <w:rPr>
          <w:b w:val="0"/>
          <w:i w:val="0"/>
          <w:sz w:val="20"/>
        </w:rPr>
        <w:t>Из 89 колонок объединённого датасета 7 исключены как избыточные (см. таблицу ниже). Остаётся 89 − 7 = 82 колонок. Препроцессинг добавляет: 1 is_shop_open + 7 _enc + 8 sin/cos + 1 time_idx + 12 _orig = 29 новых колонок. Итого в prepared_data.csv: 111 колонок, из которых 89 = 89 — прямые входы TimeSeriesDataSet (80 из merged + 1 is_shop_open + 8 sin/cos).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7937"/>
            <w:shd w:fill="1F3964" w:val="clear"/>
          </w:tcPr>
          <w:p>
            <w:r>
              <w:rPr>
                <w:b/>
                <w:color w:val="FFFFFF"/>
                <w:sz w:val="18"/>
              </w:rPr>
              <w:t>Причина исключения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station_name</w:t>
            </w:r>
          </w:p>
        </w:tc>
        <w:tc>
          <w:tcPr>
            <w:tcW w:type="dxa" w:w="7937"/>
            <w:shd w:fill="F2F2F2" w:val="clear"/>
          </w:tcPr>
          <w:p>
            <w:r>
              <w:rPr>
                <w:sz w:val="18"/>
              </w:rPr>
              <w:t>Служебная строка; идентификатор станции — station_id (целое число)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total_pumps</w:t>
            </w:r>
          </w:p>
        </w:tc>
        <w:tc>
          <w:tcPr>
            <w:tcW w:type="dxa" w:w="7937"/>
            <w:shd w:fill="FFFFFF" w:val="clear"/>
          </w:tcPr>
          <w:p>
            <w:r>
              <w:rPr>
                <w:sz w:val="18"/>
              </w:rPr>
              <w:t>= sum(num_pumps_AI92, …, num_pumps_DT_WINTER) — дублирует детальные колонки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total_fuel_sales</w:t>
            </w:r>
          </w:p>
        </w:tc>
        <w:tc>
          <w:tcPr>
            <w:tcW w:type="dxa" w:w="7937"/>
            <w:shd w:fill="F2F2F2" w:val="clear"/>
          </w:tcPr>
          <w:p>
            <w:r>
              <w:rPr>
                <w:sz w:val="18"/>
              </w:rPr>
              <w:t>= sum(sales_AI92, …, sales_DT_WINTER) — дублирует целевые переменные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shop_total_revenue</w:t>
            </w:r>
          </w:p>
        </w:tc>
        <w:tc>
          <w:tcPr>
            <w:tcW w:type="dxa" w:w="7937"/>
            <w:shd w:fill="FFFFFF" w:val="clear"/>
          </w:tcPr>
          <w:p>
            <w:r>
              <w:rPr>
                <w:sz w:val="18"/>
              </w:rPr>
              <w:t>= sum(shop_напитки, …, shop_табак) — дублирует целевые переменные магазина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total_traffic</w:t>
            </w:r>
          </w:p>
        </w:tc>
        <w:tc>
          <w:tcPr>
            <w:tcW w:type="dxa" w:w="7937"/>
            <w:shd w:fill="F2F2F2" w:val="clear"/>
          </w:tcPr>
          <w:p>
            <w:r>
              <w:rPr>
                <w:sz w:val="18"/>
              </w:rPr>
              <w:t>Содержит скрытую категорию ТС: total &gt; sum(traffic_*). Несогласован с детальными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quarter</w:t>
            </w:r>
          </w:p>
        </w:tc>
        <w:tc>
          <w:tcPr>
            <w:tcW w:type="dxa" w:w="7937"/>
            <w:shd w:fill="FFFFFF" w:val="clear"/>
          </w:tcPr>
          <w:p>
            <w:r>
              <w:rPr>
                <w:sz w:val="18"/>
              </w:rPr>
              <w:t>Однозначно выводится из month; избыточен для модели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day_name</w:t>
            </w:r>
          </w:p>
        </w:tc>
        <w:tc>
          <w:tcPr>
            <w:tcW w:type="dxa" w:w="7937"/>
            <w:shd w:fill="F2F2F2" w:val="clear"/>
          </w:tcPr>
          <w:p>
            <w:r>
              <w:rPr>
                <w:sz w:val="18"/>
              </w:rPr>
              <w:t>Строковая форма day_of_week; day_of_week уже в модели c sin/cos кодированием</w:t>
            </w:r>
          </w:p>
        </w:tc>
      </w:tr>
    </w:tbl>
    <w:p>
      <w:pPr>
        <w:pStyle w:val="Heading1"/>
      </w:pPr>
      <w:r>
        <w:rPr>
          <w:color w:val="1F3964"/>
        </w:rPr>
        <w:t>3. Таксономия переменных TFT</w:t>
      </w:r>
    </w:p>
    <w:p>
      <w:r>
        <w:rPr>
          <w:b/>
          <w:i w:val="0"/>
          <w:sz w:val="20"/>
        </w:rPr>
        <w:t>Temporal Fusion Transformer (Lim et al., 2020) принимает три типа входов. Разделение определяет, какую информацию модель может использовать при прогнозировании: статические — зашиты в веса; известные будущие — подаются в декодер; наблюдаемые прошлые — только в энкодер.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входа TFT</w:t>
            </w:r>
          </w:p>
        </w:tc>
        <w:tc>
          <w:tcPr>
            <w:tcW w:type="dxa" w:w="6236"/>
            <w:shd w:fill="1F3964" w:val="clear"/>
          </w:tcPr>
          <w:p>
            <w:r>
              <w:rPr>
                <w:b/>
                <w:color w:val="FFFFFF"/>
                <w:sz w:val="18"/>
              </w:rPr>
              <w:t>Определение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18"/>
              </w:rPr>
              <w:t>Категориальные свойства АЗС, не меняющиеся во времени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sz w:val="18"/>
              </w:rPr>
              <w:t>Числовые свойства АЗС из паспорта (metadata), не нормализуются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26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18"/>
              </w:rPr>
              <w:t>Категориальные признаки, известные заранее или задаваемые в what-if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sz w:val="18"/>
              </w:rPr>
              <w:t>Числовые признаки, известные на весь горизонт прогноза. Сюда входят: время, погода, трафик, цены конкурентов, акции. Только эти переменные можно менять в сценарном what-if анализе.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44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time_varying_unknown_reals</w:t>
            </w:r>
          </w:p>
        </w:tc>
        <w:tc>
          <w:tcPr>
            <w:tcW w:type="dxa" w:w="6236"/>
            <w:shd w:fill="F2F2F2" w:val="clear"/>
          </w:tcPr>
          <w:p>
            <w:r>
              <w:rPr>
                <w:sz w:val="18"/>
              </w:rPr>
              <w:t>Наблюдаемые прошлые (энкодер видит их только за прошлое). Намеренно пусто: все ковариаты перенесены в KNOWN для поддержки what-if.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target</w:t>
            </w:r>
          </w:p>
        </w:tc>
        <w:tc>
          <w:tcPr>
            <w:tcW w:type="dxa" w:w="6236"/>
            <w:shd w:fill="FFFFFF" w:val="clear"/>
          </w:tcPr>
          <w:p>
            <w:r>
              <w:rPr>
                <w:sz w:val="18"/>
              </w:rPr>
              <w:t>12 целевых переменных. TFT использует их как авторегрессивные входы энкодера (лаговые значения) автоматически через target=TARGET_COLS.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12</w:t>
            </w:r>
          </w:p>
        </w:tc>
      </w:tr>
    </w:tbl>
    <w:p>
      <w:pPr>
        <w:pStyle w:val="Heading2"/>
      </w:pPr>
      <w:r>
        <w:rPr>
          <w:color w:val="2E74B5"/>
        </w:rPr>
        <w:t>3.1 Статические переменные</w:t>
      </w:r>
    </w:p>
    <w:p>
      <w:r>
        <w:rPr>
          <w:b w:val="0"/>
          <w:i w:val="0"/>
          <w:sz w:val="20"/>
        </w:rPr>
        <w:t>Паспортные данные АЗС из 5stations_metadata.csv. Не изменяются во времени и не нормализуются (Z-score не применяется). TFT строит для них глобальный статический энкодер (контекстный вектор).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TFT-входа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road_type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LabelEncoder → road_type_enc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Тип дороги (федеральная / региональная)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LabelEncoder → direction_enc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Направление трафика (транзит / въезд / выезд)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settlement_size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LabelEncoder → settlement_size_enc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Размер ближайшего населённого пункта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distance_to_city_km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Расстояние до ближайшего города, км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shop_area_m2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Площадь магазина, м²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num_pumps_AI92/95/98/DT_* (7 к.)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Количество колонок по каждому виду топлива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has_car_wash / cafe / shop / tire / hotel (5 к.)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 (бинарные)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Наличие сервисов (0/1)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competitors_within_5km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Число конкурирующих АЗС в радиусе 5 км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customer_loyalty_score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Оценка лояльности клиентов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staff_quality_score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Оценка качества работы персонала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corporate_customer_ratio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Доля корпоративных клиентов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staff_engagement_score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Оценка вовлечённости персонала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base_price_AI92/95/98/DT_* (7 к.)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Базовая цена АЗС по каждому виду топлива, руб/л. Семантически отличается от текущей цены price_*: это эталонная паспортная цена, не оперативная.</w:t>
            </w:r>
          </w:p>
        </w:tc>
      </w:tr>
    </w:tbl>
    <w:p>
      <w:pPr>
        <w:pStyle w:val="Heading2"/>
      </w:pPr>
      <w:r>
        <w:rPr>
          <w:color w:val="2E74B5"/>
        </w:rPr>
        <w:t>3.2 Известные будущие переменные</w:t>
      </w:r>
    </w:p>
    <w:p>
      <w:r>
        <w:rPr>
          <w:b w:val="0"/>
          <w:i w:val="0"/>
          <w:sz w:val="20"/>
        </w:rPr>
        <w:t>Эти признаки задаются заранее (расписание, метеопрогноз, плановые акции) или устанавливаются пользователем в what-if сценарии. TFT подаёт их и в энкодер (ретроспектива), и в декодер (горизонт прогноза). Именно поэтому к ним применима сценарная аналитика: "что если завтра снег?" или "что если включить акцию?"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 / Группа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Тип TFT-входа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Предобработка</w:t>
            </w:r>
          </w:p>
        </w:tc>
        <w:tc>
          <w:tcPr>
            <w:tcW w:type="dxa" w:w="3402"/>
            <w:shd w:fill="1F3964" w:val="clear"/>
          </w:tcPr>
          <w:p>
            <w:r>
              <w:rPr>
                <w:b/>
                <w:color w:val="FFFFFF"/>
                <w:sz w:val="18"/>
              </w:rPr>
              <w:t>Обоснование включения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season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LabelEncoder → season_enc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Сезон известен заранее; what-if: изменение сезона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weather_condition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LabelEncoder → weather_condition_enc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Тип погоды (ясно/снег/дождь…): задаётся по прогнозу; what-if: "что если метель?"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ad_channel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NaN→'нет_рекламы'; LabelEncoder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Канал рекламы планируется заранее; what-if: выбор канала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holiday_name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NaN→'нет_праздника'; LabelEncoder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Государственные праздники известны заранее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hour, hour_sin, hour_cos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sin/cos(2π·h/24)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Час суток; циклическое кодирование устраняет разрыв 23→0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day_of_week, dow_sin, dow_cos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sin/cos(2π·d/7)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День недели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week_of_year, woy_sin, woy_cos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sin/cos(2π·w/52)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Номер недели (сезонность)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month, month_sin, month_cos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sin/cos(2π·m/12)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Месяц (месячная сезонность)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is_weekend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Выходной день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is_holiday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Праздничный день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is_rush_hour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Час пик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is_night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Ночное время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is_shop_open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Магазин открыт (1: 05:00–21:00, 0: 22:00–04:00). Производный признак. Стабилизирует нулевые продажи shop_*: модель явно знает «закрыто».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promotion_fuel_active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Акция на топливо активна; what-if: включить/выключить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promotion_shop_active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Акция в магазине; what-if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promotion_cafe_active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Акция в кафе; what-if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ad_active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(бинарная)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Реклама активна; what-if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price_AI92/95/98/DT_* (7 к.)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Без Z-score (std=0 per-station)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Текущие цены топлива. В 2023 г. постоянны внутри станции (std=0) → Z-score не применяется. Декодер может получать гипотетические цены в what-if.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temperature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Z-score (train only)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Температура воздуха, °C; задаётся по метеопрогнозу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precipitation_mm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Z-score (train only)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Осадки, мм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visibility_km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Z-score (train only)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Видимость, км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wind_speed_ms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Z-score (train only)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Скорость ветра, м/с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is_snow / is_rain / is_fog (3 к.)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— (бинарные)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Погодные флаги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traffic_Passengers_cars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Z-score (train only)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Поток легковых автомобилей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traffic_Truck_short/Truck/Truck_long (3 к.)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Z-score (train only)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Грузовые потоки по классам тоннажа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traffic_Transporter / traffic_Undefined (2 к.)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Z-score (train only)</w:t>
            </w:r>
          </w:p>
        </w:tc>
        <w:tc>
          <w:tcPr>
            <w:tcW w:type="dxa" w:w="3402"/>
            <w:shd w:fill="FFFFFF" w:val="clear"/>
          </w:tcPr>
          <w:p>
            <w:r>
              <w:rPr>
                <w:sz w:val="18"/>
              </w:rPr>
              <w:t>Микроавтобусы и неклассифицированные ТС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competitor_price_AI92/95/DT (3 к.)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Z-score (train only)</w:t>
            </w:r>
          </w:p>
        </w:tc>
        <w:tc>
          <w:tcPr>
            <w:tcW w:type="dxa" w:w="3402"/>
            <w:shd w:fill="F2F2F2" w:val="clear"/>
          </w:tcPr>
          <w:p>
            <w:r>
              <w:rPr>
                <w:sz w:val="18"/>
              </w:rPr>
              <w:t>Цены конкурентов; мониторинг. what-if: снижение/повышение конкурентной цены</w:t>
            </w:r>
          </w:p>
        </w:tc>
      </w:tr>
    </w:tbl>
    <w:p>
      <w:pPr>
        <w:pStyle w:val="Heading2"/>
      </w:pPr>
      <w:r>
        <w:rPr>
          <w:color w:val="2E74B5"/>
        </w:rPr>
        <w:t>3.3 Наблюдаемые прошлые (time_varying_unknown_reals)</w:t>
      </w:r>
    </w:p>
    <w:p>
      <w:r>
        <w:rPr>
          <w:b w:val="0"/>
          <w:i w:val="0"/>
          <w:sz w:val="20"/>
        </w:rPr>
        <w:t>В данном проекте TIME_VARYING_UNKNOWN_REALS = [] (пустой список). Это архитектурное решение, отличающее данную реализацию от стандартного примера TFT.</w:t>
      </w:r>
    </w:p>
    <w:p>
      <w:r>
        <w:rPr>
          <w:b w:val="0"/>
          <w:i w:val="0"/>
          <w:sz w:val="20"/>
        </w:rPr>
        <w:t>Стандартный подход: погода и трафик — UNKNOWN (энкодер видит только прошлое, декодер — нет). Ограничение: what-if анализ невозможен ("что если завтра снег?" нельзя задать, потому что снег не в KNOWN).</w:t>
      </w:r>
    </w:p>
    <w:p>
      <w:r>
        <w:rPr>
          <w:b w:val="0"/>
          <w:i w:val="0"/>
          <w:sz w:val="20"/>
        </w:rPr>
        <w:t>Выбранный подход: все ковариаты перенесены в KNOWN. Это означает, что модель ожидает значения погоды и трафика на весь горизонт прогноза (24 ч). Источник: метеопрогноз + прогноз дорожного движения. Преимущество: полноценный сценарный what-if анализ по любой переменной.</w:t>
      </w:r>
    </w:p>
    <w:p>
      <w:r>
        <w:rPr>
          <w:b w:val="0"/>
          <w:i/>
          <w:sz w:val="20"/>
        </w:rPr>
        <w:t>Целевые переменные (TARGET_COLS) добавляются TFT автоматически как авторегрессивные входы энкодера через параметр target=TARGET_COLS в TimeSeriesDataSet. Их указывать в UNKNOWN_REALS не нужно.</w:t>
      </w:r>
    </w:p>
    <w:p>
      <w:pPr>
        <w:pStyle w:val="Heading2"/>
      </w:pPr>
      <w:r>
        <w:rPr>
          <w:color w:val="2E74B5"/>
        </w:rPr>
        <w:t>3.4 Целевые переменные (12 штук)</w:t>
      </w:r>
    </w:p>
    <w:p>
      <w:r>
        <w:rPr>
          <w:b w:val="0"/>
          <w:i w:val="0"/>
          <w:sz w:val="20"/>
        </w:rPr>
        <w:t>TFT прогнозирует 12 переменных совместно, используя взаимные корреляции (покупатели топлива = покупатели магазина). Модель выдаёт квантильные прогнозы [q2, q10, q25, q50, q75, q90, q98] для каждой цели.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3118"/>
            <w:shd w:fill="1F3964" w:val="clear"/>
          </w:tcPr>
          <w:p>
            <w:r>
              <w:rPr>
                <w:b/>
                <w:color w:val="FFFFFF"/>
                <w:sz w:val="18"/>
              </w:rPr>
              <w:t>Переменная</w:t>
            </w:r>
          </w:p>
        </w:tc>
        <w:tc>
          <w:tcPr>
            <w:tcW w:type="dxa" w:w="2268"/>
            <w:shd w:fill="1F3964" w:val="clear"/>
          </w:tcPr>
          <w:p>
            <w:r>
              <w:rPr>
                <w:b/>
                <w:color w:val="FFFFFF"/>
                <w:sz w:val="18"/>
              </w:rPr>
              <w:t>Диапазон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Skew до log1p</w:t>
            </w:r>
          </w:p>
        </w:tc>
        <w:tc>
          <w:tcPr>
            <w:tcW w:type="dxa" w:w="1984"/>
            <w:shd w:fill="1F3964" w:val="clear"/>
          </w:tcPr>
          <w:p>
            <w:r>
              <w:rPr>
                <w:b/>
                <w:color w:val="FFFFFF"/>
                <w:sz w:val="18"/>
              </w:rPr>
              <w:t>Skew после log1p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sales_AI92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0–264 л/ч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2.14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0.24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sales_AI95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0–301 л/ч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2.14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0.21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sales_AI98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0–75 л/ч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2.11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0.30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sales_DT_EURO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0–75 л/ч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2.18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0.28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sales_DT_TANEKO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0–23 л/ч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2.17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0.66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sales_DT_SUMMER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0–38 л/ч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4.21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1.53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sales_DT_WINTER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0–27 л/ч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3.95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1.41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shop_напитки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0–444 руб/ч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2.52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1.01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shop_закуски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0–897 руб/ч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2.53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0.98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shop_автотовары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0–1315 руб/ч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2.53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0.97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shop_кофе</w:t>
            </w:r>
          </w:p>
        </w:tc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0–799 руб/ч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2.54</w:t>
            </w:r>
          </w:p>
        </w:tc>
        <w:tc>
          <w:tcPr>
            <w:tcW w:type="dxa" w:w="1984"/>
            <w:shd w:fill="F2F2F2" w:val="clear"/>
          </w:tcPr>
          <w:p>
            <w:r>
              <w:rPr>
                <w:sz w:val="18"/>
              </w:rPr>
              <w:t>0.99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shop_табак</w:t>
            </w:r>
          </w:p>
        </w:tc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0–261 руб/ч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2.52</w:t>
            </w:r>
          </w:p>
        </w:tc>
        <w:tc>
          <w:tcPr>
            <w:tcW w:type="dxa" w:w="1984"/>
            <w:shd w:fill="FFFFFF" w:val="clear"/>
          </w:tcPr>
          <w:p>
            <w:r>
              <w:rPr>
                <w:sz w:val="18"/>
              </w:rPr>
              <w:t>1.04</w:t>
            </w:r>
          </w:p>
        </w:tc>
      </w:tr>
    </w:tbl>
    <w:p/>
    <w:p>
      <w:r>
        <w:rPr>
          <w:b w:val="0"/>
          <w:i w:val="0"/>
          <w:sz w:val="20"/>
        </w:rPr>
        <w:t>log1p(x) = log(1+x) снижает правостороннюю асимметрию продаж (skew 2–4 → 0.2–1.5). Работает при x=0 (ночные часы без продаж). TorchNormalizer(method='robust') внутри TFT дополнительно нормализует по медиане и IQR.</w:t>
      </w:r>
    </w:p>
    <w:p>
      <w:pPr>
        <w:pStyle w:val="Heading1"/>
      </w:pPr>
      <w:r>
        <w:rPr>
          <w:color w:val="1F3964"/>
        </w:rPr>
        <w:t>4. Предобработка данных</w:t>
      </w:r>
    </w:p>
    <w:p>
      <w:r>
        <w:rPr>
          <w:b/>
          <w:i w:val="0"/>
          <w:sz w:val="20"/>
        </w:rPr>
        <w:t>Файл: eda/eda_preprocessing.py. Порядок шагов строго фиксирован.</w:t>
      </w:r>
    </w:p>
    <w:p>
      <w:pPr>
        <w:pStyle w:val="Heading3"/>
      </w:pPr>
      <w:r>
        <w:rPr>
          <w:color w:val="37868C"/>
        </w:rPr>
        <w:t>Шаг 1. Заполнение пропусков</w:t>
      </w:r>
    </w:p>
    <w:p>
      <w:pPr/>
      <w:r>
        <w:rPr>
          <w:sz w:val="20"/>
        </w:rPr>
        <w:t>Два поля содержат пропуски:</w:t>
      </w:r>
    </w:p>
    <w:p>
      <w:pPr>
        <w:pStyle w:val="ListBullet"/>
      </w:pPr>
      <w:r>
        <w:rPr>
          <w:sz w:val="20"/>
        </w:rPr>
        <w:t>- holiday_name (~97% строк — обычные дни без праздника)</w:t>
      </w:r>
    </w:p>
    <w:p>
      <w:pPr>
        <w:pStyle w:val="ListBullet"/>
      </w:pPr>
      <w:r>
        <w:rPr>
          <w:sz w:val="20"/>
        </w:rPr>
        <w:t>- ad_channel (~70% строк — дни без рекламы)</w:t>
      </w:r>
    </w:p>
    <w:p>
      <w:pPr/>
      <w:r>
        <w:rPr>
          <w:sz w:val="20"/>
        </w:rPr>
        <w:t>Заполняются семантическими значениями:</w:t>
      </w:r>
    </w:p>
    <w:p>
      <w:pPr>
        <w:pStyle w:val="ListBullet"/>
      </w:pPr>
      <w:r>
        <w:rPr>
          <w:sz w:val="20"/>
        </w:rPr>
        <w:t>- holiday_name → 'нет_праздника'</w:t>
      </w:r>
    </w:p>
    <w:p>
      <w:pPr>
        <w:pStyle w:val="ListBullet"/>
      </w:pPr>
      <w:r>
        <w:rPr>
          <w:sz w:val="20"/>
        </w:rPr>
        <w:t>- ad_channel → 'нет_рекламы'</w:t>
      </w:r>
    </w:p>
    <w:p>
      <w:pPr/>
      <w:r>
        <w:rPr>
          <w:sz w:val="20"/>
        </w:rPr>
        <w:t>Удаление строк недопустимо: нарушило бы непрерывность временного ряда.</w:t>
      </w:r>
    </w:p>
    <w:p>
      <w:pPr>
        <w:pStyle w:val="Heading3"/>
      </w:pPr>
      <w:r>
        <w:rPr>
          <w:color w:val="37868C"/>
        </w:rPr>
        <w:t>Шаг 2. Исключение избыточных колонок</w:t>
      </w:r>
    </w:p>
    <w:p>
      <w:pPr/>
      <w:r>
        <w:rPr>
          <w:sz w:val="20"/>
        </w:rPr>
        <w:t>Из датафрейма удаляются 7 избыточных колонок (см. раздел 2):</w:t>
      </w:r>
    </w:p>
    <w:p>
      <w:pPr>
        <w:pStyle w:val="ListBullet"/>
      </w:pPr>
      <w:r>
        <w:rPr>
          <w:sz w:val="20"/>
        </w:rPr>
        <w:t>- station_name, total_pumps, total_fuel_sales,</w:t>
      </w:r>
    </w:p>
    <w:p>
      <w:pPr>
        <w:pStyle w:val="ListBullet"/>
      </w:pPr>
      <w:r>
        <w:rPr>
          <w:sz w:val="20"/>
        </w:rPr>
        <w:t>- shop_total_revenue, total_traffic, quarter, day_name.</w:t>
      </w:r>
    </w:p>
    <w:p>
      <w:pPr/>
      <w:r>
        <w:rPr>
          <w:sz w:val="20"/>
        </w:rPr>
        <w:t>После исключения: 89 − 7 = 82 колонки.</w:t>
      </w:r>
    </w:p>
    <w:p>
      <w:pPr/>
      <w:r>
        <w:rPr>
          <w:sz w:val="20"/>
        </w:rPr>
        <w:t>Winsorization (метод IQR) не применяется: статья TFT (Lim et al., 2020) не описывает этот метод предобработки; выбросы целевых переменных обрабатываются TorchNormalizer(method='robust') внутри модели.</w:t>
      </w:r>
    </w:p>
    <w:p>
      <w:pPr>
        <w:pStyle w:val="Heading3"/>
      </w:pPr>
      <w:r>
        <w:rPr>
          <w:color w:val="37868C"/>
        </w:rPr>
        <w:t>Шаг 3. Label Encoding категориальных переменных</w:t>
      </w:r>
    </w:p>
    <w:p>
      <w:pPr/>
      <w:r>
        <w:rPr>
          <w:sz w:val="20"/>
        </w:rPr>
        <w:t>Категориальные строковые переменные кодируются в целые числа:</w:t>
      </w:r>
    </w:p>
    <w:p>
      <w:pPr>
        <w:pStyle w:val="ListBullet"/>
      </w:pPr>
      <w:r>
        <w:rPr>
          <w:sz w:val="20"/>
        </w:rPr>
        <w:t>- road_type, direction, settlement_size, weather_condition,</w:t>
      </w:r>
    </w:p>
    <w:p>
      <w:pPr>
        <w:pStyle w:val="ListBullet"/>
      </w:pPr>
      <w:r>
        <w:rPr>
          <w:sz w:val="20"/>
        </w:rPr>
        <w:t>- ad_channel, season, holiday_name</w:t>
      </w:r>
    </w:p>
    <w:p>
      <w:pPr/>
      <w:r>
        <w:rPr>
          <w:sz w:val="20"/>
        </w:rPr>
        <w:t>Создаются новые колонки с суффиксом _enc.</w:t>
      </w:r>
    </w:p>
    <w:p>
      <w:pPr/>
      <w:r>
        <w:rPr>
          <w:sz w:val="20"/>
        </w:rPr>
        <w:t>Важно: LabelEncoder обучается (fit) на ВСЕХ данных (43 800 строк), а не только на train. Это технически необходимо: праздники (holiday_name) встречаются только в ноябре и декабре, которых нет в train (ноябрь/декабрь — val/test). Fit только на train вызвал бы KeyError. Аналогично и NaNLabelEncoder в prepare_dataset.py. Для категориального кодирования (не для обучения модели) это допустимо.</w:t>
      </w:r>
    </w:p>
    <w:p>
      <w:pPr>
        <w:pStyle w:val="Heading3"/>
      </w:pPr>
      <w:r>
        <w:rPr>
          <w:color w:val="37868C"/>
        </w:rPr>
        <w:t>Шаг 4. Циклическое sin/cos кодирование</w:t>
      </w:r>
    </w:p>
    <w:p>
      <w:pPr/>
      <w:r>
        <w:rPr>
          <w:sz w:val="20"/>
        </w:rPr>
        <w:t>Временные признаки hour, day_of_week, month, week_of_year имеют циклическую природу:</w:t>
      </w:r>
    </w:p>
    <w:p>
      <w:pPr/>
      <w:r>
        <w:rPr>
          <w:sz w:val="20"/>
        </w:rPr>
        <w:t xml:space="preserve">  hour=23 и hour=0 — соседние часы, но числово далеки (разница 23).</w:t>
      </w:r>
    </w:p>
    <w:p>
      <w:pPr/>
      <w:r>
        <w:rPr>
          <w:sz w:val="20"/>
        </w:rPr>
        <w:t>Решение: проекция на единичную окружность:</w:t>
      </w:r>
    </w:p>
    <w:p>
      <w:pPr/>
      <w:r>
        <w:rPr>
          <w:sz w:val="20"/>
        </w:rPr>
        <w:t xml:space="preserve">  hour_sin = sin(2π × hour / 24)</w:t>
      </w:r>
    </w:p>
    <w:p>
      <w:pPr/>
      <w:r>
        <w:rPr>
          <w:sz w:val="20"/>
        </w:rPr>
        <w:t xml:space="preserve">  hour_cos = cos(2π × hour / 24)</w:t>
      </w:r>
    </w:p>
    <w:p>
      <w:pPr/>
      <w:r>
        <w:rPr>
          <w:sz w:val="20"/>
        </w:rPr>
        <w:t>Расстояние ||(23_sin,23_cos) − (0_sin,0_cos)||₂ минимально.</w:t>
      </w:r>
    </w:p>
    <w:p>
      <w:pPr/>
      <w:r>
        <w:rPr>
          <w:sz w:val="20"/>
        </w:rPr>
        <w:t>Добавляются 8 новых колонок (4 признака × 2). Итого: 82 + 8 = 90.</w:t>
      </w:r>
    </w:p>
    <w:p>
      <w:pPr>
        <w:pStyle w:val="Heading3"/>
      </w:pPr>
      <w:r>
        <w:rPr>
          <w:color w:val="37868C"/>
        </w:rPr>
        <w:t>Шаг 5. Монотонный индекс времени (time_idx)</w:t>
      </w:r>
    </w:p>
    <w:p>
      <w:pPr/>
      <w:r>
        <w:rPr>
          <w:sz w:val="20"/>
        </w:rPr>
        <w:t>TFT требует целочисленный time_idx без пропусков для каждой группы (станции).</w:t>
      </w:r>
    </w:p>
    <w:p>
      <w:pPr/>
      <w:r>
        <w:rPr>
          <w:sz w:val="20"/>
        </w:rPr>
        <w:t>Реализация: cumcount() после сортировки по (station_id, timestamp).</w:t>
      </w:r>
    </w:p>
    <w:p>
      <w:pPr/>
      <w:r>
        <w:rPr>
          <w:sz w:val="20"/>
        </w:rPr>
        <w:t xml:space="preserve">  time_idx = 0, 1, 2, …, 8759 для каждой из 5 станций (8760 часов = 365 дней).</w:t>
      </w:r>
    </w:p>
    <w:p>
      <w:pPr>
        <w:pStyle w:val="Heading3"/>
      </w:pPr>
      <w:r>
        <w:rPr>
          <w:color w:val="37868C"/>
        </w:rPr>
        <w:t>Шаг 6. Логарифмическое преобразование (log1p)</w:t>
      </w:r>
    </w:p>
    <w:p>
      <w:pPr/>
      <w:r>
        <w:rPr>
          <w:sz w:val="20"/>
        </w:rPr>
        <w:t>Все 12 целевых переменных (TARGET_COLS) имеют правостороннюю асимметрию.</w:t>
      </w:r>
    </w:p>
    <w:p>
      <w:pPr/>
      <w:r>
        <w:rPr>
          <w:sz w:val="20"/>
        </w:rPr>
        <w:t>log1p(x) = log(1+x):</w:t>
      </w:r>
    </w:p>
    <w:p>
      <w:pPr>
        <w:pStyle w:val="ListBullet"/>
      </w:pPr>
      <w:r>
        <w:rPr>
          <w:sz w:val="20"/>
        </w:rPr>
        <w:t>- работает при x=0 (ночные нулевые продажи)</w:t>
      </w:r>
    </w:p>
    <w:p>
      <w:pPr>
        <w:pStyle w:val="ListBullet"/>
      </w:pPr>
      <w:r>
        <w:rPr>
          <w:sz w:val="20"/>
        </w:rPr>
        <w:t>- снижает skew с 2–4 до 0.2–1.5</w:t>
      </w:r>
    </w:p>
    <w:p>
      <w:pPr>
        <w:pStyle w:val="ListBullet"/>
      </w:pPr>
      <w:r>
        <w:rPr>
          <w:sz w:val="20"/>
        </w:rPr>
        <w:t>- улучшает сходимость нейронной сети</w:t>
      </w:r>
    </w:p>
    <w:p>
      <w:pPr/>
      <w:r>
        <w:rPr>
          <w:sz w:val="20"/>
        </w:rPr>
        <w:t>shop_total_revenue ИСКЛЮЧЕНА из log1p и из модели (удалена на шаге 2).</w:t>
      </w:r>
    </w:p>
    <w:p>
      <w:pPr/>
      <w:r>
        <w:rPr>
          <w:sz w:val="20"/>
        </w:rPr>
        <w:t>Оригинальные значения сохраняются в _orig для обратного преобразования в predict.py.</w:t>
      </w:r>
    </w:p>
    <w:p>
      <w:pPr>
        <w:pStyle w:val="Heading3"/>
      </w:pPr>
      <w:r>
        <w:rPr>
          <w:color w:val="37868C"/>
        </w:rPr>
        <w:t>Шаг 7. Z-score нормализация per-station (без data leakage)</w:t>
      </w:r>
    </w:p>
    <w:p>
      <w:pPr/>
      <w:r>
        <w:rPr>
          <w:sz w:val="20"/>
        </w:rPr>
        <w:t>Формула: (x − mean_train) / std_train</w:t>
      </w:r>
    </w:p>
    <w:p>
      <w:pPr/>
      <w:r>
        <w:rPr>
          <w:sz w:val="20"/>
        </w:rPr>
        <w:t>Ключевое решение: mean и std вычисляются ТОЛЬКО по обучающей выборке (Jan–Oct 2023).</w:t>
      </w:r>
    </w:p>
    <w:p>
      <w:pPr/>
      <w:r>
        <w:rPr>
          <w:sz w:val="20"/>
        </w:rPr>
        <w:t>Одни и те же статистики применяются к val и test — это стандартная ML-практика,</w:t>
      </w:r>
    </w:p>
    <w:p>
      <w:pPr/>
      <w:r>
        <w:rPr>
          <w:sz w:val="20"/>
        </w:rPr>
        <w:t>исключающая data leakage из будущего в нормализацию обучающих данных.</w:t>
      </w:r>
    </w:p>
    <w:p>
      <w:pPr/>
    </w:p>
    <w:p>
      <w:pPr/>
      <w:r>
        <w:rPr>
          <w:sz w:val="20"/>
        </w:rPr>
        <w:t>Исключения из нормализации:</w:t>
      </w:r>
    </w:p>
    <w:p>
      <w:pPr>
        <w:pStyle w:val="ListBullet"/>
      </w:pPr>
      <w:r>
        <w:rPr>
          <w:sz w:val="20"/>
        </w:rPr>
        <w:t>- STATIC_REALS: паспортные данные АЗС (константны для каждой станции)</w:t>
      </w:r>
    </w:p>
    <w:p>
      <w:pPr>
        <w:pStyle w:val="ListBullet"/>
      </w:pPr>
      <w:r>
        <w:rPr>
          <w:sz w:val="20"/>
        </w:rPr>
        <w:t>- Бинарные переменные (0/1): нормализация бессмысленна</w:t>
      </w:r>
    </w:p>
    <w:p>
      <w:pPr>
        <w:pStyle w:val="ListBullet"/>
      </w:pPr>
      <w:r>
        <w:rPr>
          <w:sz w:val="20"/>
        </w:rPr>
        <w:t>- _enc колонки: целые числа для embedding</w:t>
      </w:r>
    </w:p>
    <w:p>
      <w:pPr>
        <w:pStyle w:val="ListBullet"/>
      </w:pPr>
      <w:r>
        <w:rPr>
          <w:sz w:val="20"/>
        </w:rPr>
        <w:t>- _orig колонки: оригинальные значения до log1p</w:t>
      </w:r>
    </w:p>
    <w:p>
      <w:pPr>
        <w:pStyle w:val="ListBullet"/>
      </w:pPr>
      <w:r>
        <w:rPr>
          <w:sz w:val="20"/>
        </w:rPr>
        <w:t>- TARGET_COLS: нормализует TorchNormalizer внутри TFT</w:t>
      </w:r>
    </w:p>
    <w:p>
      <w:pPr>
        <w:pStyle w:val="ListBullet"/>
      </w:pPr>
      <w:r>
        <w:rPr>
          <w:sz w:val="20"/>
        </w:rPr>
        <w:t>- NO_ZSCORE_COLS (price_*): константны per-station в 2023 г., std=0</w:t>
      </w:r>
    </w:p>
    <w:p>
      <w:pPr/>
    </w:p>
    <w:p>
      <w:pPr/>
      <w:r>
        <w:rPr>
          <w:sz w:val="20"/>
        </w:rPr>
        <w:t>Скейлеры (mean, std) сохраняются в tft/scalers.pkl для обратного</w:t>
      </w:r>
    </w:p>
    <w:p>
      <w:pPr/>
      <w:r>
        <w:rPr>
          <w:sz w:val="20"/>
        </w:rPr>
        <w:t>преобразования прогнозов в predict.py.</w:t>
      </w:r>
    </w:p>
    <w:p>
      <w:pPr>
        <w:pStyle w:val="Heading3"/>
      </w:pPr>
      <w:r>
        <w:rPr>
          <w:color w:val="37868C"/>
        </w:rPr>
        <w:t>Шаг 8. Темпоральный сплит и сохранение</w:t>
      </w:r>
    </w:p>
    <w:p>
      <w:pPr/>
      <w:r>
        <w:rPr>
          <w:sz w:val="20"/>
        </w:rPr>
        <w:t>Данные разбиваются строго по времени:</w:t>
      </w:r>
    </w:p>
    <w:p>
      <w:pPr/>
      <w:r>
        <w:rPr>
          <w:sz w:val="20"/>
        </w:rPr>
        <w:t xml:space="preserve">  Train : January–October 2023    (~83% строк)</w:t>
      </w:r>
    </w:p>
    <w:p>
      <w:pPr/>
      <w:r>
        <w:rPr>
          <w:sz w:val="20"/>
        </w:rPr>
        <w:t xml:space="preserve">  Val   : November 2023           (~8% строк)</w:t>
      </w:r>
    </w:p>
    <w:p>
      <w:pPr/>
      <w:r>
        <w:rPr>
          <w:sz w:val="20"/>
        </w:rPr>
        <w:t xml:space="preserve">  Test  : December 2023           (~8% строк)</w:t>
      </w:r>
    </w:p>
    <w:p>
      <w:pPr/>
    </w:p>
    <w:p>
      <w:pPr/>
      <w:r>
        <w:rPr>
          <w:sz w:val="20"/>
        </w:rPr>
        <w:t>Случайная выборка недопустима: вызвала бы data leakage будущих значений в train.</w:t>
      </w:r>
    </w:p>
    <w:p>
      <w:pPr/>
      <w:r>
        <w:rPr>
          <w:sz w:val="20"/>
        </w:rPr>
        <w:t>Результат: data/prepared_data.csv, data/train.csv, data/val.csv,</w:t>
      </w:r>
    </w:p>
    <w:p>
      <w:pPr/>
      <w:r>
        <w:rPr>
          <w:sz w:val="20"/>
        </w:rPr>
        <w:t xml:space="preserve">           data/test.csv, tft/scalers.pkl</w:t>
      </w:r>
    </w:p>
    <w:p>
      <w:pPr>
        <w:pStyle w:val="Heading1"/>
      </w:pPr>
      <w:r>
        <w:rPr>
          <w:color w:val="1F3964"/>
        </w:rPr>
        <w:t>5. Параметры TFT-модели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CPU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GPU</w:t>
            </w:r>
          </w:p>
        </w:tc>
        <w:tc>
          <w:tcPr>
            <w:tcW w:type="dxa" w:w="5386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hidden_size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128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Размер скрытого слоя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attention_head_size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Число голов многоголового внимания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hidden_continuous_size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Размер Variable Selection Network для числовых входов (= hidden_size // 2). Рекомендация статьи TFT: hidden_continuous ≤ hidden_size / 2. Создаёт лёгкое узкое место → регуляризация числовых признаков.</w:t>
            </w:r>
          </w:p>
        </w:tc>
      </w:tr>
      <w:tr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BATCH_SIZE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64</w:t>
            </w:r>
          </w:p>
        </w:tc>
        <w:tc>
          <w:tcPr>
            <w:tcW w:type="dxa" w:w="5386"/>
            <w:shd w:fill="FFFFFF" w:val="clear"/>
          </w:tcPr>
          <w:p>
            <w:r>
              <w:rPr>
                <w:sz w:val="18"/>
              </w:rPr>
              <w:t>Размер мини-батча</w:t>
            </w:r>
          </w:p>
        </w:tc>
      </w:tr>
      <w:tr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EPOCHS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5386"/>
            <w:shd w:fill="F2F2F2" w:val="clear"/>
          </w:tcPr>
          <w:p>
            <w:r>
              <w:rPr>
                <w:sz w:val="18"/>
              </w:rPr>
              <w:t>Максимальное число эпох (EarlyStopping остановит раньше)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</w:t>
            </w:r>
          </w:p>
        </w:tc>
        <w:tc>
          <w:tcPr>
            <w:tcW w:type="dxa" w:w="2835"/>
            <w:shd w:fill="1F3964" w:val="clear"/>
          </w:tcPr>
          <w:p>
            <w:r>
              <w:rPr>
                <w:b/>
                <w:color w:val="FFFFFF"/>
                <w:sz w:val="18"/>
              </w:rPr>
              <w:t>Значение</w:t>
            </w:r>
          </w:p>
        </w:tc>
        <w:tc>
          <w:tcPr>
            <w:tcW w:type="dxa" w:w="510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ENCODER_LENGTH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168 ч (7 сут.)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Ретроспективное окно. Охватывает суточный и недельный циклы сезонности (7 дней).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PREDICTION_LENGTH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24 ч (1 сут.)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Горизонт прогноза: 1 сутки (24 часовых шага). Оптимален для оперативного планирования.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learning_rate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3e-4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Начальный LR. Снижается ReduceLROnPlateau(patience=5)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dropout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0.15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Регуляризация (Dropout + VariationalDropout)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gradient_clip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1.0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Обрезка градиентов (предотвращает взрыв градиентов)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EarlyStopping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patience=12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Останавливается при отсутствии улучшения val_loss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loss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QuantileLoss([0.02,0.1,0.25,0.5,0.75,0.9,0.98])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7-квантильный прогноз: медиана + доверительные интервалы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target_normalizer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MultiNormalizer([TorchNormalizer(robust)] × 12)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Нормализация целей по медиане+IQR (устойчива к выбросам). Применяется внутри TFT.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add_relative_time_idx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Относительная позиция шага в окне → known_real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add_target_scales</w:t>
            </w:r>
          </w:p>
        </w:tc>
        <w:tc>
          <w:tcPr>
            <w:tcW w:type="dxa" w:w="2835"/>
            <w:shd w:fill="FFFFFF" w:val="clear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5102"/>
            <w:shd w:fill="FFFFFF" w:val="clear"/>
          </w:tcPr>
          <w:p>
            <w:r>
              <w:rPr>
                <w:sz w:val="18"/>
              </w:rPr>
              <w:t>Масштаб каждой цели → static_real (location + scale)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add_encoder_length</w:t>
            </w:r>
          </w:p>
        </w:tc>
        <w:tc>
          <w:tcPr>
            <w:tcW w:type="dxa" w:w="2835"/>
            <w:shd w:fill="F2F2F2" w:val="clear"/>
          </w:tcPr>
          <w:p>
            <w:r>
              <w:rPr>
                <w:sz w:val="18"/>
              </w:rPr>
              <w:t>True</w:t>
            </w:r>
          </w:p>
        </w:tc>
        <w:tc>
          <w:tcPr>
            <w:tcW w:type="dxa" w:w="5102"/>
            <w:shd w:fill="F2F2F2" w:val="clear"/>
          </w:tcPr>
          <w:p>
            <w:r>
              <w:rPr>
                <w:sz w:val="18"/>
              </w:rPr>
              <w:t>Фактическая длина энкодера → static_real</w:t>
            </w:r>
          </w:p>
        </w:tc>
      </w:tr>
    </w:tbl>
    <w:p>
      <w:pPr>
        <w:pStyle w:val="Heading1"/>
      </w:pPr>
      <w:r>
        <w:rPr>
          <w:color w:val="1F3964"/>
        </w:rPr>
        <w:t>6. Итоговый состав тензоров TFT</w:t>
      </w:r>
    </w:p>
    <w:p>
      <w:r>
        <w:rPr>
          <w:b/>
          <w:i w:val="0"/>
          <w:sz w:val="20"/>
        </w:rPr>
        <w:t>Размеры тензоров, которые TFT получает на вход. Включают как исходные переменные, так и дополнительные признаки, добавляемые pytorch-forecasting автоматически.</w:t>
      </w:r>
    </w:p>
    <w:p>
      <w:pPr>
        <w:pStyle w:val="Heading2"/>
      </w:pPr>
      <w:r>
        <w:rPr>
          <w:color w:val="2E74B5"/>
        </w:rPr>
        <w:t>6.1 Статические признаки — 54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 датасета</w:t>
            </w:r>
          </w:p>
        </w:tc>
        <w:tc>
          <w:tcPr>
            <w:tcW w:type="dxa" w:w="425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road_type_enc, direction_enc, settlement_size_enc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 (паспорт)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26 паспортных признаков АЗС (расстояния, колонки, площадь, сервисы, оценки, базовые цены)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target_scales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add_target_scales=True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12 целей × 2: location (медиана) + scale (IQR) от TorchNormalizer(robust)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encoder_length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add_encoder_length=True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Фактическая длина энкодера в текущем сэмпле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rPr>
          <w:color w:val="2E74B5"/>
        </w:rPr>
        <w:t>6.2 Признаки энкодера (прошлое) — 61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 датасета</w:t>
            </w:r>
          </w:p>
        </w:tc>
        <w:tc>
          <w:tcPr>
            <w:tcW w:type="dxa" w:w="425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season_enc, weather_condition_enc, ad_channel_enc, holiday_name_enc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Время (12: raw+sin/cos×4), флаги (5: выходной/праздник/час-пик/ночь/магазин-открыт), акции+реклама (4), цены топлива (7), погода (7), трафик (6), цены конкурентов (3)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relative_time_idx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add_relative_time_idx=True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Относительная позиция шага в энкодерном окне [0…1]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unknown_reals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time_varying_unknown_reals = []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Намеренно пусто. Все ковариаты перенесены в KNOWN для what-if.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targets (observed past)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target=TARGET_COLS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12 целевых переменных — в энкодере видны как лаговые входы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Полный набор признаков, доступных энкодеру за ретроспективный период</w:t>
            </w:r>
          </w:p>
        </w:tc>
      </w:tr>
    </w:tbl>
    <w:p/>
    <w:p>
      <w:pPr>
        <w:pStyle w:val="Heading2"/>
      </w:pPr>
      <w:r>
        <w:rPr>
          <w:color w:val="2E74B5"/>
        </w:rPr>
        <w:t>6.3 Признаки декодера (будущее) — 49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Компонент</w:t>
            </w:r>
          </w:p>
        </w:tc>
        <w:tc>
          <w:tcPr>
            <w:tcW w:type="dxa" w:w="1134"/>
            <w:shd w:fill="1F3964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2551"/>
            <w:shd w:fill="1F3964" w:val="clear"/>
          </w:tcPr>
          <w:p>
            <w:r>
              <w:rPr>
                <w:b/>
                <w:color w:val="FFFFFF"/>
                <w:sz w:val="18"/>
              </w:rPr>
              <w:t>Параметр датасета</w:t>
            </w:r>
          </w:p>
        </w:tc>
        <w:tc>
          <w:tcPr>
            <w:tcW w:type="dxa" w:w="4252"/>
            <w:shd w:fill="1F3964" w:val="clear"/>
          </w:tcPr>
          <w:p>
            <w:r>
              <w:rPr>
                <w:b/>
                <w:color w:val="FFFFFF"/>
                <w:sz w:val="18"/>
              </w:rPr>
              <w:t>Описание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known_categoricals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season_enc, weather_condition_enc, ad_channel_enc, holiday_name_enc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known_reals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Те же 44 признаков, что и в энкодере — задаются на весь горизонт прогноза</w:t>
            </w:r>
          </w:p>
        </w:tc>
      </w:tr>
      <w:tr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relative_time_idx</w:t>
            </w:r>
          </w:p>
        </w:tc>
        <w:tc>
          <w:tcPr>
            <w:tcW w:type="dxa" w:w="1134"/>
            <w:shd w:fill="F2F2F2" w:val="clear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551"/>
            <w:shd w:fill="F2F2F2" w:val="clear"/>
          </w:tcPr>
          <w:p>
            <w:r>
              <w:rPr>
                <w:sz w:val="18"/>
              </w:rPr>
              <w:t>add_relative_time_idx=True</w:t>
            </w:r>
          </w:p>
        </w:tc>
        <w:tc>
          <w:tcPr>
            <w:tcW w:type="dxa" w:w="4252"/>
            <w:shd w:fill="F2F2F2" w:val="clear"/>
          </w:tcPr>
          <w:p>
            <w:r>
              <w:rPr>
                <w:sz w:val="18"/>
              </w:rPr>
              <w:t>Относительная позиция шага в декодерном окне [0…1]</w:t>
            </w:r>
          </w:p>
        </w:tc>
      </w:tr>
      <w:tr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ИТОГО</w:t>
            </w:r>
          </w:p>
        </w:tc>
        <w:tc>
          <w:tcPr>
            <w:tcW w:type="dxa" w:w="1134"/>
            <w:shd w:fill="FFFFFF" w:val="clear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2551"/>
            <w:shd w:fill="FFFFFF" w:val="clear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4252"/>
            <w:shd w:fill="FFFFFF" w:val="clear"/>
          </w:tcPr>
          <w:p>
            <w:r>
              <w:rPr>
                <w:sz w:val="18"/>
              </w:rPr>
              <w:t>Декодер видит ТОЛЬКО то, что можно знать заранее — нет unknown_reals и нет целевых</w:t>
            </w:r>
          </w:p>
        </w:tc>
      </w:tr>
    </w:tbl>
    <w:p/>
    <w:p>
      <w:r>
        <w:rPr>
          <w:b w:val="0"/>
          <w:i/>
          <w:sz w:val="20"/>
        </w:rPr>
        <w:t>Ключевое отличие: декодер получает меньше признаков, чем энкодер. В будущем нельзя наблюдать фактические продажи — поэтому 12 целевых переменных присутствуют только в энкодере (как прошлые наблюдения), но не в декодере. При этом благодаря переносу погоды, трафика и цен конкурентов в KNOWN, декодер располагает полным контекстом для сценарного прогнозирования.</w:t>
      </w:r>
    </w:p>
    <w:p>
      <w:pPr>
        <w:pStyle w:val="Heading1"/>
      </w:pPr>
      <w:r>
        <w:rPr>
          <w:color w:val="1F3964"/>
        </w:rPr>
        <w:t>7. Итоговая сводка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118"/>
            <w:shd w:fill="2E74B5" w:val="clear"/>
          </w:tcPr>
          <w:p>
            <w:r>
              <w:rPr>
                <w:b/>
                <w:color w:val="FFFFFF"/>
                <w:sz w:val="18"/>
              </w:rPr>
              <w:t>TFT-роль</w:t>
            </w:r>
          </w:p>
        </w:tc>
        <w:tc>
          <w:tcPr>
            <w:tcW w:type="dxa" w:w="1417"/>
            <w:shd w:fill="2E74B5" w:val="clear"/>
          </w:tcPr>
          <w:p>
            <w:r>
              <w:rPr>
                <w:b/>
                <w:color w:val="FFFFFF"/>
                <w:sz w:val="18"/>
              </w:rPr>
              <w:t>Кол-во</w:t>
            </w:r>
          </w:p>
        </w:tc>
        <w:tc>
          <w:tcPr>
            <w:tcW w:type="dxa" w:w="5953"/>
            <w:shd w:fill="2E74B5" w:val="clear"/>
          </w:tcPr>
          <w:p>
            <w:r>
              <w:rPr>
                <w:b/>
                <w:color w:val="FFFFFF"/>
                <w:sz w:val="18"/>
              </w:rPr>
              <w:t>Примечание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static_categoricals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5953"/>
            <w:shd w:fill="F2F2F2" w:val="clear"/>
          </w:tcPr>
          <w:p>
            <w:r>
              <w:rPr>
                <w:sz w:val="18"/>
              </w:rPr>
              <w:t>road_type, direction, settlement_size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static_reals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5953"/>
            <w:shd w:fill="FFFFFF" w:val="clear"/>
          </w:tcPr>
          <w:p>
            <w:r>
              <w:rPr>
                <w:sz w:val="18"/>
              </w:rPr>
              <w:t>26 паспортных признаков АЗС (total_pumps исключён как дубль)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time_varying_known_categoricals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5953"/>
            <w:shd w:fill="F2F2F2" w:val="clear"/>
          </w:tcPr>
          <w:p>
            <w:r>
              <w:rPr>
                <w:sz w:val="18"/>
              </w:rPr>
              <w:t>season, weather_condition, ad_channel, holiday_name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time_varying_known_reals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5953"/>
            <w:shd w:fill="FFFFFF" w:val="clear"/>
          </w:tcPr>
          <w:p>
            <w:r>
              <w:rPr>
                <w:sz w:val="18"/>
              </w:rPr>
              <w:t>Время (12), флаги (5: выходной/праздник/час-пик/ночь/магазин-открыт), акции (4), цены топлива (7), погода (7), трафик (6), конкуренты (3)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time_varying_unknown_reals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5953"/>
            <w:shd w:fill="F2F2F2" w:val="clear"/>
          </w:tcPr>
          <w:p>
            <w:r>
              <w:rPr>
                <w:sz w:val="18"/>
              </w:rPr>
              <w:t>Пусто — все ковариаты перенесены в KNOWN для what-if анализа</w:t>
            </w:r>
          </w:p>
        </w:tc>
      </w:tr>
      <w:tr>
        <w:tc>
          <w:tcPr>
            <w:tcW w:type="dxa" w:w="3118"/>
            <w:shd w:fill="FFFFFF" w:val="clear"/>
          </w:tcPr>
          <w:p>
            <w:r>
              <w:rPr>
                <w:sz w:val="18"/>
              </w:rPr>
              <w:t>target (12 совместных прогнозов)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5953"/>
            <w:shd w:fill="FFFFFF" w:val="clear"/>
          </w:tcPr>
          <w:p>
            <w:r>
              <w:rPr>
                <w:sz w:val="18"/>
              </w:rPr>
              <w:t>7 видов топлива + 5 категорий магазина</w:t>
            </w:r>
          </w:p>
        </w:tc>
      </w:tr>
      <w:tr>
        <w:tc>
          <w:tcPr>
            <w:tcW w:type="dxa" w:w="3118"/>
            <w:shd w:fill="F2F2F2" w:val="clear"/>
          </w:tcPr>
          <w:p>
            <w:r>
              <w:rPr>
                <w:sz w:val="18"/>
              </w:rPr>
              <w:t>ИТОГО входных переменных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89</w:t>
            </w:r>
          </w:p>
        </w:tc>
        <w:tc>
          <w:tcPr>
            <w:tcW w:type="dxa" w:w="5953"/>
            <w:shd w:fill="F2F2F2" w:val="clear"/>
          </w:tcPr>
          <w:p>
            <w:r>
              <w:rPr>
                <w:sz w:val="18"/>
              </w:rPr>
              <w:t>Без учёта time_idx, station_id и автодобавляемых target_scales/enc_length/rel_time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shd w:fill="2E74B5" w:val="clear"/>
          </w:tcPr>
          <w:p>
            <w:r>
              <w:rPr>
                <w:b/>
                <w:color w:val="FFFFFF"/>
                <w:sz w:val="18"/>
              </w:rPr>
              <w:t>Тензор</w:t>
            </w:r>
          </w:p>
        </w:tc>
        <w:tc>
          <w:tcPr>
            <w:tcW w:type="dxa" w:w="1417"/>
            <w:shd w:fill="2E74B5" w:val="clear"/>
          </w:tcPr>
          <w:p>
            <w:r>
              <w:rPr>
                <w:b/>
                <w:color w:val="FFFFFF"/>
                <w:sz w:val="18"/>
              </w:rPr>
              <w:t>Размер</w:t>
            </w:r>
          </w:p>
        </w:tc>
        <w:tc>
          <w:tcPr>
            <w:tcW w:type="dxa" w:w="6803"/>
            <w:shd w:fill="2E74B5" w:val="clear"/>
          </w:tcPr>
          <w:p>
            <w:r>
              <w:rPr>
                <w:b/>
                <w:color w:val="FFFFFF"/>
                <w:sz w:val="18"/>
              </w:rPr>
              <w:t>Содержимое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static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static_cats(3) + static_reals(26) + target_scales(24) + enc_length(1)</w:t>
            </w:r>
          </w:p>
        </w:tc>
      </w:tr>
      <w:tr>
        <w:tc>
          <w:tcPr>
            <w:tcW w:type="dxa" w:w="2268"/>
            <w:shd w:fill="FFFFFF" w:val="clear"/>
          </w:tcPr>
          <w:p>
            <w:r>
              <w:rPr>
                <w:sz w:val="18"/>
              </w:rPr>
              <w:t>encoder (прошлое)</w:t>
            </w:r>
          </w:p>
        </w:tc>
        <w:tc>
          <w:tcPr>
            <w:tcW w:type="dxa" w:w="1417"/>
            <w:shd w:fill="FFFFFF" w:val="clear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6803"/>
            <w:shd w:fill="FFFFFF" w:val="clear"/>
          </w:tcPr>
          <w:p>
            <w:r>
              <w:rPr>
                <w:sz w:val="18"/>
              </w:rPr>
              <w:t>known_cats(4) + known_reals(44) + rel_idx(1) + unknown(0) + targets_past(12)</w:t>
            </w:r>
          </w:p>
        </w:tc>
      </w:tr>
      <w:tr>
        <w:tc>
          <w:tcPr>
            <w:tcW w:type="dxa" w:w="2268"/>
            <w:shd w:fill="F2F2F2" w:val="clear"/>
          </w:tcPr>
          <w:p>
            <w:r>
              <w:rPr>
                <w:sz w:val="18"/>
              </w:rPr>
              <w:t>decoder (будущее)</w:t>
            </w:r>
          </w:p>
        </w:tc>
        <w:tc>
          <w:tcPr>
            <w:tcW w:type="dxa" w:w="1417"/>
            <w:shd w:fill="F2F2F2" w:val="clear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6803"/>
            <w:shd w:fill="F2F2F2" w:val="clear"/>
          </w:tcPr>
          <w:p>
            <w:r>
              <w:rPr>
                <w:sz w:val="18"/>
              </w:rPr>
              <w:t>known_cats(4) + known_reals(44) + rel_idx(1)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