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Analytics &amp; Reporting</w:t>
      </w:r>
    </w:p>
    <w:p>
      <w:pPr>
        <w:spacing w:after="200"/>
        <w:jc w:val="center"/>
      </w:pPr>
      <w:r>
        <w:rPr>
          <w:rFonts w:ascii="Arial" w:cs="Arial" w:eastAsia="Arial" w:hAnsi="Arial"/>
          <w:color w:val="888888"/>
          <w:sz w:val="22"/>
          <w:szCs w:val="22"/>
        </w:rPr>
        <w:t xml:space="preserve">Domain 8 of 13  |  Critical Path: Position 8</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Analytics &amp; Reporting domain provides physicians with visibility into their billing performance. It transforms raw claim data into actionable dashboards, trend analyses, and exportable reports that help physicians understand their revenue, identify rejection patterns, monitor claim aging, and share financial summaries with their accountants.</w:t>
      </w:r>
    </w:p>
    <w:p>
      <w:pPr>
        <w:spacing w:before="80" w:after="80"/>
      </w:pPr>
      <w:r>
        <w:rPr>
          <w:rFonts w:ascii="Arial" w:cs="Arial" w:eastAsia="Arial" w:hAnsi="Arial"/>
          <w:sz w:val="20"/>
          <w:szCs w:val="20"/>
        </w:rPr>
        <w:t xml:space="preserve">This domain is read-only — it consumes data from the Claim Lifecycle, Provider Management, Reference Data, and Intelligence Engine but never modifies claim or provider records. It serves as the physician's billing intelligence layer, complementing the AI Coach's per-claim suggestions with aggregate practice-level insights.</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Revenue dashboards: total revenue, revenue by BA, revenue by location, period-over-period comparison</w:t>
      </w:r>
    </w:p>
    <w:p>
      <w:pPr>
        <w:pStyle w:val="ListParagraph"/>
        <w:numPr>
          <w:ilvl w:val="0"/>
          <w:numId w:val="2"/>
        </w:numPr>
      </w:pPr>
      <w:r>
        <w:rPr>
          <w:rFonts w:ascii="Arial" w:cs="Arial" w:eastAsia="Arial" w:hAnsi="Arial"/>
          <w:sz w:val="20"/>
          <w:szCs w:val="20"/>
        </w:rPr>
        <w:t xml:space="preserve">Submission tracking: claims submitted, assessed, paid, rejected, adjusted — counts and values</w:t>
      </w:r>
    </w:p>
    <w:p>
      <w:pPr>
        <w:pStyle w:val="ListParagraph"/>
        <w:numPr>
          <w:ilvl w:val="0"/>
          <w:numId w:val="2"/>
        </w:numPr>
      </w:pPr>
      <w:r>
        <w:rPr>
          <w:rFonts w:ascii="Arial" w:cs="Arial" w:eastAsia="Arial" w:hAnsi="Arial"/>
          <w:sz w:val="20"/>
          <w:szCs w:val="20"/>
        </w:rPr>
        <w:t xml:space="preserve">Rejection analysis: top rejection codes, rejection rate by HSC code, rejection trends, corrective action effectiveness</w:t>
      </w:r>
    </w:p>
    <w:p>
      <w:pPr>
        <w:pStyle w:val="ListParagraph"/>
        <w:numPr>
          <w:ilvl w:val="0"/>
          <w:numId w:val="2"/>
        </w:numPr>
      </w:pPr>
      <w:r>
        <w:rPr>
          <w:rFonts w:ascii="Arial" w:cs="Arial" w:eastAsia="Arial" w:hAnsi="Arial"/>
          <w:sz w:val="20"/>
          <w:szCs w:val="20"/>
        </w:rPr>
        <w:t xml:space="preserve">Claim aging: unresolved claims by age bracket, approaching deadline alerts</w:t>
      </w:r>
    </w:p>
    <w:p>
      <w:pPr>
        <w:pStyle w:val="ListParagraph"/>
        <w:numPr>
          <w:ilvl w:val="0"/>
          <w:numId w:val="2"/>
        </w:numPr>
      </w:pPr>
      <w:r>
        <w:rPr>
          <w:rFonts w:ascii="Arial" w:cs="Arial" w:eastAsia="Arial" w:hAnsi="Arial"/>
          <w:sz w:val="20"/>
          <w:szCs w:val="20"/>
        </w:rPr>
        <w:t xml:space="preserve">AI Coach performance: suggestion acceptance rates, revenue recovered from accepted suggestions</w:t>
      </w:r>
    </w:p>
    <w:p>
      <w:pPr>
        <w:pStyle w:val="ListParagraph"/>
        <w:numPr>
          <w:ilvl w:val="0"/>
          <w:numId w:val="2"/>
        </w:numPr>
      </w:pPr>
      <w:r>
        <w:rPr>
          <w:rFonts w:ascii="Arial" w:cs="Arial" w:eastAsia="Arial" w:hAnsi="Arial"/>
          <w:sz w:val="20"/>
          <w:szCs w:val="20"/>
        </w:rPr>
        <w:t xml:space="preserve">Multi-site breakdown: per-location revenue, claims, and rejection rates for locum/multi-site physicians</w:t>
      </w:r>
    </w:p>
    <w:p>
      <w:pPr>
        <w:pStyle w:val="ListParagraph"/>
        <w:numPr>
          <w:ilvl w:val="0"/>
          <w:numId w:val="2"/>
        </w:numPr>
      </w:pPr>
      <w:r>
        <w:rPr>
          <w:rFonts w:ascii="Arial" w:cs="Arial" w:eastAsia="Arial" w:hAnsi="Arial"/>
          <w:sz w:val="20"/>
          <w:szCs w:val="20"/>
        </w:rPr>
        <w:t xml:space="preserve">WCB analytics: claims by form type, timing tier distribution, fee tier analysis</w:t>
      </w:r>
    </w:p>
    <w:p>
      <w:pPr>
        <w:pStyle w:val="ListParagraph"/>
        <w:numPr>
          <w:ilvl w:val="0"/>
          <w:numId w:val="2"/>
        </w:numPr>
      </w:pPr>
      <w:r>
        <w:rPr>
          <w:rFonts w:ascii="Arial" w:cs="Arial" w:eastAsia="Arial" w:hAnsi="Arial"/>
          <w:sz w:val="20"/>
          <w:szCs w:val="20"/>
        </w:rPr>
        <w:t xml:space="preserve">Accountant export: structured financial summaries for tax preparation</w:t>
      </w:r>
    </w:p>
    <w:p>
      <w:pPr>
        <w:pStyle w:val="ListParagraph"/>
        <w:numPr>
          <w:ilvl w:val="0"/>
          <w:numId w:val="2"/>
        </w:numPr>
      </w:pPr>
      <w:r>
        <w:rPr>
          <w:rFonts w:ascii="Arial" w:cs="Arial" w:eastAsia="Arial" w:hAnsi="Arial"/>
          <w:sz w:val="20"/>
          <w:szCs w:val="20"/>
        </w:rPr>
        <w:t xml:space="preserve">Data portability export: complete claim history export per HIA data portability requirements</w:t>
      </w:r>
    </w:p>
    <w:p>
      <w:pPr>
        <w:pStyle w:val="ListParagraph"/>
        <w:numPr>
          <w:ilvl w:val="0"/>
          <w:numId w:val="2"/>
        </w:numPr>
      </w:pPr>
      <w:r>
        <w:rPr>
          <w:rFonts w:ascii="Arial" w:cs="Arial" w:eastAsia="Arial" w:hAnsi="Arial"/>
          <w:sz w:val="20"/>
          <w:szCs w:val="20"/>
        </w:rPr>
        <w:t xml:space="preserve">Scheduled reports: automated weekly/monthly report generation and delivery</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Claim modification or state changes (Domain 4 Claim Lifecycle)</w:t>
      </w:r>
    </w:p>
    <w:p>
      <w:pPr>
        <w:pStyle w:val="ListParagraph"/>
        <w:numPr>
          <w:ilvl w:val="0"/>
          <w:numId w:val="2"/>
        </w:numPr>
      </w:pPr>
      <w:r>
        <w:rPr>
          <w:rFonts w:ascii="Arial" w:cs="Arial" w:eastAsia="Arial" w:hAnsi="Arial"/>
          <w:sz w:val="20"/>
          <w:szCs w:val="20"/>
        </w:rPr>
        <w:t xml:space="preserve">Real-time claim monitoring (Domain 4; Analytics shows historical/aggregate views)</w:t>
      </w:r>
    </w:p>
    <w:p>
      <w:pPr>
        <w:pStyle w:val="ListParagraph"/>
        <w:numPr>
          <w:ilvl w:val="0"/>
          <w:numId w:val="2"/>
        </w:numPr>
      </w:pPr>
      <w:r>
        <w:rPr>
          <w:rFonts w:ascii="Arial" w:cs="Arial" w:eastAsia="Arial" w:hAnsi="Arial"/>
          <w:sz w:val="20"/>
          <w:szCs w:val="20"/>
        </w:rPr>
        <w:t xml:space="preserve">AI suggestion generation (Domain 7 Intelligence Engine; Analytics shows acceptance metrics)</w:t>
      </w:r>
    </w:p>
    <w:p>
      <w:pPr>
        <w:pStyle w:val="ListParagraph"/>
        <w:numPr>
          <w:ilvl w:val="0"/>
          <w:numId w:val="2"/>
        </w:numPr>
      </w:pPr>
      <w:r>
        <w:rPr>
          <w:rFonts w:ascii="Arial" w:cs="Arial" w:eastAsia="Arial" w:hAnsi="Arial"/>
          <w:sz w:val="20"/>
          <w:szCs w:val="20"/>
        </w:rPr>
        <w:t xml:space="preserve">Cross-physician benchmarking with identified data (privacy constraint; only anonymised specialty cohort comparisons)</w:t>
      </w:r>
    </w:p>
    <w:p>
      <w:pPr>
        <w:pStyle w:val="Heading2"/>
        <w:spacing w:before="280" w:after="160"/>
      </w:pPr>
      <w:r>
        <w:rPr>
          <w:rFonts w:ascii="Arial" w:cs="Arial" w:eastAsia="Arial" w:hAnsi="Arial"/>
          <w:b/>
          <w:bCs/>
          <w:color w:val="333333"/>
          <w:sz w:val="26"/>
          <w:szCs w:val="26"/>
        </w:rP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1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52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Interface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Authentication, RBAC. Reports scoped to physician. Delegates with REPORT_VIEW/REPORT_EXPORT permissions.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code descriptions, explanatory code descriptions, modifier names for human-readable report labels.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4.0 Claim Lifecycle Core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data: states, dates, fees, validation results. The primary data source.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4.1 AHCIP Pathway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batch history, assessment results, explanatory codes, PCPCM routing data.</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4.2 WCB Pathway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data: form types, timing tiers, fee calculations, return file results.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numbers, practice locations, specialty for multi-dimensional breakdowns.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 Intelligence Engine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events: generated, accepted, dismissed counts and revenue impact for AI Coach metrics.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 Notification Service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delivery via email (scheduled reports).</w:t>
            </w:r>
          </w:p>
        </w:tc>
      </w:tr>
    </w:tbl>
    <w:p>
      <w:r>
        <w:br w:type="page"/>
      </w:r>
    </w:p>
    <w:p>
      <w:pPr>
        <w:pStyle w:val="Heading1"/>
        <w:spacing w:before="360" w:after="200"/>
      </w:pPr>
      <w:r>
        <w:rPr>
          <w:rFonts w:ascii="Arial" w:cs="Arial" w:eastAsia="Arial" w:hAnsi="Arial"/>
          <w:b/>
          <w:bCs/>
          <w:color w:val="1B5E3B"/>
          <w:sz w:val="32"/>
          <w:szCs w:val="32"/>
        </w:rPr>
        <w:t xml:space="preserve">2. Dashboard Specifications</w:t>
      </w:r>
    </w:p>
    <w:p>
      <w:pPr>
        <w:spacing w:before="80" w:after="80"/>
      </w:pPr>
      <w:r>
        <w:rPr>
          <w:rFonts w:ascii="Arial" w:cs="Arial" w:eastAsia="Arial" w:hAnsi="Arial"/>
          <w:sz w:val="20"/>
          <w:szCs w:val="20"/>
        </w:rPr>
        <w:t xml:space="preserve">The analytics dashboard is the physician's primary view of their billing performance. It is designed for at-a-glance comprehension with drill-down capability. All dashboard data is scoped to the authenticated physician.</w:t>
      </w:r>
    </w:p>
    <w:p>
      <w:pPr>
        <w:pStyle w:val="Heading2"/>
        <w:spacing w:before="280" w:after="160"/>
      </w:pPr>
      <w:r>
        <w:rPr>
          <w:rFonts w:ascii="Arial" w:cs="Arial" w:eastAsia="Arial" w:hAnsi="Arial"/>
          <w:b/>
          <w:bCs/>
          <w:color w:val="333333"/>
          <w:sz w:val="26"/>
          <w:szCs w:val="26"/>
        </w:rPr>
        <w:t xml:space="preserve">2.1 Revenue Overview Dashboard</w:t>
      </w:r>
    </w:p>
    <w:p>
      <w:pPr>
        <w:spacing w:before="80" w:after="80"/>
      </w:pPr>
      <w:r>
        <w:rPr>
          <w:rFonts w:ascii="Arial" w:cs="Arial" w:eastAsia="Arial" w:hAnsi="Arial"/>
          <w:sz w:val="20"/>
          <w:szCs w:val="20"/>
        </w:rPr>
        <w:t xml:space="preserve">The default landing view. Shows aggregate financial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Widget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Revenue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Sum of assessed_fee for paid claims in the selected period. Compared to prior period (delta shown as $ and %). Green/red indicator.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Submitted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Count of claims entering submitted state in the period. Prior period comparison.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Rate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 / (assessed + rejected + adjusted) as percentage. Prior period comparison. Red if &gt; 10%.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Average Fee Per Claim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revenue / paid claim count. Prior period comparison.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Trend (line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Monthly revenue over trailing 12 months. Separate lines for AHCIP and WCB if physician bills both pathways.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by BA (bar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 PCPCM dual-BA physicians: side-by-side PCPCM BA vs FFS BA revenue. Single-BA physicians see total only.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Top 10 HSC Codes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Most frequently billed HSC codes with count, total revenue, and rejection rate per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Pending Pipeline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value of claims in queued + submitted states. Represents expected future revenue.</w:t>
            </w:r>
          </w:p>
        </w:tc>
      </w:tr>
    </w:tbl>
    <w:p>
      <w:pPr>
        <w:pStyle w:val="Heading2"/>
        <w:spacing w:before="280" w:after="160"/>
      </w:pPr>
      <w:r>
        <w:rPr>
          <w:rFonts w:ascii="Arial" w:cs="Arial" w:eastAsia="Arial" w:hAnsi="Arial"/>
          <w:b/>
          <w:bCs/>
          <w:color w:val="333333"/>
          <w:sz w:val="26"/>
          <w:szCs w:val="26"/>
        </w:rPr>
        <w:t xml:space="preserve">2.2 Rejection Analysis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Widget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Rate Trend (line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Monthly rejection rate over trailing 12 months. Target line at 5% (industry benchmark).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Top Rejection Codes (bar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Top 10 explanatory codes (AHCIP) or error codes (WCB) by frequency. Each bar shows count and estimated revenue lost.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by HSC Code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codes with highest rejection rates. Columns: HSC code, description, submitted count, rejected count, rejection %, top rejection reason.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Resolution (funnel)</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 → Corrected &amp; Resubmitted → Paid on Resubmission → Written Off. Shows recovery rate.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Corrective Action Effectiveness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 claims resubmitted after rejection: success rate on second submission. Broken down by rejection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Heatmap</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Calendar heatmap showing rejection count by day/week. Highlights submission weeks with high rejection rates.</w:t>
            </w:r>
          </w:p>
        </w:tc>
      </w:tr>
    </w:tbl>
    <w:p>
      <w:pPr>
        <w:pStyle w:val="Heading2"/>
        <w:spacing w:before="280" w:after="160"/>
      </w:pPr>
      <w:r>
        <w:rPr>
          <w:rFonts w:ascii="Arial" w:cs="Arial" w:eastAsia="Arial" w:hAnsi="Arial"/>
          <w:b/>
          <w:bCs/>
          <w:color w:val="333333"/>
          <w:sz w:val="26"/>
          <w:szCs w:val="26"/>
        </w:rPr>
        <w:t xml:space="preserve">2.3 Claim Aging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Widget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Aging Brackets (stacked bar)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Unresolved claims (not in terminal state) grouped: 0–30 days, 31–60 days, 61–90 days, 90+ days from DOS. Count and value per bracket.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Approaching Deadline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within 7 days of submission deadline. Sorted by urgency. Direct link to claim for action.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Expired Claims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that expired without submission in the period. Estimated revenue lost.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Average Resolution Time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Mean days from claim creation to terminal state (paid, adjusted, written_off). Prior period comparison.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Stale Claims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in draft or validated state for &gt;14 days. May represent forgotten or incomplete billing.</w:t>
            </w:r>
          </w:p>
        </w:tc>
      </w:tr>
    </w:tbl>
    <w:p>
      <w:pPr>
        <w:pStyle w:val="Heading2"/>
        <w:spacing w:before="280" w:after="160"/>
      </w:pPr>
      <w:r>
        <w:rPr>
          <w:rFonts w:ascii="Arial" w:cs="Arial" w:eastAsia="Arial" w:hAnsi="Arial"/>
          <w:b/>
          <w:bCs/>
          <w:color w:val="333333"/>
          <w:sz w:val="26"/>
          <w:szCs w:val="26"/>
        </w:rPr>
        <w:t xml:space="preserve">2.4 WCB Analytics Dashboard</w:t>
      </w:r>
    </w:p>
    <w:p>
      <w:pPr>
        <w:spacing w:before="80" w:after="80"/>
      </w:pPr>
      <w:r>
        <w:rPr>
          <w:rFonts w:ascii="Arial" w:cs="Arial" w:eastAsia="Arial" w:hAnsi="Arial"/>
          <w:sz w:val="20"/>
          <w:szCs w:val="20"/>
        </w:rPr>
        <w:t xml:space="preserve">Visible only to physicians with WCB configuration (Domain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Widget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Claims by Form Type (donut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Distribution of WCB claims across form types (C050E, C151, C568, C050S, C151S, etc.).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Timing Tier Distribution (stacked bar)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by timing tier at time of submission. Shows how many claims were submitted at same-day, next-day, 2–5 day, 6–14 day, or 15+ day rates.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Fee Tier Analysis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Average fee per timing tier. Estimated revenue gained/lost from timing behaviour. Highlights claims where earlier submission would have earned more.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Revenue Trend (line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Monthly WCB revenue alongside AHCIP revenue for comparison.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Rejection Rate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WCB-specific rejection rate from return files.</w:t>
            </w:r>
          </w:p>
        </w:tc>
      </w:tr>
    </w:tbl>
    <w:p>
      <w:pPr>
        <w:pStyle w:val="Heading2"/>
        <w:spacing w:before="280" w:after="160"/>
      </w:pPr>
      <w:r>
        <w:rPr>
          <w:rFonts w:ascii="Arial" w:cs="Arial" w:eastAsia="Arial" w:hAnsi="Arial"/>
          <w:b/>
          <w:bCs/>
          <w:color w:val="333333"/>
          <w:sz w:val="26"/>
          <w:szCs w:val="26"/>
        </w:rPr>
        <w:t xml:space="preserve">2.5 AI Coach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Widget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 Acceptance Rate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Accepted / (accepted + dismissed) across all suggestions in the period.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Recovered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Sum of revenue_impact for accepted suggestions. The dollar value the AI Coach added.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Suggestions by Category (bar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Count of suggestions generated per category (MODIFIER_ADD, CODE_ALTERNATIVE, etc.). Stacked by status (accepted, dismissed, pending).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Top Accepted Suggestions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Most frequently accepted suggestion rules with total revenue impact.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Suppressed Rules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Rules currently suppressed for this physician. Option to un-suppress from this view.</w:t>
            </w:r>
          </w:p>
        </w:tc>
      </w:tr>
    </w:tbl>
    <w:p>
      <w:pPr>
        <w:pStyle w:val="Heading2"/>
        <w:spacing w:before="280" w:after="160"/>
      </w:pPr>
      <w:r>
        <w:rPr>
          <w:rFonts w:ascii="Arial" w:cs="Arial" w:eastAsia="Arial" w:hAnsi="Arial"/>
          <w:b/>
          <w:bCs/>
          <w:color w:val="333333"/>
          <w:sz w:val="26"/>
          <w:szCs w:val="26"/>
        </w:rPr>
        <w:t xml:space="preserve">2.6 Multi-Site Dashboard</w:t>
      </w:r>
    </w:p>
    <w:p>
      <w:pPr>
        <w:spacing w:before="80" w:after="80"/>
      </w:pPr>
      <w:r>
        <w:rPr>
          <w:rFonts w:ascii="Arial" w:cs="Arial" w:eastAsia="Arial" w:hAnsi="Arial"/>
          <w:sz w:val="20"/>
          <w:szCs w:val="20"/>
        </w:rPr>
        <w:t xml:space="preserve">For locum and multi-site physicians. Shows performance broken down by practice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Widget</w:t>
            </w:r>
          </w:p>
        </w:tc>
        <w:tc>
          <w:tcPr>
            <w:tcW w:type="dxa" w:w="6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by Location (bar chart)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per practice location for the period.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by Location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count, revenue, rejection rate per location.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RRNP Impact (KPI card)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RRNP premium earned across all qualifying locations.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Location Comparison (table)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Side-by-side comparison of two selected locations on key metrics.</w:t>
            </w:r>
          </w:p>
        </w:tc>
      </w:tr>
    </w:tbl>
    <w:p>
      <w:r>
        <w:br w:type="page"/>
      </w:r>
    </w:p>
    <w:p>
      <w:pPr>
        <w:pStyle w:val="Heading1"/>
        <w:spacing w:before="360" w:after="200"/>
      </w:pPr>
      <w:r>
        <w:rPr>
          <w:rFonts w:ascii="Arial" w:cs="Arial" w:eastAsia="Arial" w:hAnsi="Arial"/>
          <w:b/>
          <w:bCs/>
          <w:color w:val="1B5E3B"/>
          <w:sz w:val="32"/>
          <w:szCs w:val="32"/>
        </w:rPr>
        <w:t xml:space="preserve">3. Period Selection &amp; Filtering</w:t>
      </w:r>
    </w:p>
    <w:p>
      <w:pPr>
        <w:pStyle w:val="Heading2"/>
        <w:spacing w:before="280" w:after="160"/>
      </w:pPr>
      <w:r>
        <w:rPr>
          <w:rFonts w:ascii="Arial" w:cs="Arial" w:eastAsia="Arial" w:hAnsi="Arial"/>
          <w:b/>
          <w:bCs/>
          <w:color w:val="333333"/>
          <w:sz w:val="26"/>
          <w:szCs w:val="26"/>
        </w:rPr>
        <w:t xml:space="preserve">3.1 Time Periods</w:t>
      </w:r>
    </w:p>
    <w:p>
      <w:pPr>
        <w:spacing w:before="80" w:after="80"/>
      </w:pPr>
      <w:r>
        <w:rPr>
          <w:rFonts w:ascii="Arial" w:cs="Arial" w:eastAsia="Arial" w:hAnsi="Arial"/>
          <w:sz w:val="20"/>
          <w:szCs w:val="20"/>
        </w:rPr>
        <w:t xml:space="preserve">All dashboards support configurable time periods with prior-period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Period</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Default Range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Comparison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This Week</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Monday to today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days last week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This Month</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1st to today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days prior month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Last Month</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Full prior calendar month</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 before that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This Quarter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Q1/Q2/Q3/Q4 start to today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quarter prior year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This Year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Jan 1 to today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period prior year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Custom Range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User-selected start and end dates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Same-length period immediately prior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Trailing 12 Months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Today minus 12 months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 months before that</w:t>
            </w:r>
          </w:p>
        </w:tc>
      </w:tr>
    </w:tbl>
    <w:p>
      <w:pPr>
        <w:spacing w:before="80" w:after="80"/>
      </w:pPr>
      <w:r>
        <w:rPr>
          <w:rFonts w:ascii="Arial" w:cs="Arial" w:eastAsia="Arial" w:hAnsi="Arial"/>
          <w:sz w:val="20"/>
          <w:szCs w:val="20"/>
        </w:rPr>
        <w:t xml:space="preserve">The default period is 'This Month'. Period selection persists across dashboard tabs within the same session.</w:t>
      </w:r>
    </w:p>
    <w:p>
      <w:pPr>
        <w:pStyle w:val="Heading2"/>
        <w:spacing w:before="280" w:after="160"/>
      </w:pPr>
      <w:r>
        <w:rPr>
          <w:rFonts w:ascii="Arial" w:cs="Arial" w:eastAsia="Arial" w:hAnsi="Arial"/>
          <w:b/>
          <w:bCs/>
          <w:color w:val="333333"/>
          <w:sz w:val="26"/>
          <w:szCs w:val="26"/>
        </w:rPr>
        <w:t xml:space="preserve">3.2 Filters</w:t>
      </w:r>
    </w:p>
    <w:p>
      <w:pPr>
        <w:spacing w:before="80" w:after="80"/>
      </w:pPr>
      <w:r>
        <w:rPr>
          <w:rFonts w:ascii="Arial" w:cs="Arial" w:eastAsia="Arial" w:hAnsi="Arial"/>
          <w:sz w:val="20"/>
          <w:szCs w:val="20"/>
        </w:rPr>
        <w:t xml:space="preserve">Dashboards support the following filters, applied globally across all widgets: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Claim type:</w:t>
      </w:r>
      <w:r>
        <w:rPr>
          <w:rFonts w:ascii="Arial" w:cs="Arial" w:eastAsia="Arial" w:hAnsi="Arial"/>
          <w:sz w:val="20"/>
          <w:szCs w:val="20"/>
        </w:rPr>
        <w:t xml:space="preserve"> AHCIP, WCB, or Both (default: Both)</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BA number:</w:t>
      </w:r>
      <w:r>
        <w:rPr>
          <w:rFonts w:ascii="Arial" w:cs="Arial" w:eastAsia="Arial" w:hAnsi="Arial"/>
          <w:sz w:val="20"/>
          <w:szCs w:val="20"/>
        </w:rPr>
        <w:t xml:space="preserve"> Filter to a specific BA (for PCPCM dual-BA physicians)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Practice location:</w:t>
      </w:r>
      <w:r>
        <w:rPr>
          <w:rFonts w:ascii="Arial" w:cs="Arial" w:eastAsia="Arial" w:hAnsi="Arial"/>
          <w:sz w:val="20"/>
          <w:szCs w:val="20"/>
        </w:rPr>
        <w:t xml:space="preserve"> Filter to a specific practice location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Claim state:</w:t>
      </w:r>
      <w:r>
        <w:rPr>
          <w:rFonts w:ascii="Arial" w:cs="Arial" w:eastAsia="Arial" w:hAnsi="Arial"/>
          <w:sz w:val="20"/>
          <w:szCs w:val="20"/>
        </w:rPr>
        <w:t xml:space="preserve"> Filter to specific states (e.g., show only rejected claims)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HSC code:</w:t>
      </w:r>
      <w:r>
        <w:rPr>
          <w:rFonts w:ascii="Arial" w:cs="Arial" w:eastAsia="Arial" w:hAnsi="Arial"/>
          <w:sz w:val="20"/>
          <w:szCs w:val="20"/>
        </w:rPr>
        <w:t xml:space="preserve"> Filter to a specific code or code range</w:t>
      </w:r>
    </w:p>
    <w:p>
      <w:pPr>
        <w:spacing w:before="80" w:after="80"/>
      </w:pPr>
      <w:r>
        <w:rPr>
          <w:rFonts w:ascii="Arial" w:cs="Arial" w:eastAsia="Arial" w:hAnsi="Arial"/>
          <w:sz w:val="20"/>
          <w:szCs w:val="20"/>
        </w:rPr>
        <w:t xml:space="preserve">Filters are combinable. An active filter indicator shows which filters are applied.</w:t>
      </w:r>
    </w:p>
    <w:p>
      <w:r>
        <w:br w:type="page"/>
      </w:r>
    </w:p>
    <w:p>
      <w:pPr>
        <w:pStyle w:val="Heading1"/>
        <w:spacing w:before="360" w:after="200"/>
      </w:pPr>
      <w:r>
        <w:rPr>
          <w:rFonts w:ascii="Arial" w:cs="Arial" w:eastAsia="Arial" w:hAnsi="Arial"/>
          <w:b/>
          <w:bCs/>
          <w:color w:val="1B5E3B"/>
          <w:sz w:val="32"/>
          <w:szCs w:val="32"/>
        </w:rPr>
        <w:t xml:space="preserve">4. Accountant Export</w:t>
      </w:r>
    </w:p>
    <w:p>
      <w:pPr>
        <w:spacing w:before="80" w:after="80"/>
      </w:pPr>
      <w:r>
        <w:rPr>
          <w:rFonts w:ascii="Arial" w:cs="Arial" w:eastAsia="Arial" w:hAnsi="Arial"/>
          <w:sz w:val="20"/>
          <w:szCs w:val="20"/>
        </w:rPr>
        <w:t xml:space="preserve">Physicians need to provide their accountants with billing summaries for tax preparation. The accountant export generates structured financial reports that accountants understand without Meritum-specific knowledge.</w:t>
      </w:r>
    </w:p>
    <w:p>
      <w:pPr>
        <w:pStyle w:val="Heading2"/>
        <w:spacing w:before="280" w:after="160"/>
      </w:pPr>
      <w:r>
        <w:rPr>
          <w:rFonts w:ascii="Arial" w:cs="Arial" w:eastAsia="Arial" w:hAnsi="Arial"/>
          <w:b/>
          <w:bCs/>
          <w:color w:val="333333"/>
          <w:sz w:val="26"/>
          <w:szCs w:val="26"/>
        </w:rPr>
        <w:t xml:space="preserve">4.1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7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CSV</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Machine-readable. Suitable for import into accounting software (QuickBooks, Sage, Xero). One row per paid claim.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PDF Summary</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Human-readable. Monthly or annual summary with totals, broken down by BA and location. Suitable for direct submission to accountant.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PDF Detailed</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Human-readable. Individual claim details with dates, codes, fees. For detailed audit or tax filing.</w:t>
            </w:r>
          </w:p>
        </w:tc>
      </w:tr>
    </w:tbl>
    <w:p>
      <w:pPr>
        <w:pStyle w:val="Heading2"/>
        <w:spacing w:before="280" w:after="160"/>
      </w:pPr>
      <w:r>
        <w:rPr>
          <w:rFonts w:ascii="Arial" w:cs="Arial" w:eastAsia="Arial" w:hAnsi="Arial"/>
          <w:b/>
          <w:bCs/>
          <w:color w:val="333333"/>
          <w:sz w:val="26"/>
          <w:szCs w:val="26"/>
        </w:rPr>
        <w:t xml:space="preserve">4.2 Accountant Export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7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Month/quarter/year covered by the report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Name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Physician's legal name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 Number(s)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BAs included in the report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Revenue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Sum of paid claims in the period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by BA</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Breakdown per BA (for PCPCM dual-BA)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by Location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Breakdown per practice location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AHCIP Revenue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from AHCIP pathway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Revenue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from WCB pathway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Count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paid claims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RRNP Premium Total</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RRNP premium earned (if applicable)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Adjustments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paid at different amount than submitted (adjusted claims total delta)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Written Off</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value of written-off claims (potential revenue not recovered)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GST Note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billing is GST-exempt. Note included for accountant clarity.</w:t>
            </w:r>
          </w:p>
        </w:tc>
      </w:tr>
    </w:tbl>
    <w:p>
      <w:pPr>
        <w:spacing w:before="80" w:after="80"/>
      </w:pPr>
      <w:r>
        <w:rPr>
          <w:rFonts w:ascii="Arial" w:cs="Arial" w:eastAsia="Arial" w:hAnsi="Arial"/>
          <w:sz w:val="20"/>
          <w:szCs w:val="20"/>
        </w:rPr>
        <w:t xml:space="preserve">The CSV export includes one row per paid claim with: date_of_service, HSC code, modifier(s), submitted_fee, assessed_fee, payment_date, BA_number, location, claim_type. This allows the accountant to reconstruct revenue by any dimension.</w:t>
      </w:r>
    </w:p>
    <w:p>
      <w:pPr>
        <w:pStyle w:val="Heading2"/>
        <w:spacing w:before="280" w:after="160"/>
      </w:pPr>
      <w:r>
        <w:rPr>
          <w:rFonts w:ascii="Arial" w:cs="Arial" w:eastAsia="Arial" w:hAnsi="Arial"/>
          <w:b/>
          <w:bCs/>
          <w:color w:val="333333"/>
          <w:sz w:val="26"/>
          <w:szCs w:val="26"/>
        </w:rPr>
        <w:t xml:space="preserve">4.3 Scheduled Accountant Reports</w:t>
      </w:r>
    </w:p>
    <w:p>
      <w:pPr>
        <w:spacing w:before="80" w:after="80"/>
      </w:pPr>
      <w:r>
        <w:rPr>
          <w:rFonts w:ascii="Arial" w:cs="Arial" w:eastAsia="Arial" w:hAnsi="Arial"/>
          <w:sz w:val="20"/>
          <w:szCs w:val="20"/>
        </w:rPr>
        <w:t xml:space="preserve">Physicians can configure automatic monthly accountant report generation:</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Frequency:</w:t>
      </w:r>
      <w:r>
        <w:rPr>
          <w:rFonts w:ascii="Arial" w:cs="Arial" w:eastAsia="Arial" w:hAnsi="Arial"/>
          <w:sz w:val="20"/>
          <w:szCs w:val="20"/>
        </w:rPr>
        <w:t xml:space="preserve"> Monthly (generated on the 3rd business day of the following month, after all prior-month assessments have typically been received)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Format:</w:t>
      </w:r>
      <w:r>
        <w:rPr>
          <w:rFonts w:ascii="Arial" w:cs="Arial" w:eastAsia="Arial" w:hAnsi="Arial"/>
          <w:sz w:val="20"/>
          <w:szCs w:val="20"/>
        </w:rPr>
        <w:t xml:space="preserve"> PDF Summary + CSV (both generated)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Delivery:</w:t>
      </w:r>
      <w:r>
        <w:rPr>
          <w:rFonts w:ascii="Arial" w:cs="Arial" w:eastAsia="Arial" w:hAnsi="Arial"/>
          <w:sz w:val="20"/>
          <w:szCs w:val="20"/>
        </w:rPr>
        <w:t xml:space="preserve"> Email notification with authenticated download link. Files not attached to email (PHI protection). Link expires in 30 days.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Recipient:</w:t>
      </w:r>
      <w:r>
        <w:rPr>
          <w:rFonts w:ascii="Arial" w:cs="Arial" w:eastAsia="Arial" w:hAnsi="Arial"/>
          <w:sz w:val="20"/>
          <w:szCs w:val="20"/>
        </w:rPr>
        <w:t xml:space="preserve"> Physician only (physician forwards to accountant manually). Direct accountant email delivery deferred to future enhancement.</w:t>
      </w:r>
    </w:p>
    <w:p>
      <w:r>
        <w:br w:type="page"/>
      </w:r>
    </w:p>
    <w:p>
      <w:pPr>
        <w:pStyle w:val="Heading1"/>
        <w:spacing w:before="360" w:after="200"/>
      </w:pPr>
      <w:r>
        <w:rPr>
          <w:rFonts w:ascii="Arial" w:cs="Arial" w:eastAsia="Arial" w:hAnsi="Arial"/>
          <w:b/>
          <w:bCs/>
          <w:color w:val="1B5E3B"/>
          <w:sz w:val="32"/>
          <w:szCs w:val="32"/>
        </w:rPr>
        <w:t xml:space="preserve">5. Data Portability Export</w:t>
      </w:r>
    </w:p>
    <w:p>
      <w:pPr>
        <w:spacing w:before="80" w:after="80"/>
      </w:pPr>
      <w:r>
        <w:rPr>
          <w:rFonts w:ascii="Arial" w:cs="Arial" w:eastAsia="Arial" w:hAnsi="Arial"/>
          <w:sz w:val="20"/>
          <w:szCs w:val="20"/>
        </w:rPr>
        <w:t xml:space="preserve">HIA and general data portability requirements mean physicians must be able to export their complete data from Meritum at any time. This export is separate from the accountant export and includes all data, not just financial summaries.</w:t>
      </w:r>
    </w:p>
    <w:p>
      <w:pPr>
        <w:pStyle w:val="Heading2"/>
        <w:spacing w:before="280" w:after="160"/>
      </w:pPr>
      <w:r>
        <w:rPr>
          <w:rFonts w:ascii="Arial" w:cs="Arial" w:eastAsia="Arial" w:hAnsi="Arial"/>
          <w:b/>
          <w:bCs/>
          <w:color w:val="333333"/>
          <w:sz w:val="26"/>
          <w:szCs w:val="26"/>
        </w:rPr>
        <w:t xml:space="preserve">5.1 Export Contents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All claims:</w:t>
      </w:r>
      <w:r>
        <w:rPr>
          <w:rFonts w:ascii="Arial" w:cs="Arial" w:eastAsia="Arial" w:hAnsi="Arial"/>
          <w:sz w:val="20"/>
          <w:szCs w:val="20"/>
        </w:rPr>
        <w:t xml:space="preserve"> Every claim in every state, with full field data including AHCIP/WCB extension fields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All patients:</w:t>
      </w:r>
      <w:r>
        <w:rPr>
          <w:rFonts w:ascii="Arial" w:cs="Arial" w:eastAsia="Arial" w:hAnsi="Arial"/>
          <w:sz w:val="20"/>
          <w:szCs w:val="20"/>
        </w:rPr>
        <w:t xml:space="preserve"> Complete patient registry with demographics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Claim audit history:</w:t>
      </w:r>
      <w:r>
        <w:rPr>
          <w:rFonts w:ascii="Arial" w:cs="Arial" w:eastAsia="Arial" w:hAnsi="Arial"/>
          <w:sz w:val="20"/>
          <w:szCs w:val="20"/>
        </w:rPr>
        <w:t xml:space="preserve"> Every state change, edit, and action on every claim</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AI Coach suggestions:</w:t>
      </w:r>
      <w:r>
        <w:rPr>
          <w:rFonts w:ascii="Arial" w:cs="Arial" w:eastAsia="Arial" w:hAnsi="Arial"/>
          <w:sz w:val="20"/>
          <w:szCs w:val="20"/>
        </w:rPr>
        <w:t xml:space="preserve"> All suggestions with acceptance/dismissal status and reasons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Batch history:</w:t>
      </w:r>
      <w:r>
        <w:rPr>
          <w:rFonts w:ascii="Arial" w:cs="Arial" w:eastAsia="Arial" w:hAnsi="Arial"/>
          <w:sz w:val="20"/>
          <w:szCs w:val="20"/>
        </w:rPr>
        <w:t xml:space="preserve"> All AHCIP and WCB batches with submission details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Provider profile:</w:t>
      </w:r>
      <w:r>
        <w:rPr>
          <w:rFonts w:ascii="Arial" w:cs="Arial" w:eastAsia="Arial" w:hAnsi="Arial"/>
          <w:sz w:val="20"/>
          <w:szCs w:val="20"/>
        </w:rPr>
        <w:t xml:space="preserve"> BA numbers, locations, WCB config, preferences</w:t>
      </w:r>
    </w:p>
    <w:p>
      <w:pPr>
        <w:spacing w:before="80" w:after="80"/>
      </w:pPr>
      <w:r>
        <w:rPr>
          <w:rFonts w:ascii="Arial" w:cs="Arial" w:eastAsia="Arial" w:hAnsi="Arial"/>
          <w:sz w:val="20"/>
          <w:szCs w:val="20"/>
        </w:rPr>
        <w:t xml:space="preserve">Export is a ZIP archive containing CSV files (one per table) plus a README explaining the schema. Optionally includes JSON format for machine consumption.</w:t>
      </w:r>
    </w:p>
    <w:p>
      <w:pPr>
        <w:pStyle w:val="Heading2"/>
        <w:spacing w:before="280" w:after="160"/>
      </w:pPr>
      <w:r>
        <w:rPr>
          <w:rFonts w:ascii="Arial" w:cs="Arial" w:eastAsia="Arial" w:hAnsi="Arial"/>
          <w:b/>
          <w:bCs/>
          <w:color w:val="333333"/>
          <w:sz w:val="26"/>
          <w:szCs w:val="26"/>
        </w:rPr>
        <w:t xml:space="preserve">5.2 Export Process</w:t>
      </w:r>
    </w:p>
    <w:p>
      <w:pPr>
        <w:pStyle w:val="ListParagraph"/>
        <w:numPr>
          <w:ilvl w:val="0"/>
          <w:numId w:val="3"/>
        </w:numPr>
      </w:pPr>
      <w:r>
        <w:rPr>
          <w:rFonts w:ascii="Arial" w:cs="Arial" w:eastAsia="Arial" w:hAnsi="Arial"/>
          <w:sz w:val="20"/>
          <w:szCs w:val="20"/>
        </w:rPr>
        <w:t xml:space="preserve">Physician requests data portability export from settings.</w:t>
      </w:r>
    </w:p>
    <w:p>
      <w:pPr>
        <w:pStyle w:val="ListParagraph"/>
        <w:numPr>
          <w:ilvl w:val="0"/>
          <w:numId w:val="3"/>
        </w:numPr>
      </w:pPr>
      <w:r>
        <w:rPr>
          <w:rFonts w:ascii="Arial" w:cs="Arial" w:eastAsia="Arial" w:hAnsi="Arial"/>
          <w:sz w:val="20"/>
          <w:szCs w:val="20"/>
        </w:rPr>
        <w:t xml:space="preserve">System generates export asynchronously (may take minutes for large datasets).</w:t>
      </w:r>
    </w:p>
    <w:p>
      <w:pPr>
        <w:pStyle w:val="ListParagraph"/>
        <w:numPr>
          <w:ilvl w:val="0"/>
          <w:numId w:val="3"/>
        </w:numPr>
      </w:pPr>
      <w:r>
        <w:rPr>
          <w:rFonts w:ascii="Arial" w:cs="Arial" w:eastAsia="Arial" w:hAnsi="Arial"/>
          <w:sz w:val="20"/>
          <w:szCs w:val="20"/>
        </w:rPr>
        <w:t xml:space="preserve">Physician notified when export is ready.</w:t>
      </w:r>
    </w:p>
    <w:p>
      <w:pPr>
        <w:pStyle w:val="ListParagraph"/>
        <w:numPr>
          <w:ilvl w:val="0"/>
          <w:numId w:val="3"/>
        </w:numPr>
      </w:pPr>
      <w:r>
        <w:rPr>
          <w:rFonts w:ascii="Arial" w:cs="Arial" w:eastAsia="Arial" w:hAnsi="Arial"/>
          <w:sz w:val="20"/>
          <w:szCs w:val="20"/>
        </w:rPr>
        <w:t xml:space="preserve">Download via authenticated, time-limited link (72-hour expiry).</w:t>
      </w:r>
    </w:p>
    <w:p>
      <w:pPr>
        <w:pStyle w:val="ListParagraph"/>
        <w:numPr>
          <w:ilvl w:val="0"/>
          <w:numId w:val="3"/>
        </w:numPr>
      </w:pPr>
      <w:r>
        <w:rPr>
          <w:rFonts w:ascii="Arial" w:cs="Arial" w:eastAsia="Arial" w:hAnsi="Arial"/>
          <w:sz w:val="20"/>
          <w:szCs w:val="20"/>
        </w:rPr>
        <w:t xml:space="preserve">Export file encrypted with physician-provided password (optional but recommended).</w:t>
      </w:r>
    </w:p>
    <w:p>
      <w:pPr>
        <w:pStyle w:val="ListParagraph"/>
        <w:numPr>
          <w:ilvl w:val="0"/>
          <w:numId w:val="3"/>
        </w:numPr>
      </w:pPr>
      <w:r>
        <w:rPr>
          <w:rFonts w:ascii="Arial" w:cs="Arial" w:eastAsia="Arial" w:hAnsi="Arial"/>
          <w:sz w:val="20"/>
          <w:szCs w:val="20"/>
        </w:rPr>
        <w:t xml:space="preserve">Export event audit-logged.</w:t>
      </w:r>
    </w:p>
    <w:p>
      <w:r>
        <w:br w:type="page"/>
      </w:r>
    </w:p>
    <w:p>
      <w:pPr>
        <w:pStyle w:val="Heading1"/>
        <w:spacing w:before="360" w:after="200"/>
      </w:pPr>
      <w:r>
        <w:rPr>
          <w:rFonts w:ascii="Arial" w:cs="Arial" w:eastAsia="Arial" w:hAnsi="Arial"/>
          <w:b/>
          <w:bCs/>
          <w:color w:val="1B5E3B"/>
          <w:sz w:val="32"/>
          <w:szCs w:val="32"/>
        </w:rPr>
        <w:t xml:space="preserve">6. Scheduled Reports</w:t>
      </w:r>
    </w:p>
    <w:p>
      <w:pPr>
        <w:spacing w:before="80" w:after="80"/>
      </w:pPr>
      <w:r>
        <w:rPr>
          <w:rFonts w:ascii="Arial" w:cs="Arial" w:eastAsia="Arial" w:hAnsi="Arial"/>
          <w:sz w:val="20"/>
          <w:szCs w:val="20"/>
        </w:rPr>
        <w:t xml:space="preserve">Beyond the accountant export, physicians can subscribe to automated recurring reports delivered via notification.</w:t>
      </w:r>
    </w:p>
    <w:p>
      <w:pPr>
        <w:pStyle w:val="Heading2"/>
        <w:spacing w:before="280" w:after="160"/>
      </w:pPr>
      <w:r>
        <w:rPr>
          <w:rFonts w:ascii="Arial" w:cs="Arial" w:eastAsia="Arial" w:hAnsi="Arial"/>
          <w:b/>
          <w:bCs/>
          <w:color w:val="333333"/>
          <w:sz w:val="26"/>
          <w:szCs w:val="26"/>
        </w:rPr>
        <w:t xml:space="preserve">6.1 Available Scheduled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Report</w:t>
            </w:r>
          </w:p>
        </w:tc>
        <w:tc>
          <w:tcPr>
            <w:tcW w:type="dxa" w:w="1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Frequency</w:t>
            </w:r>
          </w:p>
        </w:tc>
        <w:tc>
          <w:tcPr>
            <w:tcW w:type="dxa" w:w="5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Weekly Billing Summary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Every Monday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 week: claims created, submitted, assessed, rejected. Revenue. Rejection rate. Approaching deadlines.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Monthly Performance Report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1st week of month</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 month: full revenue breakdown, rejection analysis, AI Coach summary, claim aging status.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RRNP Quarterly Summary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each quarter</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RRNP premium earned by location for the quarter. Useful for physicians tracking rural incentive.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Timing Report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Weekly (Wed)</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claims approaching timing tier downgrades in the next 7 days. Urgency-sorted.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Alert Digest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Daily (if any)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New rejections received in the past 24 hours with rejection codes and corrective guidance.</w:t>
            </w:r>
          </w:p>
        </w:tc>
      </w:tr>
    </w:tbl>
    <w:p>
      <w:pPr>
        <w:pStyle w:val="Heading2"/>
        <w:spacing w:before="280" w:after="160"/>
      </w:pPr>
      <w:r>
        <w:rPr>
          <w:rFonts w:ascii="Arial" w:cs="Arial" w:eastAsia="Arial" w:hAnsi="Arial"/>
          <w:b/>
          <w:bCs/>
          <w:color w:val="333333"/>
          <w:sz w:val="26"/>
          <w:szCs w:val="26"/>
        </w:rPr>
        <w:t xml:space="preserve">6.2 Report Delivery</w:t>
      </w:r>
    </w:p>
    <w:p>
      <w:pPr>
        <w:pStyle w:val="ListParagraph"/>
        <w:numPr>
          <w:ilvl w:val="0"/>
          <w:numId w:val="2"/>
        </w:numPr>
      </w:pPr>
      <w:r>
        <w:rPr>
          <w:rFonts w:ascii="Arial" w:cs="Arial" w:eastAsia="Arial" w:hAnsi="Arial"/>
          <w:sz w:val="20"/>
          <w:szCs w:val="20"/>
        </w:rPr>
        <w:t xml:space="preserve">Reports delivered as in-app notification with link to the generated report.</w:t>
      </w:r>
    </w:p>
    <w:p>
      <w:pPr>
        <w:pStyle w:val="ListParagraph"/>
        <w:numPr>
          <w:ilvl w:val="0"/>
          <w:numId w:val="2"/>
        </w:numPr>
      </w:pPr>
      <w:r>
        <w:rPr>
          <w:rFonts w:ascii="Arial" w:cs="Arial" w:eastAsia="Arial" w:hAnsi="Arial"/>
          <w:sz w:val="20"/>
          <w:szCs w:val="20"/>
        </w:rPr>
        <w:t xml:space="preserve">Optionally accompanied by email notification with authenticated download link (no report content in email body).</w:t>
      </w:r>
    </w:p>
    <w:p>
      <w:pPr>
        <w:pStyle w:val="ListParagraph"/>
        <w:numPr>
          <w:ilvl w:val="0"/>
          <w:numId w:val="2"/>
        </w:numPr>
      </w:pPr>
      <w:r>
        <w:rPr>
          <w:rFonts w:ascii="Arial" w:cs="Arial" w:eastAsia="Arial" w:hAnsi="Arial"/>
          <w:sz w:val="20"/>
          <w:szCs w:val="20"/>
        </w:rPr>
        <w:t xml:space="preserve">Physician configures which reports they want and delivery preferences in settings.</w:t>
      </w:r>
    </w:p>
    <w:p>
      <w:pPr>
        <w:pStyle w:val="ListParagraph"/>
        <w:numPr>
          <w:ilvl w:val="0"/>
          <w:numId w:val="2"/>
        </w:numPr>
      </w:pPr>
      <w:r>
        <w:rPr>
          <w:rFonts w:ascii="Arial" w:cs="Arial" w:eastAsia="Arial" w:hAnsi="Arial"/>
          <w:sz w:val="20"/>
          <w:szCs w:val="20"/>
        </w:rPr>
        <w:t xml:space="preserve">Reports are generated as PDF and stored for 90 days. Older reports are archived.</w:t>
      </w:r>
    </w:p>
    <w:p>
      <w:r>
        <w:br w:type="page"/>
      </w:r>
    </w:p>
    <w:p>
      <w:pPr>
        <w:pStyle w:val="Heading1"/>
        <w:spacing w:before="360" w:after="200"/>
      </w:pPr>
      <w:r>
        <w:rPr>
          <w:rFonts w:ascii="Arial" w:cs="Arial" w:eastAsia="Arial" w:hAnsi="Arial"/>
          <w:b/>
          <w:bCs/>
          <w:color w:val="1B5E3B"/>
          <w:sz w:val="32"/>
          <w:szCs w:val="32"/>
        </w:rPr>
        <w:t xml:space="preserve">7. Data Model</w:t>
      </w:r>
    </w:p>
    <w:p>
      <w:pPr>
        <w:spacing w:before="80" w:after="80"/>
      </w:pPr>
      <w:r>
        <w:rPr>
          <w:rFonts w:ascii="Arial" w:cs="Arial" w:eastAsia="Arial" w:hAnsi="Arial"/>
          <w:sz w:val="20"/>
          <w:szCs w:val="20"/>
        </w:rPr>
        <w:t xml:space="preserve">Analytics does not maintain its own copy of claim data. It queries the source tables in Domain 4 and related domains at read time, with pre-computed aggregates cached for performance.</w:t>
      </w:r>
    </w:p>
    <w:p>
      <w:pPr>
        <w:pStyle w:val="Heading2"/>
        <w:spacing w:before="280" w:after="160"/>
      </w:pPr>
      <w:r>
        <w:rPr>
          <w:rFonts w:ascii="Arial" w:cs="Arial" w:eastAsia="Arial" w:hAnsi="Arial"/>
          <w:b/>
          <w:bCs/>
          <w:color w:val="333333"/>
          <w:sz w:val="26"/>
          <w:szCs w:val="26"/>
        </w:rPr>
        <w:t xml:space="preserve">7.1 Analytics Cache Table (analytics_cache)</w:t>
      </w:r>
    </w:p>
    <w:p>
      <w:pPr>
        <w:spacing w:before="80" w:after="80"/>
      </w:pPr>
      <w:r>
        <w:rPr>
          <w:rFonts w:ascii="Arial" w:cs="Arial" w:eastAsia="Arial" w:hAnsi="Arial"/>
          <w:sz w:val="20"/>
          <w:szCs w:val="20"/>
        </w:rPr>
        <w:t xml:space="preserve">Pre-computed aggregate metrics refreshed periodically. Avoids expensive real-time aggregation on every dashboard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cache_id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metric_key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Metric identifier (e.g., 'revenue_monthly', 'rejection_rate_monthly', 'claims_by_state')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period_start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Start of the period this metric covers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period_end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End of the period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dimensions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Breakdown dimensions: {ba_number, location_id, claim_type, hsc_code}. Null for top-level aggregates.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value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Metric value(s). Structure varies by metric_key.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computed_at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this cache entry was last computed</w:t>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Refresh strategy:</w:t>
      </w:r>
      <w:r>
        <w:rPr>
          <w:rFonts w:ascii="Arial" w:cs="Arial" w:eastAsia="Arial" w:hAnsi="Arial"/>
          <w:sz w:val="20"/>
          <w:szCs w:val="20"/>
        </w:rPr>
        <w:t xml:space="preserve"> Cache is refreshed: (1) nightly for all metrics, (2) on-demand when a claim state changes that affects a displayed metric, (3) when the physician opens the dashboard and the cache is &gt;1 hour old. Current-day metrics are always computed in real-time (cache covers completed periods only).</w:t>
      </w:r>
    </w:p>
    <w:p>
      <w:pPr>
        <w:pStyle w:val="Heading2"/>
        <w:spacing w:before="280" w:after="160"/>
      </w:pPr>
      <w:r>
        <w:rPr>
          <w:rFonts w:ascii="Arial" w:cs="Arial" w:eastAsia="Arial" w:hAnsi="Arial"/>
          <w:b/>
          <w:bCs/>
          <w:color w:val="333333"/>
          <w:sz w:val="26"/>
          <w:szCs w:val="26"/>
        </w:rPr>
        <w:t xml:space="preserve">7.2 Generated Reports Table (generated_reports)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ACCOUNTANT_SUMMARY, ACCOUNTANT_DETAIL, WEEKLY_SUMMARY, MONTHLY_PERFORMANCE, RRNP_QUARTERLY, WCB_TIMING, REJECTION_DIGEST, DATA_PORTABILITY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PDF, CSV, ZIP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period_start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 covered (null for data portability)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period_end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file_path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Path to generated file (encrypted at rest)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file_size_bytes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BIGINT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 size for download progress indication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download_link_expires_at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download link expires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Whether the physician has downloaded this report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scheduled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True if generated by scheduled report. False if on-demand.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Retention:</w:t>
      </w:r>
      <w:r>
        <w:rPr>
          <w:rFonts w:ascii="Arial" w:cs="Arial" w:eastAsia="Arial" w:hAnsi="Arial"/>
          <w:sz w:val="20"/>
          <w:szCs w:val="20"/>
        </w:rPr>
        <w:t xml:space="preserve"> Generated reports retained for 90 days (scheduled) or 30 days (on-demand). Data portability exports retained for 72 hours after generation.</w:t>
      </w:r>
    </w:p>
    <w:p>
      <w:pPr>
        <w:pStyle w:val="Heading2"/>
        <w:spacing w:before="280" w:after="160"/>
      </w:pPr>
      <w:r>
        <w:rPr>
          <w:rFonts w:ascii="Arial" w:cs="Arial" w:eastAsia="Arial" w:hAnsi="Arial"/>
          <w:b/>
          <w:bCs/>
          <w:color w:val="333333"/>
          <w:sz w:val="26"/>
          <w:szCs w:val="26"/>
        </w:rPr>
        <w:t xml:space="preserve">7.3 Report Subscriptions Table (report_subscriptions)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4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4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subscription_id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provider_id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Which report to generate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frequency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DAILY, WEEKLY, MONTHLY, QUARTERLY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delivery_method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IN_APP, EMAIL, BOTH. Default: IN_APP.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is_active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Active subscriptions generate reports on schedule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bl>
    <w:p>
      <w:r>
        <w:br w:type="page"/>
      </w:r>
    </w:p>
    <w:p>
      <w:pPr>
        <w:pStyle w:val="Heading1"/>
        <w:spacing w:before="360" w:after="200"/>
      </w:pPr>
      <w:r>
        <w:rPr>
          <w:rFonts w:ascii="Arial" w:cs="Arial" w:eastAsia="Arial" w:hAnsi="Arial"/>
          <w:b/>
          <w:bCs/>
          <w:color w:val="1B5E3B"/>
          <w:sz w:val="32"/>
          <w:szCs w:val="32"/>
        </w:rPr>
        <w:t xml:space="preserve">8.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Story</w:t>
            </w:r>
          </w:p>
        </w:tc>
        <w:tc>
          <w:tcPr>
            <w:tcW w:type="dxa" w:w="6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Acceptance Criteria</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my revenue dashboard so I can understand my billing performance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Dashboard loads in &lt; 2 seconds. KPI cards show current period vs prior. Revenue trend chart shows 12 months. Filterable by claim type, BA, location.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understand why claims are being rejected</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dashboard shows top codes, rejection rate trend, per-HSC rejection rates. Drill-down to individual rejected claims.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claims approaching their submission deadline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Aging dashboard shows deadline-approaching claims with days remaining. Sorted by urgency. Click to navigate to claim.</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export a financial summary for my accountant</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Select period. Choose format (CSV / PDF Summary / PDF Detailed). Generate and download. CSV includes per-claim detail.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automatic monthly reports sent to me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Configure report subscription. Monthly PDF generated automatically. Notification with download link.</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export all my data from Meritum</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 portability export from settings. Generates ZIP with all claims, patients, audit history. Download via secure link.</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ANL-007</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locum physician, I want to compare billing performance across my practice locations</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Multi-site dashboard shows per-location revenue, claims, rejection rates. Side-by-side comparison.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I want to see how much revenue the AI Coach has recovered for me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dashboard shows acceptance rate, total revenue impact of accepted suggestions, suggestions by category.</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ANL-009</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physician who bills WCB, I want to understand my timing tier performance</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dashboard shows timing tier distribution, fee impact analysis, claims approaching tier downgrade.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ANL-010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 a delegate, I want to view reports on behalf of my physician</w:t>
            </w:r>
          </w:p>
        </w:tc>
        <w:tc>
          <w:tcPr>
            <w:tcW w:type="dxa" w:w="6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Requires REPORT_VIEW permission. All dashboards and reports scoped to the physician context. REPORT_EXPORT required for downloads.</w:t>
            </w:r>
          </w:p>
        </w:tc>
      </w:tr>
    </w:tbl>
    <w:p>
      <w:r>
        <w:br w:type="page"/>
      </w:r>
    </w:p>
    <w:p>
      <w:pPr>
        <w:pStyle w:val="Heading1"/>
        <w:spacing w:before="360" w:after="200"/>
      </w:pPr>
      <w:r>
        <w:rPr>
          <w:rFonts w:ascii="Arial" w:cs="Arial" w:eastAsia="Arial" w:hAnsi="Arial"/>
          <w:b/>
          <w:bCs/>
          <w:color w:val="1B5E3B"/>
          <w:sz w:val="32"/>
          <w:szCs w:val="32"/>
        </w:rPr>
        <w:t xml:space="preserve">9. API Contracts</w:t>
      </w:r>
    </w:p>
    <w:p>
      <w:pPr>
        <w:spacing w:before="80" w:after="80"/>
      </w:pPr>
      <w:r>
        <w:rPr>
          <w:rFonts w:ascii="Arial" w:cs="Arial" w:eastAsia="Arial" w:hAnsi="Arial"/>
          <w:sz w:val="20"/>
          <w:szCs w:val="20"/>
        </w:rPr>
        <w:t xml:space="preserve">All endpoints require authentication and are scoped to the physician (or delegate's active physician context). Delegate permissions REPORT_VIEW and REPORT_EXPORT enforced by Domain 1.</w:t>
      </w:r>
    </w:p>
    <w:p>
      <w:pPr>
        <w:pStyle w:val="Heading2"/>
        <w:spacing w:before="280" w:after="160"/>
      </w:pPr>
      <w:r>
        <w:rPr>
          <w:rFonts w:ascii="Arial" w:cs="Arial" w:eastAsia="Arial" w:hAnsi="Arial"/>
          <w:b/>
          <w:bCs/>
          <w:color w:val="333333"/>
          <w:sz w:val="26"/>
          <w:szCs w:val="26"/>
        </w:rPr>
        <w:t xml:space="preserve">9.1 Dashboard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/api/v1/analytics/revenue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Revenue dashboard data. Params: period, claim_type, ba_number, location_id.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/api/v1/analytics/rejections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Rejection analysis data. Params: period, claim_type, hsc_code.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/api/v1/analytics/aging</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aging data. Params: claim_type.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/api/v1/analytics/wcb</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analytics data. Params: period, form_type.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/api/v1/analytics/ai-coach</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performance metrics. Params: period.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/api/v1/analytics/multi-site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Multi-site breakdown. Params: period, compare_locations[].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/api/v1/analytics/kpis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KPI card values for the selected period. Single call for dashboard init.</w:t>
            </w:r>
          </w:p>
        </w:tc>
      </w:tr>
    </w:tbl>
    <w:p>
      <w:pPr>
        <w:pStyle w:val="Heading2"/>
        <w:spacing w:before="280" w:after="160"/>
      </w:pPr>
      <w:r>
        <w:rPr>
          <w:rFonts w:ascii="Arial" w:cs="Arial" w:eastAsia="Arial" w:hAnsi="Arial"/>
          <w:b/>
          <w:bCs/>
          <w:color w:val="333333"/>
          <w:sz w:val="26"/>
          <w:szCs w:val="26"/>
        </w:rPr>
        <w:t xml:space="preserve">9.2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/api/v1/reports/accountant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Generate accountant export. Body: period, format (csv/pdf_summary/pdf_detail). Returns report_id.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/api/v1/reports/data-portability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Request full data portability export. Returns report_id.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 report status and get download link when ready.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/api/v1/reports/{id}/download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 the generated report file. Authenticated, time-limited.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generated reports for the physician. Filterable by type, date range.</w:t>
            </w:r>
          </w:p>
        </w:tc>
      </w:tr>
    </w:tbl>
    <w:p>
      <w:pPr>
        <w:pStyle w:val="Heading2"/>
        <w:spacing w:before="280" w:after="160"/>
      </w:pPr>
      <w:r>
        <w:rPr>
          <w:rFonts w:ascii="Arial" w:cs="Arial" w:eastAsia="Arial" w:hAnsi="Arial"/>
          <w:b/>
          <w:bCs/>
          <w:color w:val="333333"/>
          <w:sz w:val="26"/>
          <w:szCs w:val="26"/>
        </w:rPr>
        <w:t xml:space="preserve">9.3 Report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/api/v1/report-subscriptions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all active and inactive subscriptions for the physician.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/api/v1/report-subscriptions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subscription. Body: report_type, frequency, delivery_method.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/api/v1/report-subscriptions/{id}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a subscription (frequency, delivery, active status).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/api/v1/report-subscriptions/{id}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Cancel a subscription.</w:t>
            </w:r>
          </w:p>
        </w:tc>
      </w:tr>
    </w:tbl>
    <w:p>
      <w:r>
        <w:br w:type="page"/>
      </w:r>
    </w:p>
    <w:p>
      <w:pPr>
        <w:pStyle w:val="Heading1"/>
        <w:spacing w:before="360" w:after="200"/>
      </w:pPr>
      <w:r>
        <w:rPr>
          <w:rFonts w:ascii="Arial" w:cs="Arial" w:eastAsia="Arial" w:hAnsi="Arial"/>
          <w:b/>
          <w:bCs/>
          <w:color w:val="1B5E3B"/>
          <w:sz w:val="32"/>
          <w:szCs w:val="32"/>
        </w:rPr>
        <w:t xml:space="preserve">10. Performance Requirements</w:t>
      </w:r>
    </w:p>
    <w:p>
      <w:pPr>
        <w:pStyle w:val="Heading2"/>
        <w:spacing w:before="280" w:after="160"/>
      </w:pPr>
      <w:r>
        <w:rPr>
          <w:rFonts w:ascii="Arial" w:cs="Arial" w:eastAsia="Arial" w:hAnsi="Arial"/>
          <w:b/>
          <w:bCs/>
          <w:color w:val="333333"/>
          <w:sz w:val="26"/>
          <w:szCs w:val="26"/>
        </w:rPr>
        <w:t xml:space="preserve">10.1 Dashboard Load Time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Target:</w:t>
      </w:r>
      <w:r>
        <w:rPr>
          <w:rFonts w:ascii="Arial" w:cs="Arial" w:eastAsia="Arial" w:hAnsi="Arial"/>
          <w:sz w:val="20"/>
          <w:szCs w:val="20"/>
        </w:rPr>
        <w:t xml:space="preserve"> Dashboard initial load &lt; 2 seconds for physicians with &lt; 5,000 claims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Strategy:</w:t>
      </w:r>
      <w:r>
        <w:rPr>
          <w:rFonts w:ascii="Arial" w:cs="Arial" w:eastAsia="Arial" w:hAnsi="Arial"/>
          <w:sz w:val="20"/>
          <w:szCs w:val="20"/>
        </w:rPr>
        <w:t xml:space="preserve"> Pre-computed cache for completed periods. Real-time computation only for current-day data.</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Cache refresh:</w:t>
      </w:r>
      <w:r>
        <w:rPr>
          <w:rFonts w:ascii="Arial" w:cs="Arial" w:eastAsia="Arial" w:hAnsi="Arial"/>
          <w:sz w:val="20"/>
          <w:szCs w:val="20"/>
        </w:rPr>
        <w:t xml:space="preserve"> Nightly batch + event-driven incremental updates + stale-cache detection on dashboard open.</w:t>
      </w:r>
    </w:p>
    <w:p>
      <w:pPr>
        <w:pStyle w:val="Heading2"/>
        <w:spacing w:before="280" w:after="160"/>
      </w:pPr>
      <w:r>
        <w:rPr>
          <w:rFonts w:ascii="Arial" w:cs="Arial" w:eastAsia="Arial" w:hAnsi="Arial"/>
          <w:b/>
          <w:bCs/>
          <w:color w:val="333333"/>
          <w:sz w:val="26"/>
          <w:szCs w:val="26"/>
        </w:rPr>
        <w:t xml:space="preserve">10.2 Report Generation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Report Type</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Size</w:t>
            </w:r>
          </w:p>
        </w:tc>
        <w:tc>
          <w:tcPr>
            <w:tcW w:type="dxa" w:w="3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Time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Accountant CSV (monthly)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~500 rows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5 seconds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Accountant PDF summary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2–4 pages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10 seconds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Accountant PDF detailed (annual)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~6,000 rows / 50+ pages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60 seconds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 portability export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data (potentially 10+ years)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&lt; 5 minutes</w:t>
            </w:r>
          </w:p>
        </w:tc>
      </w:tr>
    </w:tbl>
    <w:p>
      <w:pPr>
        <w:spacing w:before="80" w:after="80"/>
      </w:pPr>
      <w:r>
        <w:rPr>
          <w:rFonts w:ascii="Arial" w:cs="Arial" w:eastAsia="Arial" w:hAnsi="Arial"/>
          <w:sz w:val="20"/>
          <w:szCs w:val="20"/>
        </w:rPr>
        <w:t xml:space="preserve">Report generation is asynchronous. The physician receives a notification when the report is ready. Progress indication shown for long-running exports.</w:t>
      </w:r>
    </w:p>
    <w:p>
      <w:pPr>
        <w:pStyle w:val="Heading2"/>
        <w:spacing w:before="280" w:after="160"/>
      </w:pPr>
      <w:r>
        <w:rPr>
          <w:rFonts w:ascii="Arial" w:cs="Arial" w:eastAsia="Arial" w:hAnsi="Arial"/>
          <w:b/>
          <w:bCs/>
          <w:color w:val="333333"/>
          <w:sz w:val="26"/>
          <w:szCs w:val="26"/>
        </w:rPr>
        <w:t xml:space="preserve">10.3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Estimate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per physician per month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50–300 (GP), 100–500 (specialist), 500–2,000 (ED/radiologist)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Claims per physician lifetime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5,000–50,000 over 5–10 years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Aggregate cache entries per physician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~500 (12 months × ~40 metric_keys)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Generated reports per physician per year</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 monthly + 52 weekly + on-demand = ~80–100</w:t>
            </w:r>
          </w:p>
        </w:tc>
      </w:tr>
    </w:tbl>
    <w:p>
      <w:r>
        <w:br w:type="page"/>
      </w:r>
    </w:p>
    <w:p>
      <w:pPr>
        <w:pStyle w:val="Heading1"/>
        <w:spacing w:before="360" w:after="200"/>
      </w:pPr>
      <w:r>
        <w:rPr>
          <w:rFonts w:ascii="Arial" w:cs="Arial" w:eastAsia="Arial" w:hAnsi="Arial"/>
          <w:b/>
          <w:bCs/>
          <w:color w:val="1B5E3B"/>
          <w:sz w:val="32"/>
          <w:szCs w:val="32"/>
        </w:rPr>
        <w:t xml:space="preserve">11. Security &amp; Audit</w:t>
      </w:r>
    </w:p>
    <w:p>
      <w:pPr>
        <w:pStyle w:val="Heading2"/>
        <w:spacing w:before="280" w:after="160"/>
      </w:pPr>
      <w:r>
        <w:rPr>
          <w:rFonts w:ascii="Arial" w:cs="Arial" w:eastAsia="Arial" w:hAnsi="Arial"/>
          <w:b/>
          <w:bCs/>
          <w:color w:val="333333"/>
          <w:sz w:val="26"/>
          <w:szCs w:val="26"/>
        </w:rPr>
        <w:t xml:space="preserve">11.1 Data Protection</w:t>
      </w:r>
    </w:p>
    <w:p>
      <w:pPr>
        <w:pStyle w:val="ListParagraph"/>
        <w:numPr>
          <w:ilvl w:val="0"/>
          <w:numId w:val="2"/>
        </w:numPr>
      </w:pPr>
      <w:r>
        <w:rPr>
          <w:rFonts w:ascii="Arial" w:cs="Arial" w:eastAsia="Arial" w:hAnsi="Arial"/>
          <w:sz w:val="20"/>
          <w:szCs w:val="20"/>
        </w:rPr>
        <w:t xml:space="preserve">Analytics data is derived from PHI (claim data includes patient information). All analytics queries, cache, and reports encrypted at rest and in transit.</w:t>
      </w:r>
    </w:p>
    <w:p>
      <w:pPr>
        <w:pStyle w:val="ListParagraph"/>
        <w:numPr>
          <w:ilvl w:val="0"/>
          <w:numId w:val="2"/>
        </w:numPr>
      </w:pPr>
      <w:r>
        <w:rPr>
          <w:rFonts w:ascii="Arial" w:cs="Arial" w:eastAsia="Arial" w:hAnsi="Arial"/>
          <w:sz w:val="20"/>
          <w:szCs w:val="20"/>
        </w:rPr>
        <w:t xml:space="preserve">Dashboard data is physician-scoped at the query level. No cross-physician data access.</w:t>
      </w:r>
    </w:p>
    <w:p>
      <w:pPr>
        <w:pStyle w:val="ListParagraph"/>
        <w:numPr>
          <w:ilvl w:val="0"/>
          <w:numId w:val="2"/>
        </w:numPr>
      </w:pPr>
      <w:r>
        <w:rPr>
          <w:rFonts w:ascii="Arial" w:cs="Arial" w:eastAsia="Arial" w:hAnsi="Arial"/>
          <w:sz w:val="20"/>
          <w:szCs w:val="20"/>
        </w:rPr>
        <w:t xml:space="preserve">Generated reports contain PHI (per-claim detail includes patient PHN in CSV exports). Reports encrypted at rest. Download links authenticated and time-limited.</w:t>
      </w:r>
    </w:p>
    <w:p>
      <w:pPr>
        <w:pStyle w:val="ListParagraph"/>
        <w:numPr>
          <w:ilvl w:val="0"/>
          <w:numId w:val="2"/>
        </w:numPr>
      </w:pPr>
      <w:r>
        <w:rPr>
          <w:rFonts w:ascii="Arial" w:cs="Arial" w:eastAsia="Arial" w:hAnsi="Arial"/>
          <w:sz w:val="20"/>
          <w:szCs w:val="20"/>
        </w:rPr>
        <w:t xml:space="preserve">Data portability exports are the most sensitive output. Optional password encryption. 72-hour download window.</w:t>
      </w:r>
    </w:p>
    <w:p>
      <w:pPr>
        <w:pStyle w:val="ListParagraph"/>
        <w:numPr>
          <w:ilvl w:val="0"/>
          <w:numId w:val="2"/>
        </w:numPr>
      </w:pPr>
      <w:r>
        <w:rPr>
          <w:rFonts w:ascii="Arial" w:cs="Arial" w:eastAsia="Arial" w:hAnsi="Arial"/>
          <w:sz w:val="20"/>
          <w:szCs w:val="20"/>
        </w:rPr>
        <w:t xml:space="preserve">Accountant exports are delivered via authenticated download link only. Never emailed as attachments.</w:t>
      </w:r>
    </w:p>
    <w:p>
      <w:pPr>
        <w:pStyle w:val="ListParagraph"/>
        <w:numPr>
          <w:ilvl w:val="0"/>
          <w:numId w:val="2"/>
        </w:numPr>
      </w:pPr>
      <w:r>
        <w:rPr>
          <w:rFonts w:ascii="Arial" w:cs="Arial" w:eastAsia="Arial" w:hAnsi="Arial"/>
          <w:sz w:val="20"/>
          <w:szCs w:val="20"/>
        </w:rPr>
        <w:t xml:space="preserve">Specialty cohort comparisons (future enhancement) use only anonymised, aggregated data with minimum cohort size requirements.</w:t>
      </w:r>
    </w:p>
    <w:p>
      <w:pPr>
        <w:pStyle w:val="Heading2"/>
        <w:spacing w:before="280" w:after="160"/>
      </w:pPr>
      <w:r>
        <w:rPr>
          <w:rFonts w:ascii="Arial" w:cs="Arial" w:eastAsia="Arial" w:hAnsi="Arial"/>
          <w:b/>
          <w:bCs/>
          <w:color w:val="333333"/>
          <w:sz w:val="26"/>
          <w:szCs w:val="26"/>
        </w:rPr>
        <w:t xml:space="preserve">11.2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 Logged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DASHBOARD_VIEWED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Dashboard type, period, filters applied. Actor identity. (Rate-limited logging to avoid audit noise.)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REPORT_GENERATED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type, period, format. Actor identity.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REPORT_DOWNLOADED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ID, actor identity, timestamp.</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DATA_PORTABILITY_REQUESTED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Actor identity, timestamp. Sensitive action flagged.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DATA_PORTABILITY_DOWNLOADED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Actor identity, timestamp. Sensitive action flagged.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REPORT_SUBSCRIPTION_CREATED / UPDATED / CANCELLED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Subscription details, actor identity.</w:t>
            </w:r>
          </w:p>
        </w:tc>
      </w:tr>
    </w:tbl>
    <w:p>
      <w:r>
        <w:br w:type="page"/>
      </w:r>
    </w:p>
    <w:p>
      <w:pPr>
        <w:pStyle w:val="Heading1"/>
        <w:spacing w:before="360" w:after="200"/>
      </w:pPr>
      <w:r>
        <w:rPr>
          <w:rFonts w:ascii="Arial" w:cs="Arial" w:eastAsia="Arial" w:hAnsi="Arial"/>
          <w:b/>
          <w:bCs/>
          <w:color w:val="1B5E3B"/>
          <w:sz w:val="32"/>
          <w:szCs w:val="32"/>
        </w:rPr>
        <w:t xml:space="preserve">12. Testing Requirements</w:t>
      </w:r>
    </w:p>
    <w:p>
      <w:pPr>
        <w:pStyle w:val="Heading2"/>
        <w:spacing w:before="280" w:after="160"/>
      </w:pPr>
      <w:r>
        <w:rPr>
          <w:rFonts w:ascii="Arial" w:cs="Arial" w:eastAsia="Arial" w:hAnsi="Arial"/>
          <w:b/>
          <w:bCs/>
          <w:color w:val="333333"/>
          <w:sz w:val="26"/>
          <w:szCs w:val="26"/>
        </w:rPr>
        <w:t xml:space="preserve">12.1 Dashboard Tests</w:t>
      </w:r>
    </w:p>
    <w:p>
      <w:pPr>
        <w:pStyle w:val="ListParagraph"/>
        <w:numPr>
          <w:ilvl w:val="0"/>
          <w:numId w:val="2"/>
        </w:numPr>
      </w:pPr>
      <w:r>
        <w:rPr>
          <w:rFonts w:ascii="Arial" w:cs="Arial" w:eastAsia="Arial" w:hAnsi="Arial"/>
          <w:sz w:val="20"/>
          <w:szCs w:val="20"/>
        </w:rPr>
        <w:t xml:space="preserve">Revenue dashboard with known claim data → KPI values match expected calculations</w:t>
      </w:r>
    </w:p>
    <w:p>
      <w:pPr>
        <w:pStyle w:val="ListParagraph"/>
        <w:numPr>
          <w:ilvl w:val="0"/>
          <w:numId w:val="2"/>
        </w:numPr>
      </w:pPr>
      <w:r>
        <w:rPr>
          <w:rFonts w:ascii="Arial" w:cs="Arial" w:eastAsia="Arial" w:hAnsi="Arial"/>
          <w:sz w:val="20"/>
          <w:szCs w:val="20"/>
        </w:rPr>
        <w:t xml:space="preserve">Period comparison: this month vs last month → correct delta values</w:t>
      </w:r>
    </w:p>
    <w:p>
      <w:pPr>
        <w:pStyle w:val="ListParagraph"/>
        <w:numPr>
          <w:ilvl w:val="0"/>
          <w:numId w:val="2"/>
        </w:numPr>
      </w:pPr>
      <w:r>
        <w:rPr>
          <w:rFonts w:ascii="Arial" w:cs="Arial" w:eastAsia="Arial" w:hAnsi="Arial"/>
          <w:sz w:val="20"/>
          <w:szCs w:val="20"/>
        </w:rPr>
        <w:t xml:space="preserve">Rejection dashboard: rejection rate calculated correctly (rejected / (assessed + rejected + adjusted))</w:t>
      </w:r>
    </w:p>
    <w:p>
      <w:pPr>
        <w:pStyle w:val="ListParagraph"/>
        <w:numPr>
          <w:ilvl w:val="0"/>
          <w:numId w:val="2"/>
        </w:numPr>
      </w:pPr>
      <w:r>
        <w:rPr>
          <w:rFonts w:ascii="Arial" w:cs="Arial" w:eastAsia="Arial" w:hAnsi="Arial"/>
          <w:sz w:val="20"/>
          <w:szCs w:val="20"/>
        </w:rPr>
        <w:t xml:space="preserve">Aging brackets: claims correctly categorised by days since DOS</w:t>
      </w:r>
    </w:p>
    <w:p>
      <w:pPr>
        <w:pStyle w:val="ListParagraph"/>
        <w:numPr>
          <w:ilvl w:val="0"/>
          <w:numId w:val="2"/>
        </w:numPr>
      </w:pPr>
      <w:r>
        <w:rPr>
          <w:rFonts w:ascii="Arial" w:cs="Arial" w:eastAsia="Arial" w:hAnsi="Arial"/>
          <w:sz w:val="20"/>
          <w:szCs w:val="20"/>
        </w:rPr>
        <w:t xml:space="preserve">Filter application: claim_type filter shows only AHCIP or WCB claims</w:t>
      </w:r>
    </w:p>
    <w:p>
      <w:pPr>
        <w:pStyle w:val="ListParagraph"/>
        <w:numPr>
          <w:ilvl w:val="0"/>
          <w:numId w:val="2"/>
        </w:numPr>
      </w:pPr>
      <w:r>
        <w:rPr>
          <w:rFonts w:ascii="Arial" w:cs="Arial" w:eastAsia="Arial" w:hAnsi="Arial"/>
          <w:sz w:val="20"/>
          <w:szCs w:val="20"/>
        </w:rPr>
        <w:t xml:space="preserve">PCPCM dual-BA: revenue by BA correctly splits between PCPCM and FFS</w:t>
      </w:r>
    </w:p>
    <w:p>
      <w:pPr>
        <w:pStyle w:val="ListParagraph"/>
        <w:numPr>
          <w:ilvl w:val="0"/>
          <w:numId w:val="2"/>
        </w:numPr>
      </w:pPr>
      <w:r>
        <w:rPr>
          <w:rFonts w:ascii="Arial" w:cs="Arial" w:eastAsia="Arial" w:hAnsi="Arial"/>
          <w:sz w:val="20"/>
          <w:szCs w:val="20"/>
        </w:rPr>
        <w:t xml:space="preserve">Multi-site: per-location breakdown matches per-location claim totals</w:t>
      </w:r>
    </w:p>
    <w:p>
      <w:pPr>
        <w:pStyle w:val="ListParagraph"/>
        <w:numPr>
          <w:ilvl w:val="0"/>
          <w:numId w:val="2"/>
        </w:numPr>
      </w:pPr>
      <w:r>
        <w:rPr>
          <w:rFonts w:ascii="Arial" w:cs="Arial" w:eastAsia="Arial" w:hAnsi="Arial"/>
          <w:sz w:val="20"/>
          <w:szCs w:val="20"/>
        </w:rPr>
        <w:t xml:space="preserve">WCB timing tier distribution: claims correctly assigned to timing tiers</w:t>
      </w:r>
    </w:p>
    <w:p>
      <w:pPr>
        <w:pStyle w:val="ListParagraph"/>
        <w:numPr>
          <w:ilvl w:val="0"/>
          <w:numId w:val="2"/>
        </w:numPr>
      </w:pPr>
      <w:r>
        <w:rPr>
          <w:rFonts w:ascii="Arial" w:cs="Arial" w:eastAsia="Arial" w:hAnsi="Arial"/>
          <w:sz w:val="20"/>
          <w:szCs w:val="20"/>
        </w:rPr>
        <w:t xml:space="preserve">AI Coach metrics: acceptance rate matches suggestion event data</w:t>
      </w:r>
    </w:p>
    <w:p>
      <w:pPr>
        <w:pStyle w:val="Heading2"/>
        <w:spacing w:before="280" w:after="160"/>
      </w:pPr>
      <w:r>
        <w:rPr>
          <w:rFonts w:ascii="Arial" w:cs="Arial" w:eastAsia="Arial" w:hAnsi="Arial"/>
          <w:b/>
          <w:bCs/>
          <w:color w:val="333333"/>
          <w:sz w:val="26"/>
          <w:szCs w:val="26"/>
        </w:rPr>
        <w:t xml:space="preserve">12.2 Report Generation Tests</w:t>
      </w:r>
    </w:p>
    <w:p>
      <w:pPr>
        <w:pStyle w:val="ListParagraph"/>
        <w:numPr>
          <w:ilvl w:val="0"/>
          <w:numId w:val="2"/>
        </w:numPr>
      </w:pPr>
      <w:r>
        <w:rPr>
          <w:rFonts w:ascii="Arial" w:cs="Arial" w:eastAsia="Arial" w:hAnsi="Arial"/>
          <w:sz w:val="20"/>
          <w:szCs w:val="20"/>
        </w:rPr>
        <w:t xml:space="preserve">Accountant CSV: all paid claims in period included, correct fee values, correct column headers</w:t>
      </w:r>
    </w:p>
    <w:p>
      <w:pPr>
        <w:pStyle w:val="ListParagraph"/>
        <w:numPr>
          <w:ilvl w:val="0"/>
          <w:numId w:val="2"/>
        </w:numPr>
      </w:pPr>
      <w:r>
        <w:rPr>
          <w:rFonts w:ascii="Arial" w:cs="Arial" w:eastAsia="Arial" w:hAnsi="Arial"/>
          <w:sz w:val="20"/>
          <w:szCs w:val="20"/>
        </w:rPr>
        <w:t xml:space="preserve">Accountant PDF summary: totals match CSV data, BA breakdown correct, location breakdown correct</w:t>
      </w:r>
    </w:p>
    <w:p>
      <w:pPr>
        <w:pStyle w:val="ListParagraph"/>
        <w:numPr>
          <w:ilvl w:val="0"/>
          <w:numId w:val="2"/>
        </w:numPr>
      </w:pPr>
      <w:r>
        <w:rPr>
          <w:rFonts w:ascii="Arial" w:cs="Arial" w:eastAsia="Arial" w:hAnsi="Arial"/>
          <w:sz w:val="20"/>
          <w:szCs w:val="20"/>
        </w:rPr>
        <w:t xml:space="preserve">Data portability: all tables exported, row counts match source, schema README accurate</w:t>
      </w:r>
    </w:p>
    <w:p>
      <w:pPr>
        <w:pStyle w:val="ListParagraph"/>
        <w:numPr>
          <w:ilvl w:val="0"/>
          <w:numId w:val="2"/>
        </w:numPr>
      </w:pPr>
      <w:r>
        <w:rPr>
          <w:rFonts w:ascii="Arial" w:cs="Arial" w:eastAsia="Arial" w:hAnsi="Arial"/>
          <w:sz w:val="20"/>
          <w:szCs w:val="20"/>
        </w:rPr>
        <w:t xml:space="preserve">Large dataset: 10,000 claims → export completes within target time</w:t>
      </w:r>
    </w:p>
    <w:p>
      <w:pPr>
        <w:pStyle w:val="Heading2"/>
        <w:spacing w:before="280" w:after="160"/>
      </w:pPr>
      <w:r>
        <w:rPr>
          <w:rFonts w:ascii="Arial" w:cs="Arial" w:eastAsia="Arial" w:hAnsi="Arial"/>
          <w:b/>
          <w:bCs/>
          <w:color w:val="333333"/>
          <w:sz w:val="26"/>
          <w:szCs w:val="26"/>
        </w:rPr>
        <w:t xml:space="preserve">12.3 Scheduled Report Tests</w:t>
      </w:r>
    </w:p>
    <w:p>
      <w:pPr>
        <w:pStyle w:val="ListParagraph"/>
        <w:numPr>
          <w:ilvl w:val="0"/>
          <w:numId w:val="2"/>
        </w:numPr>
      </w:pPr>
      <w:r>
        <w:rPr>
          <w:rFonts w:ascii="Arial" w:cs="Arial" w:eastAsia="Arial" w:hAnsi="Arial"/>
          <w:sz w:val="20"/>
          <w:szCs w:val="20"/>
        </w:rPr>
        <w:t xml:space="preserve">Monthly subscription: report generated on schedule (3rd business day of month)</w:t>
      </w:r>
    </w:p>
    <w:p>
      <w:pPr>
        <w:pStyle w:val="ListParagraph"/>
        <w:numPr>
          <w:ilvl w:val="0"/>
          <w:numId w:val="2"/>
        </w:numPr>
      </w:pPr>
      <w:r>
        <w:rPr>
          <w:rFonts w:ascii="Arial" w:cs="Arial" w:eastAsia="Arial" w:hAnsi="Arial"/>
          <w:sz w:val="20"/>
          <w:szCs w:val="20"/>
        </w:rPr>
        <w:t xml:space="preserve">Notification delivered with download link</w:t>
      </w:r>
    </w:p>
    <w:p>
      <w:pPr>
        <w:pStyle w:val="ListParagraph"/>
        <w:numPr>
          <w:ilvl w:val="0"/>
          <w:numId w:val="2"/>
        </w:numPr>
      </w:pPr>
      <w:r>
        <w:rPr>
          <w:rFonts w:ascii="Arial" w:cs="Arial" w:eastAsia="Arial" w:hAnsi="Arial"/>
          <w:sz w:val="20"/>
          <w:szCs w:val="20"/>
        </w:rPr>
        <w:t xml:space="preserve">Download link expires after configured period (30 or 90 days)</w:t>
      </w:r>
    </w:p>
    <w:p>
      <w:pPr>
        <w:pStyle w:val="ListParagraph"/>
        <w:numPr>
          <w:ilvl w:val="0"/>
          <w:numId w:val="2"/>
        </w:numPr>
      </w:pPr>
      <w:r>
        <w:rPr>
          <w:rFonts w:ascii="Arial" w:cs="Arial" w:eastAsia="Arial" w:hAnsi="Arial"/>
          <w:sz w:val="20"/>
          <w:szCs w:val="20"/>
        </w:rPr>
        <w:t xml:space="preserve">Inactive subscription: no report generated</w:t>
      </w:r>
    </w:p>
    <w:p>
      <w:pPr>
        <w:pStyle w:val="Heading2"/>
        <w:spacing w:before="280" w:after="160"/>
      </w:pPr>
      <w:r>
        <w:rPr>
          <w:rFonts w:ascii="Arial" w:cs="Arial" w:eastAsia="Arial" w:hAnsi="Arial"/>
          <w:b/>
          <w:bCs/>
          <w:color w:val="333333"/>
          <w:sz w:val="26"/>
          <w:szCs w:val="26"/>
        </w:rPr>
        <w:t xml:space="preserve">12.4 Integration Tests</w:t>
      </w:r>
    </w:p>
    <w:p>
      <w:pPr>
        <w:pStyle w:val="ListParagraph"/>
        <w:numPr>
          <w:ilvl w:val="0"/>
          <w:numId w:val="2"/>
        </w:numPr>
      </w:pPr>
      <w:r>
        <w:rPr>
          <w:rFonts w:ascii="Arial" w:cs="Arial" w:eastAsia="Arial" w:hAnsi="Arial"/>
          <w:sz w:val="20"/>
          <w:szCs w:val="20"/>
        </w:rPr>
        <w:t xml:space="preserve">Create claims → submit → assess → verify dashboard reflects new data within cache refresh window</w:t>
      </w:r>
    </w:p>
    <w:p>
      <w:pPr>
        <w:pStyle w:val="ListParagraph"/>
        <w:numPr>
          <w:ilvl w:val="0"/>
          <w:numId w:val="2"/>
        </w:numPr>
      </w:pPr>
      <w:r>
        <w:rPr>
          <w:rFonts w:ascii="Arial" w:cs="Arial" w:eastAsia="Arial" w:hAnsi="Arial"/>
          <w:sz w:val="20"/>
          <w:szCs w:val="20"/>
        </w:rPr>
        <w:t xml:space="preserve">Reject claim → verify rejection dashboard updates</w:t>
      </w:r>
    </w:p>
    <w:p>
      <w:pPr>
        <w:pStyle w:val="ListParagraph"/>
        <w:numPr>
          <w:ilvl w:val="0"/>
          <w:numId w:val="2"/>
        </w:numPr>
      </w:pPr>
      <w:r>
        <w:rPr>
          <w:rFonts w:ascii="Arial" w:cs="Arial" w:eastAsia="Arial" w:hAnsi="Arial"/>
          <w:sz w:val="20"/>
          <w:szCs w:val="20"/>
        </w:rPr>
        <w:t xml:space="preserve">Accept AI Coach suggestion → verify AI Coach dashboard shows acceptance</w:t>
      </w:r>
    </w:p>
    <w:p>
      <w:pPr>
        <w:pStyle w:val="ListParagraph"/>
        <w:numPr>
          <w:ilvl w:val="0"/>
          <w:numId w:val="2"/>
        </w:numPr>
      </w:pPr>
      <w:r>
        <w:rPr>
          <w:rFonts w:ascii="Arial" w:cs="Arial" w:eastAsia="Arial" w:hAnsi="Arial"/>
          <w:sz w:val="20"/>
          <w:szCs w:val="20"/>
        </w:rPr>
        <w:t xml:space="preserve">Delegate with REPORT_VIEW → can view dashboards. Without permission → denied.</w:t>
      </w:r>
    </w:p>
    <w:p>
      <w:pPr>
        <w:pStyle w:val="ListParagraph"/>
        <w:numPr>
          <w:ilvl w:val="0"/>
          <w:numId w:val="2"/>
        </w:numPr>
      </w:pPr>
      <w:r>
        <w:rPr>
          <w:rFonts w:ascii="Arial" w:cs="Arial" w:eastAsia="Arial" w:hAnsi="Arial"/>
          <w:sz w:val="20"/>
          <w:szCs w:val="20"/>
        </w:rPr>
        <w:t xml:space="preserve">Delegate with REPORT_EXPORT → can download reports. Without permission → denied.</w:t>
      </w:r>
    </w:p>
    <w:p>
      <w:r>
        <w:br w:type="page"/>
      </w:r>
    </w:p>
    <w:p>
      <w:pPr>
        <w:pStyle w:val="Heading1"/>
        <w:spacing w:before="360" w:after="200"/>
      </w:pPr>
      <w:r>
        <w:rPr>
          <w:rFonts w:ascii="Arial" w:cs="Arial" w:eastAsia="Arial" w:hAnsi="Arial"/>
          <w:b/>
          <w:bCs/>
          <w:color w:val="1B5E3B"/>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anonymised specialty benchmarking be an MVP feature or deferred?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Comparing a physician's rejection rate or revenue per claim to their specialty average could be valuable but requires sufficient user base and privacy framework.</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the accountant export support direct delivery to accountant email?</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Would require the physician to configure accountant email and consent to external delivery of PHI-containing reports. MVP: physician downloads and forwards.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retention period is appropriate for generated reports?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spec: 90 days (scheduled), 30 days (on-demand), 72 hours (data portability). May need to align with HIA retention requirements.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 analytics support year-over-year comparison on the same chart?</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Useful for identifying seasonal trends but adds UI complexity. MVP: prior-period comparison only.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right cache refresh strategy for physicians with very high claim volumes (radiologists)?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Nightly batch may be insufficient for 2,000+ claims/month. May need more frequent incremental updates.</w:t>
            </w:r>
          </w:p>
        </w:tc>
      </w:tr>
    </w:tbl>
    <w:p>
      <w:r>
        <w:br w:type="page"/>
      </w:r>
    </w:p>
    <w:p>
      <w:pPr>
        <w:pStyle w:val="Heading1"/>
        <w:spacing w:before="360" w:after="200"/>
      </w:pPr>
      <w:r>
        <w:rPr>
          <w:rFonts w:ascii="Arial" w:cs="Arial" w:eastAsia="Arial" w:hAnsi="Arial"/>
          <w:b/>
          <w:bCs/>
          <w:color w:val="1B5E3B"/>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Analytics &amp; Reporting (Domain 8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8th</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1 (IAM), Domain 2 (Reference Data), Domain 4 (Claim Lifecycle), Domain 5 (Provider Mgmt), Domain 7 (Intelligence Engine)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 by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3 (Notification Service for scheduled report delivery)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Next domain in critical path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9 (Notification Service)</w:t>
            </w:r>
          </w:p>
        </w:tc>
      </w:tr>
    </w:tbl>
    <w:p>
      <w:pPr>
        <w:spacing w:before="80" w:after="80"/>
      </w:pPr>
      <w:r>
        <w:rPr>
          <w:rFonts w:ascii="Arial" w:cs="Arial" w:eastAsia="Arial" w:hAnsi="Arial"/>
          <w:sz w:val="20"/>
          <w:szCs w:val="20"/>
        </w:rPr>
        <w:t xml:space="preserve">This domain is read-only. It consumes data from the Claim Lifecycle, Provider Management, Reference Data, and Intelligence Engine. It produces dashboards, reports, and exports but never modifies source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8: Analytics &amp; Reporting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2026-02-13T17:53:56.319Z</dcterms:created>
  <dcterms:modified xsi:type="dcterms:W3CDTF">2026-02-13T17:53:56.320Z</dcterms:modified>
</cp:coreProperties>
</file>

<file path=docProps/custom.xml><?xml version="1.0" encoding="utf-8"?>
<Properties xmlns="http://schemas.openxmlformats.org/officeDocument/2006/custom-properties" xmlns:vt="http://schemas.openxmlformats.org/officeDocument/2006/docPropsVTypes"/>
</file>