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400"/>
      </w:pPr>
    </w:p>
    <w:p>
      <w:pPr>
        <w:spacing w:after="200"/>
        <w:jc w:val="center"/>
      </w:pPr>
      <w:r>
        <w:rPr>
          <w:rFonts w:ascii="Arial" w:cs="Arial" w:eastAsia="Arial" w:hAnsi="Arial"/>
          <w:b/>
          <w:bCs/>
          <w:color w:val="1B4D3E"/>
          <w:sz w:val="72"/>
          <w:szCs w:val="72"/>
        </w:rPr>
        <w:t xml:space="preserve">MERITUM</w:t>
      </w:r>
    </w:p>
    <w:p>
      <w:pPr>
        <w:spacing w:after="120"/>
        <w:jc w:val="center"/>
      </w:pPr>
      <w:r>
        <w:rPr>
          <w:rFonts w:ascii="Arial" w:cs="Arial" w:eastAsia="Arial" w:hAnsi="Arial"/>
          <w:color w:val="555555"/>
          <w:sz w:val="36"/>
          <w:szCs w:val="36"/>
        </w:rPr>
        <w:t xml:space="preserve">Product Requirements Document</w:t>
      </w:r>
    </w:p>
    <w:p>
      <w:pPr>
        <w:spacing w:after="600"/>
        <w:jc w:val="center"/>
      </w:pPr>
      <w:r>
        <w:rPr>
          <w:rFonts w:ascii="Arial" w:cs="Arial" w:eastAsia="Arial" w:hAnsi="Arial"/>
          <w:color w:val="555555"/>
          <w:sz w:val="28"/>
          <w:szCs w:val="28"/>
        </w:rPr>
        <w:t xml:space="preserve">Alberta Physician Billing Platform</w:t>
      </w:r>
    </w:p>
    <w:p>
      <w:pPr>
        <w:spacing w:before="600" w:after="600"/>
      </w:pPr>
    </w:p>
    <w:p>
      <w:pPr>
        <w:spacing w:after="80"/>
        <w:jc w:val="center"/>
      </w:pPr>
      <w:r>
        <w:rPr>
          <w:rFonts w:ascii="Arial" w:cs="Arial" w:eastAsia="Arial" w:hAnsi="Arial"/>
          <w:color w:val="1A1A1A"/>
          <w:sz w:val="24"/>
          <w:szCs w:val="24"/>
        </w:rPr>
        <w:t xml:space="preserve">Meritum Health Technologies Inc.</w:t>
      </w:r>
    </w:p>
    <w:p>
      <w:pPr>
        <w:spacing w:after="80"/>
        <w:jc w:val="center"/>
      </w:pPr>
      <w:r>
        <w:rPr>
          <w:rFonts w:ascii="Arial" w:cs="Arial" w:eastAsia="Arial" w:hAnsi="Arial"/>
          <w:color w:val="555555"/>
          <w:sz w:val="22"/>
          <w:szCs w:val="22"/>
        </w:rPr>
        <w:t xml:space="preserve">Version 1.3  |  February 2026</w:t>
      </w:r>
    </w:p>
    <w:p>
      <w:pPr>
        <w:spacing w:after="80"/>
        <w:jc w:val="center"/>
      </w:pPr>
      <w:r>
        <w:rPr>
          <w:rFonts w:ascii="Arial" w:cs="Arial" w:eastAsia="Arial" w:hAnsi="Arial"/>
          <w:b/>
          <w:bCs/>
          <w:color w:val="1B4D3E"/>
          <w:sz w:val="20"/>
          <w:szCs w:val="20"/>
        </w:rPr>
        <w:t xml:space="preserve">CONFIDENTIAL</w:t>
      </w:r>
    </w:p>
    <w:p>
      <w:r>
        <w:br/>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line="276"/>
      </w:pPr>
      <w:r>
        <w:rPr>
          <w:rFonts w:ascii="Arial" w:cs="Arial" w:eastAsia="Arial" w:hAnsi="Arial"/>
          <w:color w:val="1A1A1A"/>
          <w:sz w:val="22"/>
          <w:szCs w:val="22"/>
        </w:rPr>
        <w:t xml:space="preserve">Meritum is a self-serve physician billing platform purpose-built for Alberta. It enables physicians to create, validate, submit, and track fee-for-service and WCB claims through Alberta Health Care Insurance Plan (AHCIP) via H-Link and WCB Alberta’s electronic submission system, without relying on third-party billing agents or full-service intermediaries.</w:t>
      </w:r>
    </w:p>
    <w:p>
      <w:pPr>
        <w:spacing w:after="120" w:line="276"/>
      </w:pPr>
      <w:r>
        <w:rPr>
          <w:rFonts w:ascii="Arial" w:cs="Arial" w:eastAsia="Arial" w:hAnsi="Arial"/>
          <w:color w:val="1A1A1A"/>
          <w:sz w:val="22"/>
          <w:szCs w:val="22"/>
        </w:rPr>
        <w:t xml:space="preserve">The platform combines real-time claim validation against the Schedule of Medical Benefits (SOMB), AHCIP governing rules, and WCB fee schedules with an AI-powered Billing Coach that proactively identifies missed billings, modifier opportunities, and coding errors before submission. The AI layer is built on a deterministic rules engine handling 90%+ of intelligence, with a lightweight self-hosted open-source language model providing natural-language explanations. Meritum targets physicians who want direct control over their billing with the safety net of intelligent automation.</w:t>
      </w:r>
    </w:p>
    <w:p>
      <w:pPr>
        <w:spacing w:after="120" w:line="276"/>
      </w:pPr>
      <w:r>
        <w:rPr>
          <w:rFonts w:ascii="Arial" w:cs="Arial" w:eastAsia="Arial" w:hAnsi="Arial"/>
          <w:b/>
          <w:bCs/>
          <w:color w:val="1A1A1A"/>
          <w:sz w:val="22"/>
          <w:szCs w:val="22"/>
        </w:rPr>
        <w:t xml:space="preserve">Product name: </w:t>
      </w:r>
      <w:r>
        <w:rPr>
          <w:rFonts w:ascii="Arial" w:cs="Arial" w:eastAsia="Arial" w:hAnsi="Arial"/>
          <w:color w:val="1A1A1A"/>
          <w:sz w:val="22"/>
          <w:szCs w:val="22"/>
        </w:rPr>
        <w:t xml:space="preserve">Meritum (Latin: </w:t>
      </w:r>
      <w:r>
        <w:rPr>
          <w:rFonts w:ascii="Arial" w:cs="Arial" w:eastAsia="Arial" w:hAnsi="Arial"/>
          <w:i/>
          <w:iCs/>
          <w:color w:val="1A1A1A"/>
          <w:sz w:val="22"/>
          <w:szCs w:val="22"/>
        </w:rPr>
        <w:t xml:space="preserve">meritum</w:t>
      </w:r>
      <w:r>
        <w:rPr>
          <w:rFonts w:ascii="Arial" w:cs="Arial" w:eastAsia="Arial" w:hAnsi="Arial"/>
          <w:color w:val="1A1A1A"/>
          <w:sz w:val="22"/>
          <w:szCs w:val="22"/>
        </w:rPr>
        <w:t xml:space="preserve">, “what is earned / what is deserved”)</w:t>
      </w:r>
    </w:p>
    <w:p>
      <w:pPr>
        <w:spacing w:after="120" w:line="276"/>
      </w:pPr>
      <w:r>
        <w:rPr>
          <w:rFonts w:ascii="Arial" w:cs="Arial" w:eastAsia="Arial" w:hAnsi="Arial"/>
          <w:b/>
          <w:bCs/>
          <w:color w:val="1B4D3E"/>
          <w:sz w:val="22"/>
          <w:szCs w:val="22"/>
        </w:rPr>
        <w:t xml:space="preserve">Domain: </w:t>
      </w:r>
      <w:r>
        <w:rPr>
          <w:rFonts w:ascii="Arial" w:cs="Arial" w:eastAsia="Arial" w:hAnsi="Arial"/>
          <w:color w:val="1A1A1A"/>
          <w:sz w:val="22"/>
          <w:szCs w:val="22"/>
        </w:rPr>
        <w:t xml:space="preserve">meritum.ca</w:t>
      </w:r>
    </w:p>
    <w:p>
      <w:pPr>
        <w:spacing w:after="120" w:line="276"/>
      </w:pPr>
      <w:r>
        <w:rPr>
          <w:rFonts w:ascii="Arial" w:cs="Arial" w:eastAsia="Arial" w:hAnsi="Arial"/>
          <w:b/>
          <w:bCs/>
          <w:color w:val="1B4D3E"/>
          <w:sz w:val="22"/>
          <w:szCs w:val="22"/>
        </w:rPr>
        <w:t xml:space="preserve">Corporate entity: </w:t>
      </w:r>
      <w:r>
        <w:rPr>
          <w:rFonts w:ascii="Arial" w:cs="Arial" w:eastAsia="Arial" w:hAnsi="Arial"/>
          <w:color w:val="1A1A1A"/>
          <w:sz w:val="22"/>
          <w:szCs w:val="22"/>
        </w:rPr>
        <w:t xml:space="preserve">Meritum Health Technologies Inc. (to be incorporated, separate from SigOct Consulting)</w:t>
      </w:r>
    </w:p>
    <w:p>
      <w:pPr>
        <w:spacing w:after="120" w:line="276"/>
      </w:pPr>
      <w:r>
        <w:rPr>
          <w:rFonts w:ascii="Arial" w:cs="Arial" w:eastAsia="Arial" w:hAnsi="Arial"/>
          <w:b/>
          <w:bCs/>
          <w:color w:val="1B4D3E"/>
          <w:sz w:val="22"/>
          <w:szCs w:val="22"/>
        </w:rPr>
        <w:t xml:space="preserve">Target market: </w:t>
      </w:r>
      <w:r>
        <w:rPr>
          <w:rFonts w:ascii="Arial" w:cs="Arial" w:eastAsia="Arial" w:hAnsi="Arial"/>
          <w:color w:val="1A1A1A"/>
          <w:sz w:val="22"/>
          <w:szCs w:val="22"/>
        </w:rPr>
        <w:t xml:space="preserve">Alberta fee-for-service physicians, with initial focus on rural family physicians, emergency department physicians, and rural specialists (radiology, anaesthesia, surgery)</w:t>
      </w:r>
    </w:p>
    <w:p>
      <w:pPr>
        <w:spacing w:after="120" w:line="276"/>
      </w:pPr>
      <w:r>
        <w:rPr>
          <w:rFonts w:ascii="Arial" w:cs="Arial" w:eastAsia="Arial" w:hAnsi="Arial"/>
          <w:b/>
          <w:bCs/>
          <w:color w:val="1B4D3E"/>
          <w:sz w:val="22"/>
          <w:szCs w:val="22"/>
        </w:rPr>
        <w:t xml:space="preserve">Business model: </w:t>
      </w:r>
      <w:r>
        <w:rPr>
          <w:rFonts w:ascii="Arial" w:cs="Arial" w:eastAsia="Arial" w:hAnsi="Arial"/>
          <w:color w:val="1A1A1A"/>
          <w:sz w:val="22"/>
          <w:szCs w:val="22"/>
        </w:rPr>
        <w:t xml:space="preserve">Flat-rate SaaS subscription ($279/month or $2,790/year, exclusive of GST), processed via Stripe</w:t>
      </w:r>
    </w:p>
    <w:p>
      <w:pPr>
        <w:spacing w:after="120" w:line="276"/>
      </w:pPr>
      <w:r>
        <w:rPr>
          <w:rFonts w:ascii="Arial" w:cs="Arial" w:eastAsia="Arial" w:hAnsi="Arial"/>
          <w:b/>
          <w:bCs/>
          <w:color w:val="1B4D3E"/>
          <w:sz w:val="22"/>
          <w:szCs w:val="22"/>
        </w:rPr>
        <w:t xml:space="preserve">Tagline: </w:t>
      </w:r>
      <w:r>
        <w:rPr>
          <w:rFonts w:ascii="Arial" w:cs="Arial" w:eastAsia="Arial" w:hAnsi="Arial"/>
          <w:color w:val="1A1A1A"/>
          <w:sz w:val="22"/>
          <w:szCs w:val="22"/>
        </w:rPr>
        <w:t xml:space="preserve">“What you’ve earned, delivered.”</w:t>
      </w:r>
    </w:p>
    <w:p>
      <w:pPr>
        <w:spacing w:before="120" w:after="120"/>
      </w:pPr>
    </w:p>
    <w:p>
      <w:r>
        <w:br w:type="page"/>
      </w:r>
    </w:p>
    <w:p>
      <w:pPr>
        <w:pStyle w:val="Heading1"/>
      </w:pPr>
      <w:r>
        <w:t xml:space="preserve">2. Problem Statement</w:t>
      </w:r>
    </w:p>
    <w:p>
      <w:pPr>
        <w:pStyle w:val="Heading2"/>
      </w:pPr>
      <w:r>
        <w:t xml:space="preserve">2.1 The Billing Challenge</w:t>
      </w:r>
    </w:p>
    <w:p>
      <w:pPr>
        <w:spacing w:after="120" w:line="276"/>
      </w:pPr>
      <w:r>
        <w:rPr>
          <w:rFonts w:ascii="Arial" w:cs="Arial" w:eastAsia="Arial" w:hAnsi="Arial"/>
          <w:color w:val="1A1A1A"/>
          <w:sz w:val="22"/>
          <w:szCs w:val="22"/>
        </w:rPr>
        <w:t xml:space="preserve">Alberta’s 11,000+ physicians bill AHCIP through H-Link, a mainframe-era batch processing system with a weekly submission cycle. The billing process is governed by a complex web of rules: the SOMB fee schedule, governing rules (GR 1–13), modifier logic, functional centre requirements, diagnostic code mappings, and specialty-specific constraints. Errors result in rejected claims, delayed payment, and lost revenue.</w:t>
      </w:r>
    </w:p>
    <w:p>
      <w:pPr>
        <w:spacing w:after="120" w:line="276"/>
      </w:pPr>
      <w:r>
        <w:rPr>
          <w:rFonts w:ascii="Arial" w:cs="Arial" w:eastAsia="Arial" w:hAnsi="Arial"/>
          <w:color w:val="1A1A1A"/>
          <w:sz w:val="22"/>
          <w:szCs w:val="22"/>
        </w:rPr>
        <w:t xml:space="preserve">Physicians also bill Workers’ Compensation Board (WCB) Alberta for workplace injury assessments and treatment—particularly in emergency departments and clinics. WCB billing uses a separate fee schedule, requires employer and claim-specific information, and submits through a different electronic pathway. The administrative burden of managing two billing systems with different rules compounds the problem.</w:t>
      </w:r>
    </w:p>
    <w:p>
      <w:pPr>
        <w:spacing w:after="120" w:line="276"/>
      </w:pPr>
      <w:r>
        <w:rPr>
          <w:rFonts w:ascii="Arial" w:cs="Arial" w:eastAsia="Arial" w:hAnsi="Arial"/>
          <w:color w:val="1A1A1A"/>
          <w:sz w:val="22"/>
          <w:szCs w:val="22"/>
        </w:rPr>
        <w:t xml:space="preserve">Physicians currently face a binary choice: manage billing themselves using rudimentary tools (or manual paper-based processes) and accept the cognitive burden and error rate, or outsource to a billing agent at 1–3% of gross billings ($4,000–$24,000+ annually) and surrender visibility into their own revenue.</w:t>
      </w:r>
    </w:p>
    <w:p>
      <w:pPr>
        <w:pStyle w:val="Heading2"/>
      </w:pPr>
      <w:r>
        <w:t xml:space="preserve">2.2 Market Gap</w:t>
      </w:r>
    </w:p>
    <w:p>
      <w:pPr>
        <w:spacing w:after="120" w:line="276"/>
      </w:pPr>
      <w:r>
        <w:rPr>
          <w:rFonts w:ascii="Arial" w:cs="Arial" w:eastAsia="Arial" w:hAnsi="Arial"/>
          <w:color w:val="1A1A1A"/>
          <w:sz w:val="22"/>
          <w:szCs w:val="22"/>
        </w:rPr>
        <w:t xml:space="preserve">No existing Alberta billing product combines self-serve control with intelligent automation:</w:t>
      </w:r>
    </w:p>
    <w:p>
      <w:pPr>
        <w:pStyle w:val="ListParagraph"/>
        <w:numPr>
          <w:ilvl w:val="0"/>
          <w:numId w:val="2"/>
        </w:numPr>
        <w:spacing w:after="60" w:line="276"/>
      </w:pPr>
      <w:r>
        <w:rPr>
          <w:rFonts w:ascii="Arial" w:cs="Arial" w:eastAsia="Arial" w:hAnsi="Arial"/>
          <w:b/>
          <w:bCs/>
          <w:color w:val="1A1A1A"/>
          <w:sz w:val="22"/>
          <w:szCs w:val="22"/>
        </w:rPr>
        <w:t xml:space="preserve">ClinicAid </w:t>
      </w:r>
      <w:r>
        <w:rPr>
          <w:rFonts w:ascii="Arial" w:cs="Arial" w:eastAsia="Arial" w:hAnsi="Arial"/>
          <w:color w:val="1A1A1A"/>
          <w:sz w:val="22"/>
          <w:szCs w:val="22"/>
        </w:rPr>
        <w:t xml:space="preserve">offers self-serve submission but no AI-assisted coding or proactive error prevention.</w:t>
      </w:r>
    </w:p>
    <w:p>
      <w:pPr>
        <w:pStyle w:val="ListParagraph"/>
        <w:numPr>
          <w:ilvl w:val="0"/>
          <w:numId w:val="2"/>
        </w:numPr>
        <w:spacing w:after="60" w:line="276"/>
      </w:pPr>
      <w:r>
        <w:rPr>
          <w:rFonts w:ascii="Arial" w:cs="Arial" w:eastAsia="Arial" w:hAnsi="Arial"/>
          <w:b/>
          <w:bCs/>
          <w:color w:val="1A1A1A"/>
          <w:sz w:val="22"/>
          <w:szCs w:val="22"/>
        </w:rPr>
        <w:t xml:space="preserve">Dr.Bill/MDBilling </w:t>
      </w:r>
      <w:r>
        <w:rPr>
          <w:rFonts w:ascii="Arial" w:cs="Arial" w:eastAsia="Arial" w:hAnsi="Arial"/>
          <w:color w:val="1A1A1A"/>
          <w:sz w:val="22"/>
          <w:szCs w:val="22"/>
        </w:rPr>
        <w:t xml:space="preserve">provides a mobile-first interface but charges percentage-based fees and lacks governing rules validation.</w:t>
      </w:r>
    </w:p>
    <w:p>
      <w:pPr>
        <w:pStyle w:val="ListParagraph"/>
        <w:numPr>
          <w:ilvl w:val="0"/>
          <w:numId w:val="2"/>
        </w:numPr>
        <w:spacing w:after="60" w:line="276"/>
      </w:pPr>
      <w:r>
        <w:rPr>
          <w:rFonts w:ascii="Arial" w:cs="Arial" w:eastAsia="Arial" w:hAnsi="Arial"/>
          <w:b/>
          <w:bCs/>
          <w:color w:val="1A1A1A"/>
          <w:sz w:val="22"/>
          <w:szCs w:val="22"/>
        </w:rPr>
        <w:t xml:space="preserve">ResolvMD </w:t>
      </w:r>
      <w:r>
        <w:rPr>
          <w:rFonts w:ascii="Arial" w:cs="Arial" w:eastAsia="Arial" w:hAnsi="Arial"/>
          <w:color w:val="1A1A1A"/>
          <w:sz w:val="22"/>
          <w:szCs w:val="22"/>
        </w:rPr>
        <w:t xml:space="preserve">leverages AI but operates as a full-service bureau—physicians have no self-serve option.</w:t>
      </w:r>
    </w:p>
    <w:p>
      <w:pPr>
        <w:pStyle w:val="ListParagraph"/>
        <w:numPr>
          <w:ilvl w:val="0"/>
          <w:numId w:val="2"/>
        </w:numPr>
        <w:spacing w:after="60" w:line="276"/>
      </w:pPr>
      <w:r>
        <w:rPr>
          <w:rFonts w:ascii="Arial" w:cs="Arial" w:eastAsia="Arial" w:hAnsi="Arial"/>
          <w:b/>
          <w:bCs/>
          <w:color w:val="1A1A1A"/>
          <w:sz w:val="22"/>
          <w:szCs w:val="22"/>
        </w:rPr>
        <w:t xml:space="preserve">Petal/Statgo </w:t>
      </w:r>
      <w:r>
        <w:rPr>
          <w:rFonts w:ascii="Arial" w:cs="Arial" w:eastAsia="Arial" w:hAnsi="Arial"/>
          <w:color w:val="1A1A1A"/>
          <w:sz w:val="22"/>
          <w:szCs w:val="22"/>
        </w:rPr>
        <w:t xml:space="preserve">focuses on scheduling with billing as a secondary feature.</w:t>
      </w:r>
    </w:p>
    <w:p>
      <w:pPr>
        <w:spacing w:after="120" w:line="276"/>
      </w:pPr>
      <w:r>
        <w:rPr>
          <w:rFonts w:ascii="Arial" w:cs="Arial" w:eastAsia="Arial" w:hAnsi="Arial"/>
          <w:color w:val="1A1A1A"/>
          <w:sz w:val="22"/>
          <w:szCs w:val="22"/>
        </w:rPr>
        <w:t xml:space="preserve">No product serves emergency department physicians with shift-based billing workflows. No product provides real-time governing rules validation in a self-serve context. No product handles both AHCIP and WCB billing in an integrated self-serve interface. No product offers flat-rate pricing that eliminates the penalty for billing more.</w:t>
      </w:r>
    </w:p>
    <w:p>
      <w:pPr>
        <w:spacing w:after="120" w:line="276"/>
      </w:pPr>
      <w:r>
        <w:rPr>
          <w:rFonts w:ascii="Arial" w:cs="Arial" w:eastAsia="Arial" w:hAnsi="Arial"/>
          <w:color w:val="1A1A1A"/>
          <w:sz w:val="22"/>
          <w:szCs w:val="22"/>
        </w:rPr>
        <w:t xml:space="preserve">Critically, no product bridges the gap between EMR-generated billing and intelligent submission. Physicians using EMRs like MedAccess, Wolf, or PS Suite may have basic billing modules, but these perform minimal validation—they don’t check governing rule combinations, flag missed modifiers, detect RRNP gaps, or prompt for after-hours premiums. Claims flow from EMR to H-Link with errors intact. Physicians who bill outside clinic settings (hospital, ED, nursing home, virtual care) have no EMR support at all.</w:t>
      </w:r>
    </w:p>
    <w:p>
      <w:pPr>
        <w:pStyle w:val="Heading2"/>
      </w:pPr>
      <w:r>
        <w:t xml:space="preserve">2.3 The Opportunity</w:t>
      </w:r>
    </w:p>
    <w:p>
      <w:pPr>
        <w:spacing w:after="120" w:line="276"/>
      </w:pPr>
      <w:r>
        <w:rPr>
          <w:rFonts w:ascii="Arial" w:cs="Arial" w:eastAsia="Arial" w:hAnsi="Arial"/>
          <w:color w:val="1A1A1A"/>
          <w:sz w:val="22"/>
          <w:szCs w:val="22"/>
        </w:rPr>
        <w:t xml:space="preserve">Meritum fills this gap: a self-serve platform with the intelligence of a billing agent. By catching missed billings, suggesting applicable modifiers, preventing rejections before submission, and integrating AHCIP and WCB workflows in a single interface, Meritum pays for itself in recovered revenue—typically within the first week of use. For physicians using EMRs, Meritum acts as an intelligent validation layer between the EMR and H-Link—catching what the EMR misses without requiring a workflow change. For physicians in settings where no EMR reaches, Meritum provides the complete billing workflow. The flat-rate pricing model means physicians benefit fully from every additional dollar billed, creating natural alignment between the platform’s value and the physician’s revenue.</w:t>
      </w:r>
    </w:p>
    <w:p>
      <w:pPr>
        <w:spacing w:before="120" w:after="120"/>
      </w:pPr>
    </w:p>
    <w:p>
      <w:r>
        <w:br w:type="page"/>
      </w:r>
    </w:p>
    <w:p>
      <w:pPr>
        <w:pStyle w:val="Heading1"/>
      </w:pPr>
      <w:r>
        <w:t xml:space="preserve">3. User Personas</w:t>
      </w:r>
    </w:p>
    <w:p>
      <w:pPr>
        <w:pStyle w:val="Heading2"/>
      </w:pPr>
      <w:r>
        <w:t xml:space="preserve">3.1 Dr. Sarah — Rural Family Physician</w:t>
      </w:r>
    </w:p>
    <w:p>
      <w:pPr>
        <w:spacing w:after="120" w:line="276"/>
      </w:pPr>
      <w:r>
        <w:rPr>
          <w:rFonts w:ascii="Arial" w:cs="Arial" w:eastAsia="Arial" w:hAnsi="Arial"/>
          <w:b/>
          <w:bCs/>
          <w:color w:val="1B4D3E"/>
          <w:sz w:val="22"/>
          <w:szCs w:val="22"/>
        </w:rPr>
        <w:t xml:space="preserve">EMR segment: </w:t>
      </w:r>
      <w:r>
        <w:rPr>
          <w:rFonts w:ascii="Arial" w:cs="Arial" w:eastAsia="Arial" w:hAnsi="Arial"/>
          <w:color w:val="1A1A1A"/>
          <w:sz w:val="22"/>
          <w:szCs w:val="22"/>
        </w:rPr>
        <w:t xml:space="preserve">Segment 1 (clinic billing via EMR) + Segment 3 (hospital/nursing home/obstetric billing outside EMR)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Setting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Community clinic in a town of 4,000, 45 min from nearest city</w:t>
            </w:r>
          </w:p>
        </w:tc>
      </w:tr>
      <w:tr>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Practice profile</w:t>
            </w:r>
          </w:p>
        </w:tc>
        <w:tc>
          <w:tcPr>
            <w:tcW w:type="dxa" w:w="6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Full-scope family medicine: office visits, hospital rounding, nursing home visits, obstetrical deliveries, virtual care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Billing context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Multiple functional centres (office, hospital, auxiliary hospital), RRNP modifier eligible, PCPCM-enrolled</w:t>
            </w:r>
          </w:p>
        </w:tc>
      </w:tr>
      <w:tr>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Current approach</w:t>
            </w:r>
          </w:p>
        </w:tc>
        <w:tc>
          <w:tcPr>
            <w:tcW w:type="dxa" w:w="6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Uses a part-time billing clerk who submits via ClinicAid; Sarah reviews nothing and discovers rejections months later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Pain points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Regularly misses RRNP premiums on hospital visits, under-bills obstetric codes, doesn’t claim after-hours premiums for weekend rounding, no visibility into rejection patterns</w:t>
            </w:r>
          </w:p>
        </w:tc>
      </w:tr>
      <w:tr>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Annual billings</w:t>
            </w:r>
          </w:p>
        </w:tc>
        <w:tc>
          <w:tcPr>
            <w:tcW w:type="dxa" w:w="6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~$450,000 FFS + shadow billing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Revenue at risk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$15,000–$30,000/year in missed billings and preventable rejections</w:t>
            </w:r>
          </w:p>
        </w:tc>
      </w:tr>
      <w:tr>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Meritum value</w:t>
            </w:r>
          </w:p>
        </w:tc>
        <w:tc>
          <w:tcPr>
            <w:tcW w:type="dxa" w:w="6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AI Coach catches RRNP gaps, suggests after-hours premiums, flags under-coded obstetric visits; tiered auto-submission means claims flow without needing to remember Thursday deadlines; shift to self-serve saves billing clerk cost</w:t>
            </w:r>
          </w:p>
        </w:tc>
      </w:tr>
    </w:tbl>
    <w:p>
      <w:pPr>
        <w:spacing w:before="120" w:after="120"/>
      </w:pPr>
    </w:p>
    <w:p>
      <w:pPr>
        <w:pStyle w:val="Heading2"/>
      </w:pPr>
      <w:r>
        <w:t xml:space="preserve">3.2 Dr. James — Emergency Department Physician</w:t>
      </w:r>
    </w:p>
    <w:p>
      <w:pPr>
        <w:spacing w:after="120" w:line="276"/>
      </w:pPr>
      <w:r>
        <w:rPr>
          <w:rFonts w:ascii="Arial" w:cs="Arial" w:eastAsia="Arial" w:hAnsi="Arial"/>
          <w:b/>
          <w:bCs/>
          <w:color w:val="1B4D3E"/>
          <w:sz w:val="22"/>
          <w:szCs w:val="22"/>
        </w:rPr>
        <w:t xml:space="preserve">EMR segment: </w:t>
      </w:r>
      <w:r>
        <w:rPr>
          <w:rFonts w:ascii="Arial" w:cs="Arial" w:eastAsia="Arial" w:hAnsi="Arial"/>
          <w:color w:val="1A1A1A"/>
          <w:sz w:val="22"/>
          <w:szCs w:val="22"/>
        </w:rPr>
        <w:t xml:space="preserve">Segment 3 (ED billing entirely outside clinic EMR)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Setting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Regional hospital ED, works 12–14 shift blocks per month</w:t>
            </w:r>
          </w:p>
        </w:tc>
      </w:tr>
      <w:tr>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Practice profile</w:t>
            </w:r>
          </w:p>
        </w:tc>
        <w:tc>
          <w:tcPr>
            <w:tcW w:type="dxa" w:w="6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Pure ED: trauma, acute presentations, minor procedures, shift-based billing with call-in premiums; significant WCB caseload (workplace injuries)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Billing context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Single functional centre (ED), heavy modifier use (CMGP, LSCD, after-hours), surcharge codes (13.99H/HA), time-sensitive documentation; dual AHCIP/WCB billing</w:t>
            </w:r>
          </w:p>
        </w:tc>
      </w:tr>
      <w:tr>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Current approach</w:t>
            </w:r>
          </w:p>
        </w:tc>
        <w:tc>
          <w:tcPr>
            <w:tcW w:type="dxa" w:w="6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Keeps a paper log during shifts, hands it to a billing agent post-shift; agent submits AHCIP weekly; WCB claims often delayed or missed entirely due to paperwork burden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Pain points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Paper logs lose detail (exact times, modifiers); agent charges 1.5% ($6,000+/year); no real-time feedback on what he’s capturing vs. missing; 3–4 week lag on rejection visibility; WCB claims require employer info he doesn’t capture at point of care</w:t>
            </w:r>
          </w:p>
        </w:tc>
      </w:tr>
      <w:tr>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Annual billings</w:t>
            </w:r>
          </w:p>
        </w:tc>
        <w:tc>
          <w:tcPr>
            <w:tcW w:type="dxa" w:w="6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~$400,000 FFS + ~$40,000 WCB</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Revenue at risk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$10,000–$20,000/year from missed time modifiers, after-hours premiums, and delayed/abandoned WCB claims</w:t>
            </w:r>
          </w:p>
        </w:tc>
      </w:tr>
      <w:tr>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Meritum value</w:t>
            </w:r>
          </w:p>
        </w:tc>
        <w:tc>
          <w:tcPr>
            <w:tcW w:type="dxa" w:w="6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Mobile shift workflow replaces paper log; real-time modifier prompts during entry; AI Coach flags missed call-in premiums and CMGP time units; integrated WCB claim entry with employer/claim capture prompts; auto-submission of clean claims means post-call sleep doesn’t delay billing; flat rate saves $6,000/year vs. percentage billing agent</w:t>
            </w:r>
          </w:p>
        </w:tc>
      </w:tr>
    </w:tbl>
    <w:p>
      <w:pPr>
        <w:spacing w:before="120" w:after="120"/>
      </w:pPr>
    </w:p>
    <w:p>
      <w:pPr>
        <w:pStyle w:val="Heading2"/>
      </w:pPr>
      <w:r>
        <w:t xml:space="preserve">3.3 Dr. Priya — Urban Specialist (Internal Medicine)</w:t>
      </w:r>
    </w:p>
    <w:p>
      <w:pPr>
        <w:spacing w:after="120" w:line="276"/>
      </w:pPr>
      <w:r>
        <w:rPr>
          <w:rFonts w:ascii="Arial" w:cs="Arial" w:eastAsia="Arial" w:hAnsi="Arial"/>
          <w:b/>
          <w:bCs/>
          <w:color w:val="1B4D3E"/>
          <w:sz w:val="22"/>
          <w:szCs w:val="22"/>
        </w:rPr>
        <w:t xml:space="preserve">EMR segment: </w:t>
      </w:r>
      <w:r>
        <w:rPr>
          <w:rFonts w:ascii="Arial" w:cs="Arial" w:eastAsia="Arial" w:hAnsi="Arial"/>
          <w:color w:val="1A1A1A"/>
          <w:sz w:val="22"/>
          <w:szCs w:val="22"/>
        </w:rPr>
        <w:t xml:space="preserve">Segment 2 (EMR for documentation, billing entered separately) + Segment 3 (hospital consults outside EMR)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Setting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Office-based internal medicine practice in Edmonton, hospital consultations</w:t>
            </w:r>
          </w:p>
        </w:tc>
      </w:tr>
      <w:tr>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Practice profile</w:t>
            </w:r>
          </w:p>
        </w:tc>
        <w:tc>
          <w:tcPr>
            <w:tcW w:type="dxa" w:w="6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Outpatient consultations, follow-ups, hospital consults, procedures (e.g., joint injections, skin biopsies)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Billing context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Referral-dependent (GR 8 compliance critical), multiple HSC per visit common, consultation vs. follow-up distinction matters for revenue</w:t>
            </w:r>
          </w:p>
        </w:tc>
      </w:tr>
      <w:tr>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Current approach</w:t>
            </w:r>
          </w:p>
        </w:tc>
        <w:tc>
          <w:tcPr>
            <w:tcW w:type="dxa" w:w="6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Self-bills using a spreadsheet exported to CSV, manually cross-references SOMB codes; misses combination billing opportunities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Pain points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Referral tracking is manual and error-prone; doesn’t know which code combinations are permitted under GR 5; spends 3–4 hours/week on billing administration</w:t>
            </w:r>
          </w:p>
        </w:tc>
      </w:tr>
      <w:tr>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Annual billings</w:t>
            </w:r>
          </w:p>
        </w:tc>
        <w:tc>
          <w:tcPr>
            <w:tcW w:type="dxa" w:w="6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~$550,000 FFS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Revenue at risk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$8,000–$15,000/year from missed combination billings and referral-related rejections</w:t>
            </w:r>
          </w:p>
        </w:tc>
      </w:tr>
      <w:tr>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Meritum value</w:t>
            </w:r>
          </w:p>
        </w:tc>
        <w:tc>
          <w:tcPr>
            <w:tcW w:type="dxa" w:w="6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GR 5 combination validation in real-time; referral tracking with GR 8 compliance alerts; AI Coach suggests commonly missed procedure add-ons; time savings of 3+ hours/week</w:t>
            </w:r>
          </w:p>
        </w:tc>
      </w:tr>
    </w:tbl>
    <w:p>
      <w:pPr>
        <w:spacing w:before="120" w:after="120"/>
      </w:pPr>
    </w:p>
    <w:p>
      <w:pPr>
        <w:pStyle w:val="Heading2"/>
      </w:pPr>
      <w:r>
        <w:t xml:space="preserve">3.4 Dr. Amir — Rural Radiologist</w:t>
      </w:r>
    </w:p>
    <w:p>
      <w:pPr>
        <w:spacing w:after="120" w:line="276"/>
      </w:pPr>
      <w:r>
        <w:rPr>
          <w:rFonts w:ascii="Arial" w:cs="Arial" w:eastAsia="Arial" w:hAnsi="Arial"/>
          <w:b/>
          <w:bCs/>
          <w:color w:val="1B4D3E"/>
          <w:sz w:val="22"/>
          <w:szCs w:val="22"/>
        </w:rPr>
        <w:t xml:space="preserve">EMR segment: </w:t>
      </w:r>
      <w:r>
        <w:rPr>
          <w:rFonts w:ascii="Arial" w:cs="Arial" w:eastAsia="Arial" w:hAnsi="Arial"/>
          <w:color w:val="1A1A1A"/>
          <w:sz w:val="22"/>
          <w:szCs w:val="22"/>
        </w:rPr>
        <w:t xml:space="preserve">Segment 3 (multi-site radiology reads outside any single clinic EMR)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Setting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Serves three rural hospitals via on-site and teleradiology; reads from home office 60% of the time</w:t>
            </w:r>
          </w:p>
        </w:tc>
      </w:tr>
      <w:tr>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Practice profile</w:t>
            </w:r>
          </w:p>
        </w:tc>
        <w:tc>
          <w:tcPr>
            <w:tcW w:type="dxa" w:w="6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High-volume diagnostic imaging interpretation: X-ray, CT, ultrasound, MRI reads across multiple sites; on-call coverage for urgent reads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Billing context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Multiple functional centres (each hospital site + teleradiology); high claim volume (15–40 reads per day); repetitive code patterns with site-specific modifiers; after-hours and on-call premiums for urgent reads; RRNP eligible</w:t>
            </w:r>
          </w:p>
        </w:tc>
      </w:tr>
      <w:tr>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Current approach</w:t>
            </w:r>
          </w:p>
        </w:tc>
        <w:tc>
          <w:tcPr>
            <w:tcW w:type="dxa" w:w="6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Bills through a shared billing clerk who handles multiple radiologists; clerk batches claims weekly from a dictation log; significant lag between service and submission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Pain points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Multi-site billing creates functional centre errors; after-hours reads often missed for premium modifiers; RRNP not consistently applied across all sites; high volume means small per-claim errors compound to significant annual losses; clerk doesn’t understand radiology-specific code nuances</w:t>
            </w:r>
          </w:p>
        </w:tc>
      </w:tr>
      <w:tr>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Annual billings</w:t>
            </w:r>
          </w:p>
        </w:tc>
        <w:tc>
          <w:tcPr>
            <w:tcW w:type="dxa" w:w="6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~$600,000–$800,000 FFS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Revenue at risk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$20,000–$40,000/year from missed after-hours premiums, RRNP gaps, and functional centre errors</w:t>
            </w:r>
          </w:p>
        </w:tc>
      </w:tr>
      <w:tr>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Meritum value</w:t>
            </w:r>
          </w:p>
        </w:tc>
        <w:tc>
          <w:tcPr>
            <w:tcW w:type="dxa" w:w="6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Rapid-fire code entry optimised for high-volume repetitive billing; automatic functional centre selection based on site; RRNP applied consistently; after-hours premium detection based on read timestamp; AI Coach learns radiology-specific patterns; auto-submission of clean claims handles the volume without manual review bottleneck</w:t>
            </w:r>
          </w:p>
        </w:tc>
      </w:tr>
    </w:tbl>
    <w:p>
      <w:pPr>
        <w:spacing w:before="120" w:after="120"/>
      </w:pPr>
    </w:p>
    <w:p>
      <w:pPr>
        <w:pStyle w:val="Heading2"/>
      </w:pPr>
      <w:r>
        <w:t xml:space="preserve">3.5 Karen — Medical Office Administrator / Delegate</w:t>
      </w:r>
    </w:p>
    <w:p>
      <w:pPr>
        <w:spacing w:after="120" w:line="276"/>
      </w:pPr>
      <w:r>
        <w:rPr>
          <w:rFonts w:ascii="Arial" w:cs="Arial" w:eastAsia="Arial" w:hAnsi="Arial"/>
          <w:b/>
          <w:bCs/>
          <w:color w:val="1B4D3E"/>
          <w:sz w:val="22"/>
          <w:szCs w:val="22"/>
        </w:rPr>
        <w:t xml:space="preserve">EMR segment: </w:t>
      </w:r>
      <w:r>
        <w:rPr>
          <w:rFonts w:ascii="Arial" w:cs="Arial" w:eastAsia="Arial" w:hAnsi="Arial"/>
          <w:color w:val="1A1A1A"/>
          <w:sz w:val="22"/>
          <w:szCs w:val="22"/>
        </w:rPr>
        <w:t xml:space="preserve">Manages physicians across segments; most likely handles batch import from clinic EMR (Segment 1) and direct entry for non-EMR billing (Segment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Setting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Multi-physician family practice (3 doctors)</w:t>
            </w:r>
          </w:p>
        </w:tc>
      </w:tr>
      <w:tr>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Practice profile</w:t>
            </w:r>
          </w:p>
        </w:tc>
        <w:tc>
          <w:tcPr>
            <w:tcW w:type="dxa" w:w="6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Manages billing for all three physicians; handles patient demographics, claim entry, rejection follow-up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Billing context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Delegate access to multiple physician BA numbers; needs batch workflows and efficiency tools; granted batch approval authority by physicians</w:t>
            </w:r>
          </w:p>
        </w:tc>
      </w:tr>
      <w:tr>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Current approach</w:t>
            </w:r>
          </w:p>
        </w:tc>
        <w:tc>
          <w:tcPr>
            <w:tcW w:type="dxa" w:w="6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Uses ClinicAid but finds it requires too much SOMB knowledge; frequently submits claims that get rejected due to rule violations she doesn’t understand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Pain points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 training on governing rules; each physician has different billing patterns and preferences; rejection explanatory codes are cryptic; needs to context-switch between physicians constantly</w:t>
            </w:r>
          </w:p>
        </w:tc>
      </w:tr>
      <w:tr>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Meritum value</w:t>
            </w:r>
          </w:p>
        </w:tc>
        <w:tc>
          <w:tcPr>
            <w:tcW w:type="dxa" w:w="6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Pre-submission validation catches errors before they become rejections; AI Coach explains why a claim might be rejected in plain language; multi-provider dashboard; batch approval delegation means physicians don’t need to be present for Thursday submissions; rejection analytics identify systemic issues</w:t>
            </w:r>
          </w:p>
        </w:tc>
      </w:tr>
    </w:tbl>
    <w:p>
      <w:pPr>
        <w:spacing w:before="120" w:after="120"/>
      </w:pPr>
    </w:p>
    <w:p>
      <w:pPr>
        <w:pStyle w:val="Heading2"/>
      </w:pPr>
      <w:r>
        <w:t xml:space="preserve">3.6 Workflow Variant: Locum Physicians</w:t>
      </w:r>
    </w:p>
    <w:p>
      <w:pPr>
        <w:spacing w:after="120" w:line="276"/>
      </w:pPr>
      <w:r>
        <w:rPr>
          <w:rFonts w:ascii="Arial" w:cs="Arial" w:eastAsia="Arial" w:hAnsi="Arial"/>
          <w:color w:val="1A1A1A"/>
          <w:sz w:val="22"/>
          <w:szCs w:val="22"/>
        </w:rPr>
        <w:t xml:space="preserve">Rural Alberta depends heavily on locum (temporary/relief) physicians who work short rotations—often a few days to a few weeks—at multiple facilities. Locum physicians bill under their own BA and PRAC ID but work at different hospitals, clinics, and communities in rapid succession. Meritum must support:</w:t>
      </w:r>
    </w:p>
    <w:p>
      <w:pPr>
        <w:pStyle w:val="ListParagraph"/>
        <w:numPr>
          <w:ilvl w:val="0"/>
          <w:numId w:val="2"/>
        </w:numPr>
        <w:spacing w:after="60" w:line="276"/>
      </w:pPr>
      <w:r>
        <w:rPr>
          <w:rFonts w:ascii="Arial" w:cs="Arial" w:eastAsia="Arial" w:hAnsi="Arial"/>
          <w:color w:val="1A1A1A"/>
          <w:sz w:val="22"/>
          <w:szCs w:val="22"/>
        </w:rPr>
        <w:t xml:space="preserve">Easy switching between practice locations and functional centres without reconfiguring the account</w:t>
      </w:r>
    </w:p>
    <w:p>
      <w:pPr>
        <w:pStyle w:val="ListParagraph"/>
        <w:numPr>
          <w:ilvl w:val="0"/>
          <w:numId w:val="2"/>
        </w:numPr>
        <w:spacing w:after="60" w:line="276"/>
      </w:pPr>
      <w:r>
        <w:rPr>
          <w:rFonts w:ascii="Arial" w:cs="Arial" w:eastAsia="Arial" w:hAnsi="Arial"/>
          <w:color w:val="1A1A1A"/>
          <w:sz w:val="22"/>
          <w:szCs w:val="22"/>
        </w:rPr>
        <w:t xml:space="preserve">RRNP rates that change by community (a locum may work in two RRNP-eligible communities with different percentage rates in the same week)</w:t>
      </w:r>
    </w:p>
    <w:p>
      <w:pPr>
        <w:pStyle w:val="ListParagraph"/>
        <w:numPr>
          <w:ilvl w:val="0"/>
          <w:numId w:val="2"/>
        </w:numPr>
        <w:spacing w:after="60" w:line="276"/>
      </w:pPr>
      <w:r>
        <w:rPr>
          <w:rFonts w:ascii="Arial" w:cs="Arial" w:eastAsia="Arial" w:hAnsi="Arial"/>
          <w:color w:val="1A1A1A"/>
          <w:sz w:val="22"/>
          <w:szCs w:val="22"/>
        </w:rPr>
        <w:t xml:space="preserve">Quick onboarding for physicians who may only use the platform during rural rotations</w:t>
      </w:r>
    </w:p>
    <w:p>
      <w:pPr>
        <w:pStyle w:val="ListParagraph"/>
        <w:numPr>
          <w:ilvl w:val="0"/>
          <w:numId w:val="2"/>
        </w:numPr>
        <w:spacing w:after="60" w:line="276"/>
      </w:pPr>
      <w:r>
        <w:rPr>
          <w:rFonts w:ascii="Arial" w:cs="Arial" w:eastAsia="Arial" w:hAnsi="Arial"/>
          <w:color w:val="1A1A1A"/>
          <w:sz w:val="22"/>
          <w:szCs w:val="22"/>
        </w:rPr>
        <w:t xml:space="preserve">Multi-site billing summaries for locum physicians who need to track revenue by location for contract reconciliation</w:t>
      </w:r>
    </w:p>
    <w:p>
      <w:pPr>
        <w:spacing w:after="120" w:line="276"/>
      </w:pPr>
      <w:r>
        <w:rPr>
          <w:rFonts w:ascii="Arial" w:cs="Arial" w:eastAsia="Arial" w:hAnsi="Arial"/>
          <w:color w:val="1A1A1A"/>
          <w:sz w:val="22"/>
          <w:szCs w:val="22"/>
        </w:rPr>
        <w:t xml:space="preserve">The locum workflow does not require a separate persona but imposes design constraints on Provider Management (multi-location profiles), Claim Lifecycle (location-aware defaults), and Analytics (per-site revenue breakdowns).</w:t>
      </w:r>
    </w:p>
    <w:p>
      <w:pPr>
        <w:spacing w:before="120" w:after="120"/>
      </w:pPr>
    </w:p>
    <w:p>
      <w:r>
        <w:br w:type="page"/>
      </w:r>
    </w:p>
    <w:p>
      <w:pPr>
        <w:pStyle w:val="Heading1"/>
      </w:pPr>
      <w:r>
        <w:t xml:space="preserve">4. Product Vision &amp; Principles</w:t>
      </w:r>
    </w:p>
    <w:p>
      <w:pPr>
        <w:pStyle w:val="Heading2"/>
      </w:pPr>
      <w:r>
        <w:t xml:space="preserve">4.1 Vision Statement</w:t>
      </w:r>
    </w:p>
    <w:p>
      <w:pPr>
        <w:spacing w:after="120" w:line="276"/>
      </w:pPr>
      <w:r>
        <w:rPr>
          <w:rFonts w:ascii="Arial" w:cs="Arial" w:eastAsia="Arial" w:hAnsi="Arial"/>
          <w:color w:val="1A1A1A"/>
          <w:sz w:val="22"/>
          <w:szCs w:val="22"/>
        </w:rPr>
        <w:t xml:space="preserve">Meritum makes Alberta physicians the most effective billers of their own services—capturing every dollar they’ve earned, with confidence that every claim is compliant before it leaves their hands.</w:t>
      </w:r>
    </w:p>
    <w:p>
      <w:pPr>
        <w:pStyle w:val="Heading2"/>
      </w:pPr>
      <w:r>
        <w:t xml:space="preserve">4.2 Design Principles</w:t>
      </w:r>
    </w:p>
    <w:p>
      <w:pPr>
        <w:spacing w:before="60" w:after="60"/>
      </w:pPr>
    </w:p>
    <w:p>
      <w:pPr>
        <w:pStyle w:val="Heading3"/>
      </w:pPr>
      <w:r>
        <w:t xml:space="preserve">Principle 1: Invisible Complexity</w:t>
      </w:r>
    </w:p>
    <w:p>
      <w:pPr>
        <w:spacing w:after="120" w:line="276"/>
      </w:pPr>
      <w:r>
        <w:rPr>
          <w:rFonts w:ascii="Arial" w:cs="Arial" w:eastAsia="Arial" w:hAnsi="Arial"/>
          <w:color w:val="1A1A1A"/>
          <w:sz w:val="22"/>
          <w:szCs w:val="22"/>
        </w:rPr>
        <w:t xml:space="preserve">The SOMB has 6,000+ codes, 13+ governing rules, dozens of modifiers, and hundreds of edge cases. WCB adds a separate fee schedule and submission pathway. Meritum absorbs this complexity so the physician doesn’t have to. The interface should feel simple even when the underlying logic is not. Validation happens silently; the user only sees a result when action is needed.</w:t>
      </w:r>
    </w:p>
    <w:p>
      <w:pPr>
        <w:pStyle w:val="Heading3"/>
      </w:pPr>
      <w:r>
        <w:t xml:space="preserve">Principle 2: Trust Through Transparency</w:t>
      </w:r>
    </w:p>
    <w:p>
      <w:pPr>
        <w:spacing w:after="120" w:line="276"/>
      </w:pPr>
      <w:r>
        <w:rPr>
          <w:rFonts w:ascii="Arial" w:cs="Arial" w:eastAsia="Arial" w:hAnsi="Arial"/>
          <w:color w:val="1A1A1A"/>
          <w:sz w:val="22"/>
          <w:szCs w:val="22"/>
        </w:rPr>
        <w:t xml:space="preserve">Physicians are entrusting Meritum with their livelihood. Every AI suggestion must be explainable with a citation to its source (SOMB section, governing rule number, WCB policy). Every validation rule must be traceable. Every claim state must be visible and auditable. No black boxes.</w:t>
      </w:r>
    </w:p>
    <w:p>
      <w:pPr>
        <w:pStyle w:val="Heading3"/>
      </w:pPr>
      <w:r>
        <w:t xml:space="preserve">Principle 3: Speed of Thought</w:t>
      </w:r>
    </w:p>
    <w:p>
      <w:pPr>
        <w:spacing w:after="120" w:line="276"/>
      </w:pPr>
      <w:r>
        <w:rPr>
          <w:rFonts w:ascii="Arial" w:cs="Arial" w:eastAsia="Arial" w:hAnsi="Arial"/>
          <w:color w:val="1A1A1A"/>
          <w:sz w:val="22"/>
          <w:szCs w:val="22"/>
        </w:rPr>
        <w:t xml:space="preserve">A physician entering a claim in a 30-second gap between patients cannot tolerate latency. Claim entry must be faster than any alternative—paper, spreadsheet, or competing software. Target: under 15 seconds from opening a new claim to submission-ready for a routine office visit. For ED shift workflows, patient logging should be faster than writing on paper.</w:t>
      </w:r>
    </w:p>
    <w:p>
      <w:pPr>
        <w:pStyle w:val="Heading3"/>
      </w:pPr>
      <w:r>
        <w:t xml:space="preserve">Principle 4: Mobile-First for Mobile Work</w:t>
      </w:r>
    </w:p>
    <w:p>
      <w:pPr>
        <w:spacing w:after="120" w:line="276"/>
      </w:pPr>
      <w:r>
        <w:rPr>
          <w:rFonts w:ascii="Arial" w:cs="Arial" w:eastAsia="Arial" w:hAnsi="Arial"/>
          <w:color w:val="1A1A1A"/>
          <w:sz w:val="22"/>
          <w:szCs w:val="22"/>
        </w:rPr>
        <w:t xml:space="preserve">Hospital rounding, ED shifts, and nursing home visits happen away from a desk. The responsive web interface must be a first-class mobile experience from day one, with the architecture designed to support native iOS and Android apps without requiring a significant codebase rewrite. API-first backend design ensures any future client gets full platform capability.</w:t>
      </w:r>
    </w:p>
    <w:p>
      <w:pPr>
        <w:pStyle w:val="Heading3"/>
      </w:pPr>
      <w:r>
        <w:t xml:space="preserve">Principle 5: Security as Foundation</w:t>
      </w:r>
    </w:p>
    <w:p>
      <w:pPr>
        <w:spacing w:after="120" w:line="276"/>
      </w:pPr>
      <w:r>
        <w:rPr>
          <w:rFonts w:ascii="Arial" w:cs="Arial" w:eastAsia="Arial" w:hAnsi="Arial"/>
          <w:color w:val="1A1A1A"/>
          <w:sz w:val="22"/>
          <w:szCs w:val="22"/>
        </w:rPr>
        <w:t xml:space="preserve">PHI handling under HIA is not a feature—it’s the foundation. Every architectural decision starts with “what is the most secure option?” Encryption at rest and in transit, mandatory MFA, role-based access, comprehensive audit logging, and Canadian data residency are baseline requirements, not enhancements.</w:t>
      </w:r>
    </w:p>
    <w:p>
      <w:pPr>
        <w:pStyle w:val="Heading3"/>
      </w:pPr>
      <w:r>
        <w:t xml:space="preserve">Principle 6: Intelligent Autonomy</w:t>
      </w:r>
    </w:p>
    <w:p>
      <w:pPr>
        <w:spacing w:after="120" w:line="276"/>
      </w:pPr>
      <w:r>
        <w:rPr>
          <w:rFonts w:ascii="Arial" w:cs="Arial" w:eastAsia="Arial" w:hAnsi="Arial"/>
          <w:color w:val="1A1A1A"/>
          <w:sz w:val="22"/>
          <w:szCs w:val="22"/>
        </w:rPr>
        <w:t xml:space="preserve">The system should handle routine operations without requiring physician intervention at specific times. Clean claims submit automatically. Notifications are informative, not demanding. The physician stays in control through configuration, not through constant attendance. A surgeon in the OR at Thursday noon should not lose a week’s billing because the system required a button press.</w:t>
      </w:r>
    </w:p>
    <w:p>
      <w:pPr>
        <w:pStyle w:val="Heading3"/>
      </w:pPr>
      <w:r>
        <w:t xml:space="preserve">Principle 7: Earn the Right to Expand</w:t>
      </w:r>
    </w:p>
    <w:p>
      <w:pPr>
        <w:spacing w:after="120" w:line="276"/>
      </w:pPr>
      <w:r>
        <w:rPr>
          <w:rFonts w:ascii="Arial" w:cs="Arial" w:eastAsia="Arial" w:hAnsi="Arial"/>
          <w:color w:val="1A1A1A"/>
          <w:sz w:val="22"/>
          <w:szCs w:val="22"/>
        </w:rPr>
        <w:t xml:space="preserve">Launch in Alberta. Prove the model. Only then consider expansion. Depth in one province’s billing system is more valuable than shallow coverage across many. The reference data architecture should be province-agnostic, but the MVP is Alberta-only.</w:t>
      </w:r>
    </w:p>
    <w:p>
      <w:pPr>
        <w:spacing w:before="120" w:after="120"/>
      </w:pPr>
    </w:p>
    <w:p>
      <w:r>
        <w:br w:type="page"/>
      </w:r>
    </w:p>
    <w:p>
      <w:pPr>
        <w:pStyle w:val="Heading1"/>
      </w:pPr>
      <w:r>
        <w:t xml:space="preserve">5. MVP Scope</w:t>
      </w:r>
    </w:p>
    <w:p>
      <w:pPr>
        <w:spacing w:after="120" w:line="276"/>
      </w:pPr>
      <w:r>
        <w:rPr>
          <w:rFonts w:ascii="Arial" w:cs="Arial" w:eastAsia="Arial" w:hAnsi="Arial"/>
          <w:color w:val="1A1A1A"/>
          <w:sz w:val="22"/>
          <w:szCs w:val="22"/>
        </w:rPr>
        <w:t xml:space="preserve">The MVP scope is defined by a single question: what is the minimum product that a physician would pay $279/month for and recommend to a colleague? The answer requires three things: reliable claim submission across both AHCIP and WCB, intelligent validation that catches money-leaving-the-table errors, and an experience that’s faster than their current workflow.</w:t>
      </w:r>
    </w:p>
    <w:p>
      <w:pPr>
        <w:pStyle w:val="Heading2"/>
      </w:pPr>
      <w:r>
        <w:t xml:space="preserve">5.1 MVP Features (Must Ship)</w:t>
      </w:r>
    </w:p>
    <w:p>
      <w:pPr>
        <w:spacing w:before="60" w:after="60"/>
      </w:pPr>
    </w:p>
    <w:p>
      <w:pPr>
        <w:pStyle w:val="Heading3"/>
      </w:pPr>
      <w:r>
        <w:t xml:space="preserve">Identity &amp; Access</w:t>
      </w:r>
    </w:p>
    <w:p>
      <w:pPr>
        <w:pStyle w:val="ListParagraph"/>
        <w:numPr>
          <w:ilvl w:val="0"/>
          <w:numId w:val="2"/>
        </w:numPr>
        <w:spacing w:after="60" w:line="276"/>
      </w:pPr>
      <w:r>
        <w:rPr>
          <w:rFonts w:ascii="Arial" w:cs="Arial" w:eastAsia="Arial" w:hAnsi="Arial"/>
          <w:color w:val="1A1A1A"/>
          <w:sz w:val="22"/>
          <w:szCs w:val="22"/>
        </w:rPr>
        <w:t xml:space="preserve">Physician registration with email/password + mandatory MFA (TOTP)</w:t>
      </w:r>
    </w:p>
    <w:p>
      <w:pPr>
        <w:pStyle w:val="ListParagraph"/>
        <w:numPr>
          <w:ilvl w:val="0"/>
          <w:numId w:val="2"/>
        </w:numPr>
        <w:spacing w:after="60" w:line="276"/>
      </w:pPr>
      <w:r>
        <w:rPr>
          <w:rFonts w:ascii="Arial" w:cs="Arial" w:eastAsia="Arial" w:hAnsi="Arial"/>
          <w:color w:val="1A1A1A"/>
          <w:sz w:val="22"/>
          <w:szCs w:val="22"/>
        </w:rPr>
        <w:t xml:space="preserve">Role-based access: Physician (full), Delegate (scoped by physician, with configurable permissions including batch approval authority), Admin</w:t>
      </w:r>
    </w:p>
    <w:p>
      <w:pPr>
        <w:pStyle w:val="ListParagraph"/>
        <w:numPr>
          <w:ilvl w:val="0"/>
          <w:numId w:val="2"/>
        </w:numPr>
        <w:spacing w:after="60" w:line="276"/>
      </w:pPr>
      <w:r>
        <w:rPr>
          <w:rFonts w:ascii="Arial" w:cs="Arial" w:eastAsia="Arial" w:hAnsi="Arial"/>
          <w:color w:val="1A1A1A"/>
          <w:sz w:val="22"/>
          <w:szCs w:val="22"/>
        </w:rPr>
        <w:t xml:space="preserve">Session management, audit logging of all access events</w:t>
      </w:r>
    </w:p>
    <w:p>
      <w:pPr>
        <w:pStyle w:val="ListParagraph"/>
        <w:numPr>
          <w:ilvl w:val="0"/>
          <w:numId w:val="2"/>
        </w:numPr>
        <w:spacing w:after="60" w:line="276"/>
      </w:pPr>
      <w:r>
        <w:rPr>
          <w:rFonts w:ascii="Arial" w:cs="Arial" w:eastAsia="Arial" w:hAnsi="Arial"/>
          <w:color w:val="1A1A1A"/>
          <w:sz w:val="22"/>
          <w:szCs w:val="22"/>
        </w:rPr>
        <w:t xml:space="preserve">Delegate invitation and permission management</w:t>
      </w:r>
    </w:p>
    <w:p>
      <w:pPr>
        <w:pStyle w:val="Heading3"/>
      </w:pPr>
      <w:r>
        <w:t xml:space="preserve">Provider Management</w:t>
      </w:r>
    </w:p>
    <w:p>
      <w:pPr>
        <w:pStyle w:val="ListParagraph"/>
        <w:numPr>
          <w:ilvl w:val="0"/>
          <w:numId w:val="2"/>
        </w:numPr>
        <w:spacing w:after="60" w:line="276"/>
      </w:pPr>
      <w:r>
        <w:rPr>
          <w:rFonts w:ascii="Arial" w:cs="Arial" w:eastAsia="Arial" w:hAnsi="Arial"/>
          <w:color w:val="1A1A1A"/>
          <w:sz w:val="22"/>
          <w:szCs w:val="22"/>
        </w:rPr>
        <w:t xml:space="preserve">Physician profile: PRAC ID, BA number(s), specialty, practice settings</w:t>
      </w:r>
    </w:p>
    <w:p>
      <w:pPr>
        <w:pStyle w:val="ListParagraph"/>
        <w:numPr>
          <w:ilvl w:val="0"/>
          <w:numId w:val="2"/>
        </w:numPr>
        <w:spacing w:after="60" w:line="276"/>
      </w:pPr>
      <w:r>
        <w:rPr>
          <w:rFonts w:ascii="Arial" w:cs="Arial" w:eastAsia="Arial" w:hAnsi="Arial"/>
          <w:color w:val="1A1A1A"/>
          <w:sz w:val="22"/>
          <w:szCs w:val="22"/>
        </w:rPr>
        <w:t xml:space="preserve">Multi-BA support for physicians with multiple billing arrangements (e.g., PCPCM + FFS)</w:t>
      </w:r>
    </w:p>
    <w:p>
      <w:pPr>
        <w:pStyle w:val="ListParagraph"/>
        <w:numPr>
          <w:ilvl w:val="0"/>
          <w:numId w:val="2"/>
        </w:numPr>
        <w:spacing w:after="60" w:line="276"/>
      </w:pPr>
      <w:r>
        <w:rPr>
          <w:rFonts w:ascii="Arial" w:cs="Arial" w:eastAsia="Arial" w:hAnsi="Arial"/>
          <w:color w:val="1A1A1A"/>
          <w:sz w:val="22"/>
          <w:szCs w:val="22"/>
        </w:rPr>
        <w:t xml:space="preserve">Multi-location support for locum physicians and physicians working across sites</w:t>
      </w:r>
    </w:p>
    <w:p>
      <w:pPr>
        <w:pStyle w:val="ListParagraph"/>
        <w:numPr>
          <w:ilvl w:val="0"/>
          <w:numId w:val="2"/>
        </w:numPr>
        <w:spacing w:after="60" w:line="276"/>
      </w:pPr>
      <w:r>
        <w:rPr>
          <w:rFonts w:ascii="Arial" w:cs="Arial" w:eastAsia="Arial" w:hAnsi="Arial"/>
          <w:color w:val="1A1A1A"/>
          <w:sz w:val="22"/>
          <w:szCs w:val="22"/>
        </w:rPr>
        <w:t xml:space="preserve">Practice configuration: default functional centre per location, common codes, modifier preferences</w:t>
      </w:r>
    </w:p>
    <w:p>
      <w:pPr>
        <w:pStyle w:val="ListParagraph"/>
        <w:numPr>
          <w:ilvl w:val="0"/>
          <w:numId w:val="2"/>
        </w:numPr>
        <w:spacing w:after="60" w:line="276"/>
      </w:pPr>
      <w:r>
        <w:rPr>
          <w:rFonts w:ascii="Arial" w:cs="Arial" w:eastAsia="Arial" w:hAnsi="Arial"/>
          <w:color w:val="1A1A1A"/>
          <w:sz w:val="22"/>
          <w:szCs w:val="22"/>
        </w:rPr>
        <w:t xml:space="preserve">Location-aware defaults that switch automatically based on selected practice site</w:t>
      </w:r>
    </w:p>
    <w:p>
      <w:pPr>
        <w:pStyle w:val="ListParagraph"/>
        <w:numPr>
          <w:ilvl w:val="0"/>
          <w:numId w:val="2"/>
        </w:numPr>
        <w:spacing w:after="60" w:line="276"/>
      </w:pPr>
      <w:r>
        <w:rPr>
          <w:rFonts w:ascii="Arial" w:cs="Arial" w:eastAsia="Arial" w:hAnsi="Arial"/>
          <w:color w:val="1A1A1A"/>
          <w:sz w:val="22"/>
          <w:szCs w:val="22"/>
        </w:rPr>
        <w:t xml:space="preserve">Submission preference configuration: auto-submit clean claims (default), require approval for all batches, or auto-submit clean / hold flagged</w:t>
      </w:r>
    </w:p>
    <w:p>
      <w:pPr>
        <w:pStyle w:val="Heading3"/>
      </w:pPr>
      <w:r>
        <w:t xml:space="preserve">Patient Registry</w:t>
      </w:r>
    </w:p>
    <w:p>
      <w:pPr>
        <w:pStyle w:val="ListParagraph"/>
        <w:numPr>
          <w:ilvl w:val="0"/>
          <w:numId w:val="2"/>
        </w:numPr>
        <w:spacing w:after="60" w:line="276"/>
      </w:pPr>
      <w:r>
        <w:rPr>
          <w:rFonts w:ascii="Arial" w:cs="Arial" w:eastAsia="Arial" w:hAnsi="Arial"/>
          <w:color w:val="1A1A1A"/>
          <w:sz w:val="22"/>
          <w:szCs w:val="22"/>
        </w:rPr>
        <w:t xml:space="preserve">Patient demographics: name, PHN, date of birth, gender, address</w:t>
      </w:r>
    </w:p>
    <w:p>
      <w:pPr>
        <w:pStyle w:val="ListParagraph"/>
        <w:numPr>
          <w:ilvl w:val="0"/>
          <w:numId w:val="2"/>
        </w:numPr>
        <w:spacing w:after="60" w:line="276"/>
      </w:pPr>
      <w:r>
        <w:rPr>
          <w:rFonts w:ascii="Arial" w:cs="Arial" w:eastAsia="Arial" w:hAnsi="Arial"/>
          <w:color w:val="1A1A1A"/>
          <w:sz w:val="22"/>
          <w:szCs w:val="22"/>
        </w:rPr>
        <w:t xml:space="preserve">PHN format validation (Alberta: 9-digit numeric, check-digit verified)</w:t>
      </w:r>
    </w:p>
    <w:p>
      <w:pPr>
        <w:pStyle w:val="ListParagraph"/>
        <w:numPr>
          <w:ilvl w:val="0"/>
          <w:numId w:val="2"/>
        </w:numPr>
        <w:spacing w:after="60" w:line="276"/>
      </w:pPr>
      <w:r>
        <w:rPr>
          <w:rFonts w:ascii="Arial" w:cs="Arial" w:eastAsia="Arial" w:hAnsi="Arial"/>
          <w:color w:val="1A1A1A"/>
          <w:sz w:val="22"/>
          <w:szCs w:val="22"/>
        </w:rPr>
        <w:t xml:space="preserve">CSV import for bulk patient migration from existing systems</w:t>
      </w:r>
    </w:p>
    <w:p>
      <w:pPr>
        <w:pStyle w:val="ListParagraph"/>
        <w:numPr>
          <w:ilvl w:val="0"/>
          <w:numId w:val="2"/>
        </w:numPr>
        <w:spacing w:after="60" w:line="276"/>
      </w:pPr>
      <w:r>
        <w:rPr>
          <w:rFonts w:ascii="Arial" w:cs="Arial" w:eastAsia="Arial" w:hAnsi="Arial"/>
          <w:color w:val="1A1A1A"/>
          <w:sz w:val="22"/>
          <w:szCs w:val="22"/>
        </w:rPr>
        <w:t xml:space="preserve">Patient search (by name, PHN, DOB) with recent patient quick-access</w:t>
      </w:r>
    </w:p>
    <w:p>
      <w:pPr>
        <w:pStyle w:val="Heading3"/>
      </w:pPr>
      <w:r>
        <w:t xml:space="preserve">Reference Data Engine</w:t>
      </w:r>
    </w:p>
    <w:p>
      <w:pPr>
        <w:pStyle w:val="ListParagraph"/>
        <w:numPr>
          <w:ilvl w:val="0"/>
          <w:numId w:val="2"/>
        </w:numPr>
        <w:spacing w:after="60" w:line="276"/>
      </w:pPr>
      <w:r>
        <w:rPr>
          <w:rFonts w:ascii="Arial" w:cs="Arial" w:eastAsia="Arial" w:hAnsi="Arial"/>
          <w:color w:val="1A1A1A"/>
          <w:sz w:val="22"/>
          <w:szCs w:val="22"/>
        </w:rPr>
        <w:t xml:space="preserve">Complete SOMB fee schedule (all HSC codes, descriptions, fees, rules)</w:t>
      </w:r>
    </w:p>
    <w:p>
      <w:pPr>
        <w:pStyle w:val="ListParagraph"/>
        <w:numPr>
          <w:ilvl w:val="0"/>
          <w:numId w:val="2"/>
        </w:numPr>
        <w:spacing w:after="60" w:line="276"/>
      </w:pPr>
      <w:r>
        <w:rPr>
          <w:rFonts w:ascii="Arial" w:cs="Arial" w:eastAsia="Arial" w:hAnsi="Arial"/>
          <w:color w:val="1A1A1A"/>
          <w:sz w:val="22"/>
          <w:szCs w:val="22"/>
        </w:rPr>
        <w:t xml:space="preserve">WCB Alberta fee schedule with WCB-specific codes and rates</w:t>
      </w:r>
    </w:p>
    <w:p>
      <w:pPr>
        <w:pStyle w:val="ListParagraph"/>
        <w:numPr>
          <w:ilvl w:val="0"/>
          <w:numId w:val="2"/>
        </w:numPr>
        <w:spacing w:after="60" w:line="276"/>
      </w:pPr>
      <w:r>
        <w:rPr>
          <w:rFonts w:ascii="Arial" w:cs="Arial" w:eastAsia="Arial" w:hAnsi="Arial"/>
          <w:color w:val="1A1A1A"/>
          <w:sz w:val="22"/>
          <w:szCs w:val="22"/>
        </w:rPr>
        <w:t xml:space="preserve">Modifier reference (CMGP, LSCD, AFHR, BCP, RRNP, ARP TM, ANE/AST, age modifiers)</w:t>
      </w:r>
    </w:p>
    <w:p>
      <w:pPr>
        <w:pStyle w:val="ListParagraph"/>
        <w:numPr>
          <w:ilvl w:val="0"/>
          <w:numId w:val="2"/>
        </w:numPr>
        <w:spacing w:after="60" w:line="276"/>
      </w:pPr>
      <w:r>
        <w:rPr>
          <w:rFonts w:ascii="Arial" w:cs="Arial" w:eastAsia="Arial" w:hAnsi="Arial"/>
          <w:color w:val="1A1A1A"/>
          <w:sz w:val="22"/>
          <w:szCs w:val="22"/>
        </w:rPr>
        <w:t xml:space="preserve">Governing rules (GR 1, 3, 5, 6, 8, 11, 13, surcharge rules)</w:t>
      </w:r>
    </w:p>
    <w:p>
      <w:pPr>
        <w:pStyle w:val="ListParagraph"/>
        <w:numPr>
          <w:ilvl w:val="0"/>
          <w:numId w:val="2"/>
        </w:numPr>
        <w:spacing w:after="60" w:line="276"/>
      </w:pPr>
      <w:r>
        <w:rPr>
          <w:rFonts w:ascii="Arial" w:cs="Arial" w:eastAsia="Arial" w:hAnsi="Arial"/>
          <w:color w:val="1A1A1A"/>
          <w:sz w:val="22"/>
          <w:szCs w:val="22"/>
        </w:rPr>
        <w:t xml:space="preserve">Functional centre codes, diagnostic codes (ICD-9), explanatory codes</w:t>
      </w:r>
    </w:p>
    <w:p>
      <w:pPr>
        <w:pStyle w:val="ListParagraph"/>
        <w:numPr>
          <w:ilvl w:val="0"/>
          <w:numId w:val="2"/>
        </w:numPr>
        <w:spacing w:after="60" w:line="276"/>
      </w:pPr>
      <w:r>
        <w:rPr>
          <w:rFonts w:ascii="Arial" w:cs="Arial" w:eastAsia="Arial" w:hAnsi="Arial"/>
          <w:color w:val="1A1A1A"/>
          <w:sz w:val="22"/>
          <w:szCs w:val="22"/>
        </w:rPr>
        <w:t xml:space="preserve">RRNP community rate table</w:t>
      </w:r>
    </w:p>
    <w:p>
      <w:pPr>
        <w:pStyle w:val="ListParagraph"/>
        <w:numPr>
          <w:ilvl w:val="0"/>
          <w:numId w:val="2"/>
        </w:numPr>
        <w:spacing w:after="60" w:line="276"/>
      </w:pPr>
      <w:r>
        <w:rPr>
          <w:rFonts w:ascii="Arial" w:cs="Arial" w:eastAsia="Arial" w:hAnsi="Arial"/>
          <w:color w:val="1A1A1A"/>
          <w:sz w:val="22"/>
          <w:szCs w:val="22"/>
        </w:rPr>
        <w:t xml:space="preserve">PCPCM basket classification (in-basket, out-of-basket, facility codes)</w:t>
      </w:r>
    </w:p>
    <w:p>
      <w:pPr>
        <w:pStyle w:val="ListParagraph"/>
        <w:numPr>
          <w:ilvl w:val="0"/>
          <w:numId w:val="2"/>
        </w:numPr>
        <w:spacing w:after="60" w:line="276"/>
      </w:pPr>
      <w:r>
        <w:rPr>
          <w:rFonts w:ascii="Arial" w:cs="Arial" w:eastAsia="Arial" w:hAnsi="Arial"/>
          <w:color w:val="1A1A1A"/>
          <w:sz w:val="22"/>
          <w:szCs w:val="22"/>
        </w:rPr>
        <w:t xml:space="preserve">Alberta statutory holiday calendar (for after-hours and stat holiday premium calculation)</w:t>
      </w:r>
    </w:p>
    <w:p>
      <w:pPr>
        <w:pStyle w:val="ListParagraph"/>
        <w:numPr>
          <w:ilvl w:val="0"/>
          <w:numId w:val="2"/>
        </w:numPr>
        <w:spacing w:after="60" w:line="276"/>
      </w:pPr>
      <w:r>
        <w:rPr>
          <w:rFonts w:ascii="Arial" w:cs="Arial" w:eastAsia="Arial" w:hAnsi="Arial"/>
          <w:color w:val="1A1A1A"/>
          <w:sz w:val="22"/>
          <w:szCs w:val="22"/>
        </w:rPr>
        <w:t xml:space="preserve">Versioned data with effective dates for mid-year SOMB updates</w:t>
      </w:r>
    </w:p>
    <w:p>
      <w:pPr>
        <w:pStyle w:val="ListParagraph"/>
        <w:numPr>
          <w:ilvl w:val="0"/>
          <w:numId w:val="2"/>
        </w:numPr>
        <w:spacing w:after="60" w:line="276"/>
      </w:pPr>
      <w:r>
        <w:rPr>
          <w:rFonts w:ascii="Arial" w:cs="Arial" w:eastAsia="Arial" w:hAnsi="Arial"/>
          <w:color w:val="1A1A1A"/>
          <w:sz w:val="22"/>
          <w:szCs w:val="22"/>
        </w:rPr>
        <w:t xml:space="preserve">SOMB change summary: notification to physicians when fee schedule or rules change, with plain-language summary of what changed, new codes, deprecated codes, and fee adjustments</w:t>
      </w:r>
    </w:p>
    <w:p>
      <w:pPr>
        <w:pStyle w:val="Heading3"/>
      </w:pPr>
      <w:r>
        <w:t xml:space="preserve">Claim Lifecycle</w:t>
      </w:r>
    </w:p>
    <w:p>
      <w:pPr>
        <w:pStyle w:val="ListParagraph"/>
        <w:numPr>
          <w:ilvl w:val="0"/>
          <w:numId w:val="2"/>
        </w:numPr>
        <w:spacing w:after="60" w:line="276"/>
      </w:pPr>
      <w:r>
        <w:rPr>
          <w:rFonts w:ascii="Arial" w:cs="Arial" w:eastAsia="Arial" w:hAnsi="Arial"/>
          <w:color w:val="1A1A1A"/>
          <w:sz w:val="22"/>
          <w:szCs w:val="22"/>
        </w:rPr>
        <w:t xml:space="preserve">Claim creation with guided entry (HSC search/autocomplete, modifier selection, diagnostic code lookup)</w:t>
      </w:r>
    </w:p>
    <w:p>
      <w:pPr>
        <w:pStyle w:val="ListParagraph"/>
        <w:numPr>
          <w:ilvl w:val="0"/>
          <w:numId w:val="2"/>
        </w:numPr>
        <w:spacing w:after="60" w:line="276"/>
      </w:pPr>
      <w:r>
        <w:rPr>
          <w:rFonts w:ascii="Arial" w:cs="Arial" w:eastAsia="Arial" w:hAnsi="Arial"/>
          <w:color w:val="1A1A1A"/>
          <w:sz w:val="22"/>
          <w:szCs w:val="22"/>
        </w:rPr>
        <w:t xml:space="preserve">Claim batch import: accept billing exports from EMRs (MedAccess, Wolf, PS Suite, and others) via CSV/flat file upload, map EMR fields to Meritum claim structure, and run the full validation engine and AI Coach pipeline before submission. Enables physicians who generate claims in their EMR to route billing through Meritum’s intelligence layer without re-entering data.</w:t>
      </w:r>
    </w:p>
    <w:p>
      <w:pPr>
        <w:pStyle w:val="ListParagraph"/>
        <w:numPr>
          <w:ilvl w:val="0"/>
          <w:numId w:val="2"/>
        </w:numPr>
        <w:spacing w:after="60" w:line="276"/>
      </w:pPr>
      <w:r>
        <w:rPr>
          <w:rFonts w:ascii="Arial" w:cs="Arial" w:eastAsia="Arial" w:hAnsi="Arial"/>
          <w:color w:val="1A1A1A"/>
          <w:sz w:val="22"/>
          <w:szCs w:val="22"/>
        </w:rPr>
        <w:t xml:space="preserve">WCB claim creation with WCB-specific fields (claim number, employer name, injury date, nature of injury)</w:t>
      </w:r>
    </w:p>
    <w:p>
      <w:pPr>
        <w:pStyle w:val="ListParagraph"/>
        <w:numPr>
          <w:ilvl w:val="0"/>
          <w:numId w:val="2"/>
        </w:numPr>
        <w:spacing w:after="60" w:line="276"/>
      </w:pPr>
      <w:r>
        <w:rPr>
          <w:rFonts w:ascii="Arial" w:cs="Arial" w:eastAsia="Arial" w:hAnsi="Arial"/>
          <w:color w:val="1A1A1A"/>
          <w:sz w:val="22"/>
          <w:szCs w:val="22"/>
        </w:rPr>
        <w:t xml:space="preserve">Real-time pre-submission validation against all governing rules (AHCIP) and WCB requirements</w:t>
      </w:r>
    </w:p>
    <w:p>
      <w:pPr>
        <w:pStyle w:val="ListParagraph"/>
        <w:numPr>
          <w:ilvl w:val="0"/>
          <w:numId w:val="2"/>
        </w:numPr>
        <w:spacing w:after="60" w:line="276"/>
      </w:pPr>
      <w:r>
        <w:rPr>
          <w:rFonts w:ascii="Arial" w:cs="Arial" w:eastAsia="Arial" w:hAnsi="Arial"/>
          <w:color w:val="1A1A1A"/>
          <w:sz w:val="22"/>
          <w:szCs w:val="22"/>
        </w:rPr>
        <w:t xml:space="preserve">Claim state machine: Draft → Validated → Queued → Submitted → Assessed → Paid / Rejected / Adjusted</w:t>
      </w:r>
    </w:p>
    <w:p>
      <w:pPr>
        <w:pStyle w:val="ListParagraph"/>
        <w:numPr>
          <w:ilvl w:val="0"/>
          <w:numId w:val="2"/>
        </w:numPr>
        <w:spacing w:after="60" w:line="276"/>
      </w:pPr>
      <w:r>
        <w:rPr>
          <w:rFonts w:ascii="Arial" w:cs="Arial" w:eastAsia="Arial" w:hAnsi="Arial"/>
          <w:color w:val="1A1A1A"/>
          <w:sz w:val="22"/>
          <w:szCs w:val="22"/>
        </w:rPr>
        <w:t xml:space="preserve">Tiered auto-submission model for weekly H-Link batch cycle (see Section 5.2 for full specification)</w:t>
      </w:r>
    </w:p>
    <w:p>
      <w:pPr>
        <w:pStyle w:val="ListParagraph"/>
        <w:numPr>
          <w:ilvl w:val="0"/>
          <w:numId w:val="2"/>
        </w:numPr>
        <w:spacing w:after="60" w:line="276"/>
      </w:pPr>
      <w:r>
        <w:rPr>
          <w:rFonts w:ascii="Arial" w:cs="Arial" w:eastAsia="Arial" w:hAnsi="Arial"/>
          <w:color w:val="1A1A1A"/>
          <w:sz w:val="22"/>
          <w:szCs w:val="22"/>
        </w:rPr>
        <w:t xml:space="preserve">WCB claim submission via WCB Alberta’s electronic submission pathway</w:t>
      </w:r>
    </w:p>
    <w:p>
      <w:pPr>
        <w:pStyle w:val="ListParagraph"/>
        <w:numPr>
          <w:ilvl w:val="0"/>
          <w:numId w:val="2"/>
        </w:numPr>
        <w:spacing w:after="60" w:line="276"/>
      </w:pPr>
      <w:r>
        <w:rPr>
          <w:rFonts w:ascii="Arial" w:cs="Arial" w:eastAsia="Arial" w:hAnsi="Arial"/>
          <w:color w:val="1A1A1A"/>
          <w:sz w:val="22"/>
          <w:szCs w:val="22"/>
        </w:rPr>
        <w:t xml:space="preserve">Assessment/remittance ingestion and reconciliation</w:t>
      </w:r>
    </w:p>
    <w:p>
      <w:pPr>
        <w:pStyle w:val="ListParagraph"/>
        <w:numPr>
          <w:ilvl w:val="0"/>
          <w:numId w:val="2"/>
        </w:numPr>
        <w:spacing w:after="60" w:line="276"/>
      </w:pPr>
      <w:r>
        <w:rPr>
          <w:rFonts w:ascii="Arial" w:cs="Arial" w:eastAsia="Arial" w:hAnsi="Arial"/>
          <w:color w:val="1A1A1A"/>
          <w:sz w:val="22"/>
          <w:szCs w:val="22"/>
        </w:rPr>
        <w:t xml:space="preserve">Rejection management: explanatory code display, one-click resubmission for correctable errors</w:t>
      </w:r>
    </w:p>
    <w:p>
      <w:pPr>
        <w:pStyle w:val="ListParagraph"/>
        <w:numPr>
          <w:ilvl w:val="0"/>
          <w:numId w:val="2"/>
        </w:numPr>
        <w:spacing w:after="60" w:line="276"/>
      </w:pPr>
      <w:r>
        <w:rPr>
          <w:rFonts w:ascii="Arial" w:cs="Arial" w:eastAsia="Arial" w:hAnsi="Arial"/>
          <w:color w:val="1A1A1A"/>
          <w:sz w:val="22"/>
          <w:szCs w:val="22"/>
        </w:rPr>
        <w:t xml:space="preserve">90-day submission window tracking with approaching-deadline alerts</w:t>
      </w:r>
    </w:p>
    <w:p>
      <w:pPr>
        <w:pStyle w:val="ListParagraph"/>
        <w:numPr>
          <w:ilvl w:val="0"/>
          <w:numId w:val="2"/>
        </w:numPr>
        <w:spacing w:after="60" w:line="276"/>
      </w:pPr>
      <w:r>
        <w:rPr>
          <w:rFonts w:ascii="Arial" w:cs="Arial" w:eastAsia="Arial" w:hAnsi="Arial"/>
          <w:color w:val="1A1A1A"/>
          <w:sz w:val="22"/>
          <w:szCs w:val="22"/>
        </w:rPr>
        <w:t xml:space="preserve">Claim aging report: flags submitted-but-unresolved claims beyond expected assessment timelines</w:t>
      </w:r>
    </w:p>
    <w:p>
      <w:pPr>
        <w:pStyle w:val="ListParagraph"/>
        <w:numPr>
          <w:ilvl w:val="0"/>
          <w:numId w:val="2"/>
        </w:numPr>
        <w:spacing w:after="60" w:line="276"/>
      </w:pPr>
      <w:r>
        <w:rPr>
          <w:rFonts w:ascii="Arial" w:cs="Arial" w:eastAsia="Arial" w:hAnsi="Arial"/>
          <w:color w:val="1A1A1A"/>
          <w:sz w:val="22"/>
          <w:szCs w:val="22"/>
        </w:rPr>
        <w:t xml:space="preserve">Duplicate claim detection</w:t>
      </w:r>
    </w:p>
    <w:p>
      <w:pPr>
        <w:pStyle w:val="Heading3"/>
      </w:pPr>
      <w:r>
        <w:t xml:space="preserve">H-Link Integration</w:t>
      </w:r>
    </w:p>
    <w:p>
      <w:pPr>
        <w:pStyle w:val="ListParagraph"/>
        <w:numPr>
          <w:ilvl w:val="0"/>
          <w:numId w:val="2"/>
        </w:numPr>
        <w:spacing w:after="60" w:line="276"/>
      </w:pPr>
      <w:r>
        <w:rPr>
          <w:rFonts w:ascii="Arial" w:cs="Arial" w:eastAsia="Arial" w:hAnsi="Arial"/>
          <w:color w:val="1A1A1A"/>
          <w:sz w:val="22"/>
          <w:szCs w:val="22"/>
        </w:rPr>
        <w:t xml:space="preserve">Compliant claim file generation per Electronic Claims Submission Specifications Manual</w:t>
      </w:r>
    </w:p>
    <w:p>
      <w:pPr>
        <w:pStyle w:val="ListParagraph"/>
        <w:numPr>
          <w:ilvl w:val="0"/>
          <w:numId w:val="2"/>
        </w:numPr>
        <w:spacing w:after="60" w:line="276"/>
      </w:pPr>
      <w:r>
        <w:rPr>
          <w:rFonts w:ascii="Arial" w:cs="Arial" w:eastAsia="Arial" w:hAnsi="Arial"/>
          <w:color w:val="1A1A1A"/>
          <w:sz w:val="22"/>
          <w:szCs w:val="22"/>
        </w:rPr>
        <w:t xml:space="preserve">Secure submission via H-Link protocol</w:t>
      </w:r>
    </w:p>
    <w:p>
      <w:pPr>
        <w:pStyle w:val="ListParagraph"/>
        <w:numPr>
          <w:ilvl w:val="0"/>
          <w:numId w:val="2"/>
        </w:numPr>
        <w:spacing w:after="60" w:line="276"/>
      </w:pPr>
      <w:r>
        <w:rPr>
          <w:rFonts w:ascii="Arial" w:cs="Arial" w:eastAsia="Arial" w:hAnsi="Arial"/>
          <w:color w:val="1A1A1A"/>
          <w:sz w:val="22"/>
          <w:szCs w:val="22"/>
        </w:rPr>
        <w:t xml:space="preserve">Assessment file retrieval and parsing</w:t>
      </w:r>
    </w:p>
    <w:p>
      <w:pPr>
        <w:pStyle w:val="ListParagraph"/>
        <w:numPr>
          <w:ilvl w:val="0"/>
          <w:numId w:val="2"/>
        </w:numPr>
        <w:spacing w:after="60" w:line="276"/>
      </w:pPr>
      <w:r>
        <w:rPr>
          <w:rFonts w:ascii="Arial" w:cs="Arial" w:eastAsia="Arial" w:hAnsi="Arial"/>
          <w:color w:val="1A1A1A"/>
          <w:sz w:val="22"/>
          <w:szCs w:val="22"/>
        </w:rPr>
        <w:t xml:space="preserve">Credential management (submitter prefix, practitioner linkage)</w:t>
      </w:r>
    </w:p>
    <w:p>
      <w:pPr>
        <w:pStyle w:val="Heading3"/>
      </w:pPr>
      <w:r>
        <w:t xml:space="preserve">WCB Integration</w:t>
      </w:r>
    </w:p>
    <w:p>
      <w:pPr>
        <w:pStyle w:val="ListParagraph"/>
        <w:numPr>
          <w:ilvl w:val="0"/>
          <w:numId w:val="2"/>
        </w:numPr>
        <w:spacing w:after="60" w:line="276"/>
      </w:pPr>
      <w:r>
        <w:rPr>
          <w:rFonts w:ascii="Arial" w:cs="Arial" w:eastAsia="Arial" w:hAnsi="Arial"/>
          <w:color w:val="1A1A1A"/>
          <w:sz w:val="22"/>
          <w:szCs w:val="22"/>
        </w:rPr>
        <w:t xml:space="preserve">WCB fee schedule validation and code lookup</w:t>
      </w:r>
    </w:p>
    <w:p>
      <w:pPr>
        <w:pStyle w:val="ListParagraph"/>
        <w:numPr>
          <w:ilvl w:val="0"/>
          <w:numId w:val="2"/>
        </w:numPr>
        <w:spacing w:after="60" w:line="276"/>
      </w:pPr>
      <w:r>
        <w:rPr>
          <w:rFonts w:ascii="Arial" w:cs="Arial" w:eastAsia="Arial" w:hAnsi="Arial"/>
          <w:color w:val="1A1A1A"/>
          <w:sz w:val="22"/>
          <w:szCs w:val="22"/>
        </w:rPr>
        <w:t xml:space="preserve">WCB-specific claim field capture with guided prompts (employer, claim number, injury details)</w:t>
      </w:r>
    </w:p>
    <w:p>
      <w:pPr>
        <w:pStyle w:val="ListParagraph"/>
        <w:numPr>
          <w:ilvl w:val="0"/>
          <w:numId w:val="2"/>
        </w:numPr>
        <w:spacing w:after="60" w:line="276"/>
      </w:pPr>
      <w:r>
        <w:rPr>
          <w:rFonts w:ascii="Arial" w:cs="Arial" w:eastAsia="Arial" w:hAnsi="Arial"/>
          <w:color w:val="1A1A1A"/>
          <w:sz w:val="22"/>
          <w:szCs w:val="22"/>
        </w:rPr>
        <w:t xml:space="preserve">Claim file generation in WCB Alberta’s required format</w:t>
      </w:r>
    </w:p>
    <w:p>
      <w:pPr>
        <w:pStyle w:val="ListParagraph"/>
        <w:numPr>
          <w:ilvl w:val="0"/>
          <w:numId w:val="2"/>
        </w:numPr>
        <w:spacing w:after="60" w:line="276"/>
      </w:pPr>
      <w:r>
        <w:rPr>
          <w:rFonts w:ascii="Arial" w:cs="Arial" w:eastAsia="Arial" w:hAnsi="Arial"/>
          <w:color w:val="1A1A1A"/>
          <w:sz w:val="22"/>
          <w:szCs w:val="22"/>
        </w:rPr>
        <w:t xml:space="preserve">Electronic submission to WCB (or formatted export for manual upload if direct integration is not available at launch)</w:t>
      </w:r>
    </w:p>
    <w:p>
      <w:pPr>
        <w:pStyle w:val="Heading3"/>
      </w:pPr>
      <w:r>
        <w:t xml:space="preserve">AI Billing Coach (Core Differentiator)</w:t>
      </w:r>
    </w:p>
    <w:p>
      <w:pPr>
        <w:spacing w:after="120" w:line="276"/>
      </w:pPr>
      <w:r>
        <w:rPr>
          <w:rFonts w:ascii="Arial" w:cs="Arial" w:eastAsia="Arial" w:hAnsi="Arial"/>
          <w:color w:val="1A1A1A"/>
          <w:sz w:val="22"/>
          <w:szCs w:val="22"/>
        </w:rPr>
        <w:t xml:space="preserve">The intelligence architecture is three-tiered, optimised for cost-effectiveness:</w:t>
      </w:r>
    </w:p>
    <w:p>
      <w:pPr>
        <w:spacing w:before="60" w:after="60"/>
      </w:pPr>
    </w:p>
    <w:p>
      <w:pPr>
        <w:pStyle w:val="ListParagraph"/>
        <w:numPr>
          <w:ilvl w:val="0"/>
          <w:numId w:val="2"/>
        </w:numPr>
        <w:spacing w:after="60" w:line="276"/>
      </w:pPr>
      <w:r>
        <w:rPr>
          <w:rFonts w:ascii="Arial" w:cs="Arial" w:eastAsia="Arial" w:hAnsi="Arial"/>
          <w:b/>
          <w:bCs/>
          <w:color w:val="1A1A1A"/>
          <w:sz w:val="22"/>
          <w:szCs w:val="22"/>
        </w:rPr>
        <w:t xml:space="preserve">Tier 1 — Deterministic rules engine (free, handles 90%+ of intelligence): </w:t>
      </w:r>
      <w:r>
        <w:rPr>
          <w:rFonts w:ascii="Arial" w:cs="Arial" w:eastAsia="Arial" w:hAnsi="Arial"/>
          <w:color w:val="1A1A1A"/>
          <w:sz w:val="22"/>
          <w:szCs w:val="22"/>
        </w:rPr>
        <w:t xml:space="preserve">Governing rules validation, modifier eligibility checking, missed billing detection via pattern matching, code combination validation, RRNP/premium calculation, statutory holiday premium detection. Zero per-inference cost.</w:t>
      </w:r>
    </w:p>
    <w:p>
      <w:pPr>
        <w:pStyle w:val="ListParagraph"/>
        <w:numPr>
          <w:ilvl w:val="0"/>
          <w:numId w:val="2"/>
        </w:numPr>
        <w:spacing w:after="60" w:line="276"/>
      </w:pPr>
      <w:r>
        <w:rPr>
          <w:rFonts w:ascii="Arial" w:cs="Arial" w:eastAsia="Arial" w:hAnsi="Arial"/>
          <w:b/>
          <w:bCs/>
          <w:color w:val="1A1A1A"/>
          <w:sz w:val="22"/>
          <w:szCs w:val="22"/>
        </w:rPr>
        <w:t xml:space="preserve">Tier 2 — Lightweight self-hosted open-source LLM (cheap, handles explanations): </w:t>
      </w:r>
      <w:r>
        <w:rPr>
          <w:rFonts w:ascii="Arial" w:cs="Arial" w:eastAsia="Arial" w:hAnsi="Arial"/>
          <w:color w:val="1A1A1A"/>
          <w:sz w:val="22"/>
          <w:szCs w:val="22"/>
        </w:rPr>
        <w:t xml:space="preserve">Natural-language explanation of why a suggestion was made. Narrow, predictable prompts. Self-hosted open-source model (DeepSeek-class or equivalent) on Meritum infrastructure for zero marginal cost per inference. The same model infrastructure powers the AI support system (see Section 5.5).</w:t>
      </w:r>
    </w:p>
    <w:p>
      <w:pPr>
        <w:pStyle w:val="ListParagraph"/>
        <w:numPr>
          <w:ilvl w:val="0"/>
          <w:numId w:val="2"/>
        </w:numPr>
        <w:spacing w:after="60" w:line="276"/>
      </w:pPr>
      <w:r>
        <w:rPr>
          <w:rFonts w:ascii="Arial" w:cs="Arial" w:eastAsia="Arial" w:hAnsi="Arial"/>
          <w:b/>
          <w:bCs/>
          <w:color w:val="1A1A1A"/>
          <w:sz w:val="22"/>
          <w:szCs w:val="22"/>
        </w:rPr>
        <w:t xml:space="preserve">Tier 3 — Complex edge cases (rare, deferred to human review): </w:t>
      </w:r>
      <w:r>
        <w:rPr>
          <w:rFonts w:ascii="Arial" w:cs="Arial" w:eastAsia="Arial" w:hAnsi="Arial"/>
          <w:color w:val="1A1A1A"/>
          <w:sz w:val="22"/>
          <w:szCs w:val="22"/>
        </w:rPr>
        <w:t xml:space="preserve">Flags “Review recommended” with a direct link to the relevant SOMB section, governing rule, or WCB policy document. No expensive API calls for uncertain scenarios.</w:t>
      </w:r>
    </w:p>
    <w:p>
      <w:pPr>
        <w:spacing w:before="60" w:after="60"/>
      </w:pPr>
    </w:p>
    <w:p>
      <w:pPr>
        <w:spacing w:after="120" w:line="276"/>
      </w:pPr>
      <w:r>
        <w:rPr>
          <w:rFonts w:ascii="Arial" w:cs="Arial" w:eastAsia="Arial" w:hAnsi="Arial"/>
          <w:color w:val="1A1A1A"/>
          <w:sz w:val="22"/>
          <w:szCs w:val="22"/>
        </w:rPr>
        <w:t xml:space="preserve">Coach capabilities at MVP:</w:t>
      </w:r>
    </w:p>
    <w:p>
      <w:pPr>
        <w:pStyle w:val="ListParagraph"/>
        <w:numPr>
          <w:ilvl w:val="0"/>
          <w:numId w:val="2"/>
        </w:numPr>
        <w:spacing w:after="60" w:line="276"/>
      </w:pPr>
      <w:r>
        <w:rPr>
          <w:rFonts w:ascii="Arial" w:cs="Arial" w:eastAsia="Arial" w:hAnsi="Arial"/>
          <w:color w:val="1A1A1A"/>
          <w:sz w:val="22"/>
          <w:szCs w:val="22"/>
        </w:rPr>
        <w:t xml:space="preserve">Post-entry analysis: “You may be eligible for [modifier/code] based on [reason]”</w:t>
      </w:r>
    </w:p>
    <w:p>
      <w:pPr>
        <w:pStyle w:val="ListParagraph"/>
        <w:numPr>
          <w:ilvl w:val="0"/>
          <w:numId w:val="2"/>
        </w:numPr>
        <w:spacing w:after="60" w:line="276"/>
      </w:pPr>
      <w:r>
        <w:rPr>
          <w:rFonts w:ascii="Arial" w:cs="Arial" w:eastAsia="Arial" w:hAnsi="Arial"/>
          <w:color w:val="1A1A1A"/>
          <w:sz w:val="22"/>
          <w:szCs w:val="22"/>
        </w:rPr>
        <w:t xml:space="preserve">Missed billing detection: pattern analysis across claims to identify commonly missed codes</w:t>
      </w:r>
    </w:p>
    <w:p>
      <w:pPr>
        <w:pStyle w:val="ListParagraph"/>
        <w:numPr>
          <w:ilvl w:val="0"/>
          <w:numId w:val="2"/>
        </w:numPr>
        <w:spacing w:after="60" w:line="276"/>
      </w:pPr>
      <w:r>
        <w:rPr>
          <w:rFonts w:ascii="Arial" w:cs="Arial" w:eastAsia="Arial" w:hAnsi="Arial"/>
          <w:color w:val="1A1A1A"/>
          <w:sz w:val="22"/>
          <w:szCs w:val="22"/>
        </w:rPr>
        <w:t xml:space="preserve">Modifier prompts: “This visit qualifies for CMGP—did the encounter exceed 15 minutes?”</w:t>
      </w:r>
    </w:p>
    <w:p>
      <w:pPr>
        <w:pStyle w:val="ListParagraph"/>
        <w:numPr>
          <w:ilvl w:val="0"/>
          <w:numId w:val="2"/>
        </w:numPr>
        <w:spacing w:after="60" w:line="276"/>
      </w:pPr>
      <w:r>
        <w:rPr>
          <w:rFonts w:ascii="Arial" w:cs="Arial" w:eastAsia="Arial" w:hAnsi="Arial"/>
          <w:color w:val="1A1A1A"/>
          <w:sz w:val="22"/>
          <w:szCs w:val="22"/>
        </w:rPr>
        <w:t xml:space="preserve">Rejection prevention: “This code combination is restricted under GR 5(3)(b)” with link to source</w:t>
      </w:r>
    </w:p>
    <w:p>
      <w:pPr>
        <w:pStyle w:val="ListParagraph"/>
        <w:numPr>
          <w:ilvl w:val="0"/>
          <w:numId w:val="2"/>
        </w:numPr>
        <w:spacing w:after="60" w:line="276"/>
      </w:pPr>
      <w:r>
        <w:rPr>
          <w:rFonts w:ascii="Arial" w:cs="Arial" w:eastAsia="Arial" w:hAnsi="Arial"/>
          <w:color w:val="1A1A1A"/>
          <w:sz w:val="22"/>
          <w:szCs w:val="22"/>
        </w:rPr>
        <w:t xml:space="preserve">WCB documentation prompts: “WCB claims require employer name and claim number—capture these now to avoid delays”</w:t>
      </w:r>
    </w:p>
    <w:p>
      <w:pPr>
        <w:pStyle w:val="ListParagraph"/>
        <w:numPr>
          <w:ilvl w:val="0"/>
          <w:numId w:val="2"/>
        </w:numPr>
        <w:spacing w:after="60" w:line="276"/>
      </w:pPr>
      <w:r>
        <w:rPr>
          <w:rFonts w:ascii="Arial" w:cs="Arial" w:eastAsia="Arial" w:hAnsi="Arial"/>
          <w:color w:val="1A1A1A"/>
          <w:sz w:val="22"/>
          <w:szCs w:val="22"/>
        </w:rPr>
        <w:t xml:space="preserve">All suggestions cite source (SOMB section, governing rule, WCB policy) and are dismissible</w:t>
      </w:r>
    </w:p>
    <w:p>
      <w:pPr>
        <w:pStyle w:val="ListParagraph"/>
        <w:numPr>
          <w:ilvl w:val="0"/>
          <w:numId w:val="2"/>
        </w:numPr>
        <w:spacing w:after="60" w:line="276"/>
      </w:pPr>
      <w:r>
        <w:rPr>
          <w:rFonts w:ascii="Arial" w:cs="Arial" w:eastAsia="Arial" w:hAnsi="Arial"/>
          <w:color w:val="1A1A1A"/>
          <w:sz w:val="22"/>
          <w:szCs w:val="22"/>
        </w:rPr>
        <w:t xml:space="preserve">Learning loop: adapts to physician’s specialty and billing patterns over time</w:t>
      </w:r>
    </w:p>
    <w:p>
      <w:pPr>
        <w:pStyle w:val="Heading3"/>
      </w:pPr>
      <w:r>
        <w:t xml:space="preserve">Contextual Help System</w:t>
      </w:r>
    </w:p>
    <w:p>
      <w:pPr>
        <w:spacing w:after="120" w:line="276"/>
      </w:pPr>
      <w:r>
        <w:rPr>
          <w:rFonts w:ascii="Arial" w:cs="Arial" w:eastAsia="Arial" w:hAnsi="Arial"/>
          <w:color w:val="1A1A1A"/>
          <w:sz w:val="22"/>
          <w:szCs w:val="22"/>
        </w:rPr>
        <w:t xml:space="preserve">Meritum provides in-app contextual help via tooltips and inline guidance at every point where billing complexity surfaces. The help system is designed to educate without interrupting workflow:</w:t>
      </w:r>
    </w:p>
    <w:p>
      <w:pPr>
        <w:pStyle w:val="ListParagraph"/>
        <w:numPr>
          <w:ilvl w:val="0"/>
          <w:numId w:val="2"/>
        </w:numPr>
        <w:spacing w:after="60" w:line="276"/>
      </w:pPr>
      <w:r>
        <w:rPr>
          <w:rFonts w:ascii="Arial" w:cs="Arial" w:eastAsia="Arial" w:hAnsi="Arial"/>
          <w:color w:val="1A1A1A"/>
          <w:sz w:val="22"/>
          <w:szCs w:val="22"/>
        </w:rPr>
        <w:t xml:space="preserve">Tooltips on all billing fields, codes, modifiers, and governing rule references, written in plain language (e.g., “CMGP: Comprehensive modifier for encounters over 15 minutes. Adds time-based units to your claim.”)</w:t>
      </w:r>
    </w:p>
    <w:p>
      <w:pPr>
        <w:pStyle w:val="ListParagraph"/>
        <w:numPr>
          <w:ilvl w:val="0"/>
          <w:numId w:val="2"/>
        </w:numPr>
        <w:spacing w:after="60" w:line="276"/>
      </w:pPr>
      <w:r>
        <w:rPr>
          <w:rFonts w:ascii="Arial" w:cs="Arial" w:eastAsia="Arial" w:hAnsi="Arial"/>
          <w:color w:val="1A1A1A"/>
          <w:sz w:val="22"/>
          <w:szCs w:val="22"/>
        </w:rPr>
        <w:t xml:space="preserve">Inline help on validation warnings and AI Coach suggestions explaining what the rule means and why it applies</w:t>
      </w:r>
    </w:p>
    <w:p>
      <w:pPr>
        <w:pStyle w:val="ListParagraph"/>
        <w:numPr>
          <w:ilvl w:val="0"/>
          <w:numId w:val="2"/>
        </w:numPr>
        <w:spacing w:after="60" w:line="276"/>
      </w:pPr>
      <w:r>
        <w:rPr>
          <w:rFonts w:ascii="Arial" w:cs="Arial" w:eastAsia="Arial" w:hAnsi="Arial"/>
          <w:color w:val="1A1A1A"/>
          <w:sz w:val="22"/>
          <w:szCs w:val="22"/>
        </w:rPr>
        <w:t xml:space="preserve">Contextual links to the specific SOMB section, governing rule, or WCB policy for physicians who want the authoritative source</w:t>
      </w:r>
    </w:p>
    <w:p>
      <w:pPr>
        <w:pStyle w:val="ListParagraph"/>
        <w:numPr>
          <w:ilvl w:val="0"/>
          <w:numId w:val="2"/>
        </w:numPr>
        <w:spacing w:after="60" w:line="276"/>
      </w:pPr>
      <w:r>
        <w:rPr>
          <w:rFonts w:ascii="Arial" w:cs="Arial" w:eastAsia="Arial" w:hAnsi="Arial"/>
          <w:color w:val="1A1A1A"/>
          <w:sz w:val="22"/>
          <w:szCs w:val="22"/>
        </w:rPr>
        <w:t xml:space="preserve">Help content maintained as structured data in the Reference Data Engine so updates to SOMB/GR automatically surface in tooltips</w:t>
      </w:r>
    </w:p>
    <w:p>
      <w:pPr>
        <w:pStyle w:val="Heading3"/>
      </w:pPr>
      <w:r>
        <w:t xml:space="preserve">Analytics &amp; Reporting</w:t>
      </w:r>
    </w:p>
    <w:p>
      <w:pPr>
        <w:pStyle w:val="ListParagraph"/>
        <w:numPr>
          <w:ilvl w:val="0"/>
          <w:numId w:val="2"/>
        </w:numPr>
        <w:spacing w:after="60" w:line="276"/>
      </w:pPr>
      <w:r>
        <w:rPr>
          <w:rFonts w:ascii="Arial" w:cs="Arial" w:eastAsia="Arial" w:hAnsi="Arial"/>
          <w:color w:val="1A1A1A"/>
          <w:sz w:val="22"/>
          <w:szCs w:val="22"/>
        </w:rPr>
        <w:t xml:space="preserve">Dashboard: submission summary, rejection rate, revenue trend, pending claims, claim aging</w:t>
      </w:r>
    </w:p>
    <w:p>
      <w:pPr>
        <w:pStyle w:val="ListParagraph"/>
        <w:numPr>
          <w:ilvl w:val="0"/>
          <w:numId w:val="2"/>
        </w:numPr>
        <w:spacing w:after="60" w:line="276"/>
      </w:pPr>
      <w:r>
        <w:rPr>
          <w:rFonts w:ascii="Arial" w:cs="Arial" w:eastAsia="Arial" w:hAnsi="Arial"/>
          <w:color w:val="1A1A1A"/>
          <w:sz w:val="22"/>
          <w:szCs w:val="22"/>
        </w:rPr>
        <w:t xml:space="preserve">Rejection analysis: top rejection codes, rejection rate by HSC, trends over time</w:t>
      </w:r>
    </w:p>
    <w:p>
      <w:pPr>
        <w:pStyle w:val="ListParagraph"/>
        <w:numPr>
          <w:ilvl w:val="0"/>
          <w:numId w:val="2"/>
        </w:numPr>
        <w:spacing w:after="60" w:line="276"/>
      </w:pPr>
      <w:r>
        <w:rPr>
          <w:rFonts w:ascii="Arial" w:cs="Arial" w:eastAsia="Arial" w:hAnsi="Arial"/>
          <w:color w:val="1A1A1A"/>
          <w:sz w:val="22"/>
          <w:szCs w:val="22"/>
        </w:rPr>
        <w:t xml:space="preserve">Revenue summary with period comparison (AHCIP and WCB tracked separately and combined)</w:t>
      </w:r>
    </w:p>
    <w:p>
      <w:pPr>
        <w:pStyle w:val="ListParagraph"/>
        <w:numPr>
          <w:ilvl w:val="0"/>
          <w:numId w:val="2"/>
        </w:numPr>
        <w:spacing w:after="60" w:line="276"/>
      </w:pPr>
      <w:r>
        <w:rPr>
          <w:rFonts w:ascii="Arial" w:cs="Arial" w:eastAsia="Arial" w:hAnsi="Arial"/>
          <w:color w:val="1A1A1A"/>
          <w:sz w:val="22"/>
          <w:szCs w:val="22"/>
        </w:rPr>
        <w:t xml:space="preserve">Multi-site revenue breakdown for physicians working across locations</w:t>
      </w:r>
    </w:p>
    <w:p>
      <w:pPr>
        <w:pStyle w:val="ListParagraph"/>
        <w:numPr>
          <w:ilvl w:val="0"/>
          <w:numId w:val="2"/>
        </w:numPr>
        <w:spacing w:after="60" w:line="276"/>
      </w:pPr>
      <w:r>
        <w:rPr>
          <w:rFonts w:ascii="Arial" w:cs="Arial" w:eastAsia="Arial" w:hAnsi="Arial"/>
          <w:color w:val="1A1A1A"/>
          <w:sz w:val="22"/>
          <w:szCs w:val="22"/>
        </w:rPr>
        <w:t xml:space="preserve">Accountant/bookkeeper export: downloadable financial summary report (PDF/CSV) containing billing totals, payment summaries, and fee breakdowns by period—designed for tax preparation and business accounting without exposing patient-level PHI</w:t>
      </w:r>
    </w:p>
    <w:p>
      <w:pPr>
        <w:pStyle w:val="ListParagraph"/>
        <w:numPr>
          <w:ilvl w:val="0"/>
          <w:numId w:val="2"/>
        </w:numPr>
        <w:spacing w:after="60" w:line="276"/>
      </w:pPr>
      <w:r>
        <w:rPr>
          <w:rFonts w:ascii="Arial" w:cs="Arial" w:eastAsia="Arial" w:hAnsi="Arial"/>
          <w:color w:val="1A1A1A"/>
          <w:sz w:val="22"/>
          <w:szCs w:val="22"/>
        </w:rPr>
        <w:t xml:space="preserve">Export to CSV/PDF for accountant or tax purposes</w:t>
      </w:r>
    </w:p>
    <w:p>
      <w:pPr>
        <w:pStyle w:val="Heading3"/>
      </w:pPr>
      <w:r>
        <w:t xml:space="preserve">ED Shift Workflow (Optimised for Manual Entry Without Connect Care)</w:t>
      </w:r>
    </w:p>
    <w:p>
      <w:pPr>
        <w:spacing w:after="120" w:line="276"/>
      </w:pPr>
      <w:r>
        <w:rPr>
          <w:rFonts w:ascii="Arial" w:cs="Arial" w:eastAsia="Arial" w:hAnsi="Arial"/>
          <w:color w:val="1A1A1A"/>
          <w:sz w:val="22"/>
          <w:szCs w:val="22"/>
        </w:rPr>
        <w:t xml:space="preserve">The ED shift workflow is designed to be faster and more accurate than a paper log, compensating for the absence of Connect Care integration at MVP:</w:t>
      </w:r>
    </w:p>
    <w:p>
      <w:pPr>
        <w:pStyle w:val="ListParagraph"/>
        <w:numPr>
          <w:ilvl w:val="0"/>
          <w:numId w:val="2"/>
        </w:numPr>
        <w:spacing w:after="60" w:line="276"/>
      </w:pPr>
      <w:r>
        <w:rPr>
          <w:rFonts w:ascii="Arial" w:cs="Arial" w:eastAsia="Arial" w:hAnsi="Arial"/>
          <w:color w:val="1A1A1A"/>
          <w:sz w:val="22"/>
          <w:szCs w:val="22"/>
        </w:rPr>
        <w:t xml:space="preserve">Start shift: one tap with date, location, and shift times pre-filled from saved schedule or manual entry</w:t>
      </w:r>
    </w:p>
    <w:p>
      <w:pPr>
        <w:pStyle w:val="ListParagraph"/>
        <w:numPr>
          <w:ilvl w:val="0"/>
          <w:numId w:val="2"/>
        </w:numPr>
        <w:spacing w:after="60" w:line="276"/>
      </w:pPr>
      <w:r>
        <w:rPr>
          <w:rFonts w:ascii="Arial" w:cs="Arial" w:eastAsia="Arial" w:hAnsi="Arial"/>
          <w:color w:val="1A1A1A"/>
          <w:sz w:val="22"/>
          <w:szCs w:val="22"/>
        </w:rPr>
        <w:t xml:space="preserve">Per-patient encounter: patient lookup or quick-add (PHN + name minimum), primary code via specialty-aware search, time auto-stamped (adjustable)</w:t>
      </w:r>
    </w:p>
    <w:p>
      <w:pPr>
        <w:pStyle w:val="ListParagraph"/>
        <w:numPr>
          <w:ilvl w:val="0"/>
          <w:numId w:val="2"/>
        </w:numPr>
        <w:spacing w:after="60" w:line="276"/>
      </w:pPr>
      <w:r>
        <w:rPr>
          <w:rFonts w:ascii="Arial" w:cs="Arial" w:eastAsia="Arial" w:hAnsi="Arial"/>
          <w:color w:val="1A1A1A"/>
          <w:sz w:val="22"/>
          <w:szCs w:val="22"/>
        </w:rPr>
        <w:t xml:space="preserve">Top 20 ED codes available as one-tap palette; personalised “most used” codes surface first based on physician’s billing history</w:t>
      </w:r>
    </w:p>
    <w:p>
      <w:pPr>
        <w:pStyle w:val="ListParagraph"/>
        <w:numPr>
          <w:ilvl w:val="0"/>
          <w:numId w:val="2"/>
        </w:numPr>
        <w:spacing w:after="60" w:line="276"/>
      </w:pPr>
      <w:r>
        <w:rPr>
          <w:rFonts w:ascii="Arial" w:cs="Arial" w:eastAsia="Arial" w:hAnsi="Arial"/>
          <w:color w:val="1A1A1A"/>
          <w:sz w:val="22"/>
          <w:szCs w:val="22"/>
        </w:rPr>
        <w:t xml:space="preserve">Contextual modifier prompts: “Encounter exceeded 25 minutes—add CMGP?” based on time between patient entries</w:t>
      </w:r>
    </w:p>
    <w:p>
      <w:pPr>
        <w:pStyle w:val="ListParagraph"/>
        <w:numPr>
          <w:ilvl w:val="0"/>
          <w:numId w:val="2"/>
        </w:numPr>
        <w:spacing w:after="60" w:line="276"/>
      </w:pPr>
      <w:r>
        <w:rPr>
          <w:rFonts w:ascii="Arial" w:cs="Arial" w:eastAsia="Arial" w:hAnsi="Arial"/>
          <w:color w:val="1A1A1A"/>
          <w:sz w:val="22"/>
          <w:szCs w:val="22"/>
        </w:rPr>
        <w:t xml:space="preserve">WCB flag: one-tap to mark an encounter as WCB, which triggers WCB-specific field capture (employer, claim number, injury details)</w:t>
      </w:r>
    </w:p>
    <w:p>
      <w:pPr>
        <w:pStyle w:val="ListParagraph"/>
        <w:numPr>
          <w:ilvl w:val="0"/>
          <w:numId w:val="2"/>
        </w:numPr>
        <w:spacing w:after="60" w:line="276"/>
      </w:pPr>
      <w:r>
        <w:rPr>
          <w:rFonts w:ascii="Arial" w:cs="Arial" w:eastAsia="Arial" w:hAnsi="Arial"/>
          <w:color w:val="1A1A1A"/>
          <w:sz w:val="22"/>
          <w:szCs w:val="22"/>
        </w:rPr>
        <w:t xml:space="preserve">End shift: batch review screen showing all encounters with AI Coach suggestions before queuing for submission</w:t>
      </w:r>
    </w:p>
    <w:p>
      <w:pPr>
        <w:pStyle w:val="ListParagraph"/>
        <w:numPr>
          <w:ilvl w:val="0"/>
          <w:numId w:val="2"/>
        </w:numPr>
        <w:spacing w:after="60" w:line="276"/>
      </w:pPr>
      <w:r>
        <w:rPr>
          <w:rFonts w:ascii="Arial" w:cs="Arial" w:eastAsia="Arial" w:hAnsi="Arial"/>
          <w:color w:val="1A1A1A"/>
          <w:sz w:val="22"/>
          <w:szCs w:val="22"/>
        </w:rPr>
        <w:t xml:space="preserve">Responsive design optimised for one-handed mobile use during shift</w:t>
      </w:r>
    </w:p>
    <w:p>
      <w:pPr>
        <w:pStyle w:val="Heading3"/>
      </w:pPr>
      <w:r>
        <w:t xml:space="preserve">Mobile Companion (Web-Responsive MVP)</w:t>
      </w:r>
    </w:p>
    <w:p>
      <w:pPr>
        <w:pStyle w:val="ListParagraph"/>
        <w:numPr>
          <w:ilvl w:val="0"/>
          <w:numId w:val="2"/>
        </w:numPr>
        <w:spacing w:after="60" w:line="276"/>
      </w:pPr>
      <w:r>
        <w:rPr>
          <w:rFonts w:ascii="Arial" w:cs="Arial" w:eastAsia="Arial" w:hAnsi="Arial"/>
          <w:color w:val="1A1A1A"/>
          <w:sz w:val="22"/>
          <w:szCs w:val="22"/>
        </w:rPr>
        <w:t xml:space="preserve">ED shift workflow as described above</w:t>
      </w:r>
    </w:p>
    <w:p>
      <w:pPr>
        <w:pStyle w:val="ListParagraph"/>
        <w:numPr>
          <w:ilvl w:val="0"/>
          <w:numId w:val="2"/>
        </w:numPr>
        <w:spacing w:after="60" w:line="276"/>
      </w:pPr>
      <w:r>
        <w:rPr>
          <w:rFonts w:ascii="Arial" w:cs="Arial" w:eastAsia="Arial" w:hAnsi="Arial"/>
          <w:color w:val="1A1A1A"/>
          <w:sz w:val="22"/>
          <w:szCs w:val="22"/>
        </w:rPr>
        <w:t xml:space="preserve">Clinic quick-entry: patient search → code entry → save as draft or submit</w:t>
      </w:r>
    </w:p>
    <w:p>
      <w:pPr>
        <w:pStyle w:val="ListParagraph"/>
        <w:numPr>
          <w:ilvl w:val="0"/>
          <w:numId w:val="2"/>
        </w:numPr>
        <w:spacing w:after="60" w:line="276"/>
      </w:pPr>
      <w:r>
        <w:rPr>
          <w:rFonts w:ascii="Arial" w:cs="Arial" w:eastAsia="Arial" w:hAnsi="Arial"/>
          <w:color w:val="1A1A1A"/>
          <w:sz w:val="22"/>
          <w:szCs w:val="22"/>
        </w:rPr>
        <w:t xml:space="preserve">Responsive web design optimised for mobile viewport (native app deferred to Phase 2)</w:t>
      </w:r>
    </w:p>
    <w:p>
      <w:pPr>
        <w:pStyle w:val="ListParagraph"/>
        <w:numPr>
          <w:ilvl w:val="0"/>
          <w:numId w:val="2"/>
        </w:numPr>
        <w:spacing w:after="60" w:line="276"/>
      </w:pPr>
      <w:r>
        <w:rPr>
          <w:rFonts w:ascii="Arial" w:cs="Arial" w:eastAsia="Arial" w:hAnsi="Arial"/>
          <w:color w:val="1A1A1A"/>
          <w:sz w:val="22"/>
          <w:szCs w:val="22"/>
        </w:rPr>
        <w:t xml:space="preserve">Architecture: API-first backend ensures native iOS/Android apps can consume the same API without backend rewrite; all business logic lives server-side</w:t>
      </w:r>
    </w:p>
    <w:p>
      <w:pPr>
        <w:pStyle w:val="Heading3"/>
      </w:pPr>
      <w:r>
        <w:t xml:space="preserve">Onboarding</w:t>
      </w:r>
    </w:p>
    <w:p>
      <w:pPr>
        <w:pStyle w:val="ListParagraph"/>
        <w:numPr>
          <w:ilvl w:val="0"/>
          <w:numId w:val="2"/>
        </w:numPr>
        <w:spacing w:after="60" w:line="276"/>
      </w:pPr>
      <w:r>
        <w:rPr>
          <w:rFonts w:ascii="Arial" w:cs="Arial" w:eastAsia="Arial" w:hAnsi="Arial"/>
          <w:color w:val="1A1A1A"/>
          <w:sz w:val="22"/>
          <w:szCs w:val="22"/>
        </w:rPr>
        <w:t xml:space="preserve">Guided registration flow (under 10 minutes for steps 1–4)</w:t>
      </w:r>
    </w:p>
    <w:p>
      <w:pPr>
        <w:pStyle w:val="ListParagraph"/>
        <w:numPr>
          <w:ilvl w:val="0"/>
          <w:numId w:val="2"/>
        </w:numPr>
        <w:spacing w:after="60" w:line="276"/>
      </w:pPr>
      <w:r>
        <w:rPr>
          <w:rFonts w:ascii="Arial" w:cs="Arial" w:eastAsia="Arial" w:hAnsi="Arial"/>
          <w:color w:val="1A1A1A"/>
          <w:sz w:val="22"/>
          <w:szCs w:val="22"/>
        </w:rPr>
        <w:t xml:space="preserve">Auto-generated Information Manager Agreement (IMA) per HIA s.66 for digital signature</w:t>
      </w:r>
    </w:p>
    <w:p>
      <w:pPr>
        <w:pStyle w:val="ListParagraph"/>
        <w:numPr>
          <w:ilvl w:val="0"/>
          <w:numId w:val="2"/>
        </w:numPr>
        <w:spacing w:after="60" w:line="276"/>
      </w:pPr>
      <w:r>
        <w:rPr>
          <w:rFonts w:ascii="Arial" w:cs="Arial" w:eastAsia="Arial" w:hAnsi="Arial"/>
          <w:color w:val="1A1A1A"/>
          <w:sz w:val="22"/>
          <w:szCs w:val="22"/>
        </w:rPr>
        <w:t xml:space="preserve">Privacy Impact Assessment (PIA) appendix download</w:t>
      </w:r>
    </w:p>
    <w:p>
      <w:pPr>
        <w:pStyle w:val="ListParagraph"/>
        <w:numPr>
          <w:ilvl w:val="0"/>
          <w:numId w:val="2"/>
        </w:numPr>
        <w:spacing w:after="60" w:line="276"/>
      </w:pPr>
      <w:r>
        <w:rPr>
          <w:rFonts w:ascii="Arial" w:cs="Arial" w:eastAsia="Arial" w:hAnsi="Arial"/>
          <w:color w:val="1A1A1A"/>
          <w:sz w:val="22"/>
          <w:szCs w:val="22"/>
        </w:rPr>
        <w:t xml:space="preserve">Pre-filled AHC11236 form (BA linkage to Meritum submitter prefix)</w:t>
      </w:r>
    </w:p>
    <w:p>
      <w:pPr>
        <w:pStyle w:val="ListParagraph"/>
        <w:numPr>
          <w:ilvl w:val="0"/>
          <w:numId w:val="2"/>
        </w:numPr>
        <w:spacing w:after="60" w:line="276"/>
      </w:pPr>
      <w:r>
        <w:rPr>
          <w:rFonts w:ascii="Arial" w:cs="Arial" w:eastAsia="Arial" w:hAnsi="Arial"/>
          <w:color w:val="1A1A1A"/>
          <w:sz w:val="22"/>
          <w:szCs w:val="22"/>
        </w:rPr>
        <w:t xml:space="preserve">BA linkage status tracking (pending → confirmed, 2–4 week AHCIP processing)</w:t>
      </w:r>
    </w:p>
    <w:p>
      <w:pPr>
        <w:pStyle w:val="ListParagraph"/>
        <w:numPr>
          <w:ilvl w:val="0"/>
          <w:numId w:val="2"/>
        </w:numPr>
        <w:spacing w:after="60" w:line="276"/>
      </w:pPr>
      <w:r>
        <w:rPr>
          <w:rFonts w:ascii="Arial" w:cs="Arial" w:eastAsia="Arial" w:hAnsi="Arial"/>
          <w:color w:val="1A1A1A"/>
          <w:sz w:val="22"/>
          <w:szCs w:val="22"/>
        </w:rPr>
        <w:t xml:space="preserve">Optional CSV patient import during onboarding</w:t>
      </w:r>
    </w:p>
    <w:p>
      <w:pPr>
        <w:pStyle w:val="ListParagraph"/>
        <w:numPr>
          <w:ilvl w:val="0"/>
          <w:numId w:val="2"/>
        </w:numPr>
        <w:spacing w:after="60" w:line="276"/>
      </w:pPr>
      <w:r>
        <w:rPr>
          <w:rFonts w:ascii="Arial" w:cs="Arial" w:eastAsia="Arial" w:hAnsi="Arial"/>
          <w:color w:val="1A1A1A"/>
          <w:sz w:val="22"/>
          <w:szCs w:val="22"/>
        </w:rPr>
        <w:t xml:space="preserve">Submission preference configuration during onboarding (auto-submit clean claims as default, with explanation of what this means)</w:t>
      </w:r>
    </w:p>
    <w:p>
      <w:pPr>
        <w:pStyle w:val="Heading3"/>
      </w:pPr>
      <w:r>
        <w:t xml:space="preserve">Platform Operations</w:t>
      </w:r>
    </w:p>
    <w:p>
      <w:pPr>
        <w:pStyle w:val="ListParagraph"/>
        <w:numPr>
          <w:ilvl w:val="0"/>
          <w:numId w:val="2"/>
        </w:numPr>
        <w:spacing w:after="60" w:line="276"/>
      </w:pPr>
      <w:r>
        <w:rPr>
          <w:rFonts w:ascii="Arial" w:cs="Arial" w:eastAsia="Arial" w:hAnsi="Arial"/>
          <w:color w:val="1A1A1A"/>
          <w:sz w:val="22"/>
          <w:szCs w:val="22"/>
        </w:rPr>
        <w:t xml:space="preserve">Public status page (meritum.ca/status) showing system health, H-Link connectivity status, and WCB submission system status</w:t>
      </w:r>
    </w:p>
    <w:p>
      <w:pPr>
        <w:pStyle w:val="ListParagraph"/>
        <w:numPr>
          <w:ilvl w:val="0"/>
          <w:numId w:val="2"/>
        </w:numPr>
        <w:spacing w:after="60" w:line="276"/>
      </w:pPr>
      <w:r>
        <w:rPr>
          <w:rFonts w:ascii="Arial" w:cs="Arial" w:eastAsia="Arial" w:hAnsi="Arial"/>
          <w:color w:val="1A1A1A"/>
          <w:sz w:val="22"/>
          <w:szCs w:val="22"/>
        </w:rPr>
        <w:t xml:space="preserve">Stripe-powered subscription billing with automated invoice generation including GST registration number</w:t>
      </w:r>
    </w:p>
    <w:p>
      <w:pPr>
        <w:pStyle w:val="ListParagraph"/>
        <w:numPr>
          <w:ilvl w:val="0"/>
          <w:numId w:val="2"/>
        </w:numPr>
        <w:spacing w:after="60" w:line="276"/>
      </w:pPr>
      <w:r>
        <w:rPr>
          <w:rFonts w:ascii="Arial" w:cs="Arial" w:eastAsia="Arial" w:hAnsi="Arial"/>
          <w:color w:val="1A1A1A"/>
          <w:sz w:val="22"/>
          <w:szCs w:val="22"/>
        </w:rPr>
        <w:t xml:space="preserve">Stripe customer portal for physicians to update payment method, view invoices, and download receipts for tax deduction purposes</w:t>
      </w:r>
    </w:p>
    <w:p>
      <w:pPr>
        <w:pStyle w:val="ListParagraph"/>
        <w:numPr>
          <w:ilvl w:val="0"/>
          <w:numId w:val="2"/>
        </w:numPr>
        <w:spacing w:after="60" w:line="276"/>
      </w:pPr>
      <w:r>
        <w:rPr>
          <w:rFonts w:ascii="Arial" w:cs="Arial" w:eastAsia="Arial" w:hAnsi="Arial"/>
          <w:color w:val="1A1A1A"/>
          <w:sz w:val="22"/>
          <w:szCs w:val="22"/>
        </w:rPr>
        <w:t xml:space="preserve">Data portability: “Download my data” function allowing physicians to export complete claim history, patient demographics, and financial summaries at any time</w:t>
      </w:r>
    </w:p>
    <w:p>
      <w:pPr>
        <w:spacing w:before="120" w:after="120"/>
      </w:pPr>
    </w:p>
    <w:p>
      <w:pPr>
        <w:pStyle w:val="Heading2"/>
      </w:pPr>
      <w:r>
        <w:t xml:space="preserve">5.2 Tiered Auto-Submission Model</w:t>
      </w:r>
    </w:p>
    <w:p>
      <w:pPr>
        <w:spacing w:after="120" w:line="276"/>
      </w:pPr>
      <w:r>
        <w:rPr>
          <w:rFonts w:ascii="Arial" w:cs="Arial" w:eastAsia="Arial" w:hAnsi="Arial"/>
          <w:color w:val="1A1A1A"/>
          <w:sz w:val="22"/>
          <w:szCs w:val="22"/>
        </w:rPr>
        <w:t xml:space="preserve">The H-Link batch submission operates on a weekly cycle with a Thursday 12:00 PM MT hard cutoff. The auto-submission model resolves the tension between physician oversight and operational reliability—a physician in surgery, asleep post-call, or otherwise unavailable at the deadline should never lose a week’s billing because the system required a button press at a specific time.</w:t>
      </w:r>
    </w:p>
    <w:p>
      <w:pPr>
        <w:spacing w:before="60" w:after="60"/>
      </w:pPr>
    </w:p>
    <w:p>
      <w:pPr>
        <w:pStyle w:val="Heading3"/>
      </w:pPr>
      <w:r>
        <w:t xml:space="preserve">Claim Classification</w:t>
      </w:r>
    </w:p>
    <w:p>
      <w:pPr>
        <w:spacing w:after="120" w:line="276"/>
      </w:pPr>
      <w:r>
        <w:rPr>
          <w:rFonts w:ascii="Arial" w:cs="Arial" w:eastAsia="Arial" w:hAnsi="Arial"/>
          <w:color w:val="1A1A1A"/>
          <w:sz w:val="22"/>
          <w:szCs w:val="22"/>
        </w:rPr>
        <w:t xml:space="preserve">Every queued claim is classified into one of two categories at the time it enters the submission queue:</w:t>
      </w:r>
    </w:p>
    <w:p>
      <w:pPr>
        <w:pStyle w:val="ListParagraph"/>
        <w:numPr>
          <w:ilvl w:val="0"/>
          <w:numId w:val="2"/>
        </w:numPr>
        <w:spacing w:after="60" w:line="276"/>
      </w:pPr>
      <w:r>
        <w:rPr>
          <w:rFonts w:ascii="Arial" w:cs="Arial" w:eastAsia="Arial" w:hAnsi="Arial"/>
          <w:b/>
          <w:bCs/>
          <w:color w:val="1A1A1A"/>
          <w:sz w:val="22"/>
          <w:szCs w:val="22"/>
        </w:rPr>
        <w:t xml:space="preserve">Clean claims: </w:t>
      </w:r>
      <w:r>
        <w:rPr>
          <w:rFonts w:ascii="Arial" w:cs="Arial" w:eastAsia="Arial" w:hAnsi="Arial"/>
          <w:color w:val="1A1A1A"/>
          <w:sz w:val="22"/>
          <w:szCs w:val="22"/>
        </w:rPr>
        <w:t xml:space="preserve">Claims that have passed all validation rules with zero warnings, zero AI Coach suggestions pending review, and zero unresolved flags. The physician has already reviewed and saved these claims during individual entry. They are ready for submission.</w:t>
      </w:r>
    </w:p>
    <w:p>
      <w:pPr>
        <w:pStyle w:val="ListParagraph"/>
        <w:numPr>
          <w:ilvl w:val="0"/>
          <w:numId w:val="2"/>
        </w:numPr>
        <w:spacing w:after="60" w:line="276"/>
      </w:pPr>
      <w:r>
        <w:rPr>
          <w:rFonts w:ascii="Arial" w:cs="Arial" w:eastAsia="Arial" w:hAnsi="Arial"/>
          <w:b/>
          <w:bCs/>
          <w:color w:val="1A1A1A"/>
          <w:sz w:val="22"/>
          <w:szCs w:val="22"/>
        </w:rPr>
        <w:t xml:space="preserve">Flagged claims: </w:t>
      </w:r>
      <w:r>
        <w:rPr>
          <w:rFonts w:ascii="Arial" w:cs="Arial" w:eastAsia="Arial" w:hAnsi="Arial"/>
          <w:color w:val="1A1A1A"/>
          <w:sz w:val="22"/>
          <w:szCs w:val="22"/>
        </w:rPr>
        <w:t xml:space="preserve">Claims with active AI Coach suggestions the physician hasn’t acted on, validation warnings that need physician judgment, or any anomaly the system cannot resolve automatically (e.g., duplicate detection requiring confirmation, approaching 90-day deadline with incomplete information).</w:t>
      </w:r>
    </w:p>
    <w:p>
      <w:pPr>
        <w:spacing w:before="60" w:after="60"/>
      </w:pPr>
    </w:p>
    <w:p>
      <w:pPr>
        <w:pStyle w:val="Heading3"/>
      </w:pPr>
      <w:r>
        <w:t xml:space="preserve">Physician Submission Preferences</w:t>
      </w:r>
    </w:p>
    <w:p>
      <w:pPr>
        <w:spacing w:after="120" w:line="276"/>
      </w:pPr>
      <w:r>
        <w:rPr>
          <w:rFonts w:ascii="Arial" w:cs="Arial" w:eastAsia="Arial" w:hAnsi="Arial"/>
          <w:color w:val="1A1A1A"/>
          <w:sz w:val="22"/>
          <w:szCs w:val="22"/>
        </w:rPr>
        <w:t xml:space="preserve">Each physician configures their submission preference during onboarding (changeable at any time in account settings):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360"/>
      </w:tblGrid>
      <w:tr>
        <w:tc>
          <w:tcPr>
            <w:tcW w:type="dxa" w:w="2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Mode</w:t>
            </w:r>
          </w:p>
        </w:tc>
        <w:tc>
          <w:tcPr>
            <w:tcW w:type="dxa" w:w="2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Clean Claims</w:t>
            </w:r>
          </w:p>
        </w:tc>
        <w:tc>
          <w:tcPr>
            <w:tcW w:type="dxa" w:w="26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Flagged Claims</w:t>
            </w:r>
          </w:p>
        </w:tc>
        <w:tc>
          <w:tcPr>
            <w:tcW w:type="dxa" w:w="23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Best For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Auto-submit clean, hold flagged (DEFAULT)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Auto-submitted at Thursday cutoff</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Held for review; roll to next week if unreviewed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Most physicians; balances convenience with safety</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Auto-submit all validated</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Auto-submitted at Thursday cutoff</w:t>
            </w:r>
          </w:p>
        </w:tc>
        <w:tc>
          <w:tcPr>
            <w:tcW w:type="dxa" w:w="2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Auto-submitted at Thursday cutoff (warnings logged but not blocking)</w:t>
            </w:r>
          </w:p>
        </w:tc>
        <w:tc>
          <w:tcPr>
            <w:tcW w:type="dxa" w:w="2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High-volume billers (e.g., radiologists) who trust the system and review post-hoc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Require approval for all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Held until physician or delegate approves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Held until physician or delegate approves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Physicians who want maximum control; requires active Thursday management</w:t>
            </w:r>
          </w:p>
        </w:tc>
      </w:tr>
    </w:tbl>
    <w:p>
      <w:pPr>
        <w:spacing w:before="120" w:after="120"/>
      </w:pPr>
    </w:p>
    <w:p>
      <w:pPr>
        <w:spacing w:after="120" w:line="276"/>
      </w:pPr>
      <w:r>
        <w:rPr>
          <w:rFonts w:ascii="Arial" w:cs="Arial" w:eastAsia="Arial" w:hAnsi="Arial"/>
          <w:b/>
          <w:bCs/>
          <w:color w:val="1A1A1A"/>
          <w:sz w:val="22"/>
          <w:szCs w:val="22"/>
        </w:rPr>
        <w:t xml:space="preserve">Delegate authority: </w:t>
      </w:r>
      <w:r>
        <w:rPr>
          <w:rFonts w:ascii="Arial" w:cs="Arial" w:eastAsia="Arial" w:hAnsi="Arial"/>
          <w:color w:val="1A1A1A"/>
          <w:sz w:val="22"/>
          <w:szCs w:val="22"/>
        </w:rPr>
        <w:t xml:space="preserve">Physicians can grant their delegate(s) batch approval authority. When enabled, the delegate can review and approve flagged claims on the physician’s behalf. This solves the “surgeon in the OR” problem—Karen the MOA approves the batch while Dr. Sarah operates. Delegate batch approval is logged in the audit trail.</w:t>
      </w:r>
    </w:p>
    <w:p>
      <w:pPr>
        <w:spacing w:before="60" w:after="60"/>
      </w:pPr>
    </w:p>
    <w:p>
      <w:pPr>
        <w:pStyle w:val="Heading3"/>
      </w:pPr>
      <w:r>
        <w:t xml:space="preserve">Thursday Submission Notification Sequence</w:t>
      </w:r>
    </w:p>
    <w:p>
      <w:pPr>
        <w:spacing w:after="120" w:line="276"/>
      </w:pPr>
      <w:r>
        <w:rPr>
          <w:rFonts w:ascii="Arial" w:cs="Arial" w:eastAsia="Arial" w:hAnsi="Arial"/>
          <w:color w:val="1A1A1A"/>
          <w:sz w:val="22"/>
          <w:szCs w:val="22"/>
        </w:rPr>
        <w:t xml:space="preserve">The notification framework delivers a structured sequence of reminders leading to the Thursday cutoff. All notifications use both email and in-app channels. Push notifications are added when native apps launch in Phase 2.</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960"/>
        <w:gridCol w:w="1800"/>
      </w:tblGrid>
      <w:tr>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Timing</w:t>
            </w:r>
          </w:p>
        </w:tc>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Condition</w:t>
            </w:r>
          </w:p>
        </w:tc>
        <w:tc>
          <w:tcPr>
            <w:tcW w:type="dxa" w:w="39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Notification Content</w:t>
            </w:r>
          </w:p>
        </w:tc>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Channel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Monday 08:00 MT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Always (if claims are queued)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“You have [X] claims queued for Thursday’s submission. [Y] are clean and will auto-submit. [Z] have suggestions requiring your review.”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Email + in-app</w:t>
            </w:r>
          </w:p>
        </w:tc>
      </w:tr>
      <w:tr>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Wednesday 17:00 MT</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Only if flagged claims remain unreviewed</w:t>
            </w:r>
          </w:p>
        </w:tc>
        <w:tc>
          <w:tcPr>
            <w:tcW w:type="dxa" w:w="39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“Submission in less than 19 hours. [Z] claims still need your review. Clean claims will auto-submit at Thursday 12:00 PM.”</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Email + in-app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Thursday 08:00 MT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Only if flagged claims remain unreviewed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“Final reminder: [Z] flagged claims will NOT be submitted unless reviewed by 12:00 PM. Your [X] clean claims will submit automatically.”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Email + in-app</w:t>
            </w:r>
          </w:p>
        </w:tc>
      </w:tr>
      <w:tr>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Thursday 12:00 MT</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Always (post-submission)</w:t>
            </w:r>
          </w:p>
        </w:tc>
        <w:tc>
          <w:tcPr>
            <w:tcW w:type="dxa" w:w="39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“Batch submitted: [X] claims totalling $[amount] sent to H-Link. [Z] flagged claims held for next week.” (or “All [X] claims submitted” if no flagged claims)</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Email + in-app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Following Friday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When assessment received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“Payment assessment received for [date] batch: [X] paid, [Y] rejected, [Z] adjusted. Total: $[amount].”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Email + in-app</w:t>
            </w:r>
          </w:p>
        </w:tc>
      </w:tr>
    </w:tbl>
    <w:p>
      <w:pPr>
        <w:spacing w:before="120" w:after="120"/>
      </w:pPr>
    </w:p>
    <w:p>
      <w:pPr>
        <w:spacing w:after="120" w:line="276"/>
      </w:pPr>
      <w:r>
        <w:rPr>
          <w:rFonts w:ascii="Arial" w:cs="Arial" w:eastAsia="Arial" w:hAnsi="Arial"/>
          <w:color w:val="1A1A1A"/>
          <w:sz w:val="22"/>
          <w:szCs w:val="22"/>
        </w:rPr>
        <w:t xml:space="preserve">Physicians who set “Require approval for all” receive the same notification sequence but with all claims requiring approval, not just flagged ones. The Thursday 08:00 notification becomes more urgent: “No claims will be submitted unless you or your delegate approves by 12:00 PM.”</w:t>
      </w:r>
    </w:p>
    <w:p>
      <w:pPr>
        <w:spacing w:before="120" w:after="120"/>
      </w:pPr>
    </w:p>
    <w:p>
      <w:pPr>
        <w:pStyle w:val="Heading2"/>
      </w:pPr>
      <w:r>
        <w:t xml:space="preserve">5.3 Notification Framework</w:t>
      </w:r>
    </w:p>
    <w:p>
      <w:pPr>
        <w:spacing w:after="120" w:line="276"/>
      </w:pPr>
      <w:r>
        <w:rPr>
          <w:rFonts w:ascii="Arial" w:cs="Arial" w:eastAsia="Arial" w:hAnsi="Arial"/>
          <w:color w:val="1A1A1A"/>
          <w:sz w:val="22"/>
          <w:szCs w:val="22"/>
        </w:rPr>
        <w:t xml:space="preserve">Meritum requires a cross-cutting notification system that serves multiple domains. This is not owned by any single domain but is a shared infrastructure service consumed by all domains that generate events requiring user communication.</w:t>
      </w:r>
    </w:p>
    <w:p>
      <w:pPr>
        <w:spacing w:before="60" w:after="60"/>
      </w:pPr>
    </w:p>
    <w:p>
      <w:pPr>
        <w:pStyle w:val="Heading3"/>
      </w:pPr>
      <w:r>
        <w:t xml:space="preserve">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4960"/>
      </w:tblGrid>
      <w:tr>
        <w:tc>
          <w:tcPr>
            <w:tcW w:type="dxa" w:w="24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Channel</w:t>
            </w:r>
          </w:p>
        </w:tc>
        <w:tc>
          <w:tcPr>
            <w:tcW w:type="dxa" w:w="10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MVP</w:t>
            </w:r>
          </w:p>
        </w:tc>
        <w:tc>
          <w:tcPr>
            <w:tcW w:type="dxa" w:w="10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 2</w:t>
            </w:r>
          </w:p>
        </w:tc>
        <w:tc>
          <w:tcPr>
            <w:tcW w:type="dxa" w:w="49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In-app notifications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Notification centre accessible from all screens; badge count; read/unread tracking</w:t>
            </w:r>
          </w:p>
        </w:tc>
      </w:tr>
      <w:tr>
        <w:tc>
          <w:tcPr>
            <w:tcW w:type="dxa" w:w="2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Email</w:t>
            </w:r>
          </w:p>
        </w:tc>
        <w:tc>
          <w:tcPr>
            <w:tcW w:type="dxa" w:w="1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1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49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Transactional email via Stripe (for billing) and platform email service (for operational notifications); physician can configure email preferences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Push notifications (mobile)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Added with native iOS/Android apps; critical for shift workflow and Thursday reminders</w:t>
            </w:r>
          </w:p>
        </w:tc>
      </w:tr>
      <w:tr>
        <w:tc>
          <w:tcPr>
            <w:tcW w:type="dxa" w:w="2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SMS</w:t>
            </w:r>
          </w:p>
        </w:tc>
        <w:tc>
          <w:tcPr>
            <w:tcW w:type="dxa" w:w="1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Evaluate</w:t>
            </w:r>
          </w:p>
        </w:tc>
        <w:tc>
          <w:tcPr>
            <w:tcW w:type="dxa" w:w="49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High cost per message; only justified if email + push prove insufficient for critical alerts</w:t>
            </w:r>
          </w:p>
        </w:tc>
      </w:tr>
    </w:tbl>
    <w:p>
      <w:pPr>
        <w:spacing w:before="120" w:after="120"/>
      </w:pPr>
    </w:p>
    <w:p>
      <w:pPr>
        <w:pStyle w:val="Heading3"/>
      </w:pPr>
      <w:r>
        <w:t xml:space="preserve">Notification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43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Examples</w:t>
            </w:r>
          </w:p>
        </w:tc>
        <w:tc>
          <w:tcPr>
            <w:tcW w:type="dxa" w:w="2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 Urgency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Submission cycle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Monday batch summary, Wednesday reminder, Thursday final reminder, post-submission confirmation, assessment received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Standard (Monday), High (Wednesday/Thursday)</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Claim alerts</w:t>
            </w:r>
          </w:p>
        </w:tc>
        <w:tc>
          <w:tcPr>
            <w:tcW w:type="dxa" w:w="4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90-day deadline approaching, claim aging (unresolved beyond expected timeline), rejection received, duplicate detected</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AI Coach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New suggestions available on queued claims, weekly summary of accepted/dismissed suggestions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Low</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SOMB / reference data</w:t>
            </w:r>
          </w:p>
        </w:tc>
        <w:tc>
          <w:tcPr>
            <w:tcW w:type="dxa" w:w="4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Fee schedule update published, new codes added, codes deprecated, governing rule change</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Standard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Account / onboarding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BA linkage confirmed, IMA signed, subscription payment processed/failed, delegate added/removed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Standard (info), High (payment failure)</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System</w:t>
            </w:r>
          </w:p>
        </w:tc>
        <w:tc>
          <w:tcPr>
            <w:tcW w:type="dxa" w:w="4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Scheduled maintenance notice, H-Link connectivity issue, WCB submission system status change</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Standard (maintenance), Critical (outage during submission window)</w:t>
            </w:r>
          </w:p>
        </w:tc>
      </w:tr>
    </w:tbl>
    <w:p>
      <w:pPr>
        <w:spacing w:before="120" w:after="120"/>
      </w:pPr>
    </w:p>
    <w:p>
      <w:pPr>
        <w:pStyle w:val="Heading3"/>
      </w:pPr>
      <w:r>
        <w:t xml:space="preserve">Physician Preferences</w:t>
      </w:r>
    </w:p>
    <w:p>
      <w:pPr>
        <w:spacing w:after="120" w:line="276"/>
      </w:pPr>
      <w:r>
        <w:rPr>
          <w:rFonts w:ascii="Arial" w:cs="Arial" w:eastAsia="Arial" w:hAnsi="Arial"/>
          <w:color w:val="1A1A1A"/>
          <w:sz w:val="22"/>
          <w:szCs w:val="22"/>
        </w:rPr>
        <w:t xml:space="preserve">Physicians can configure notification preferences per category: which channels to receive on (email, in-app, or both) and whether to receive low-urgency notifications at all. High and critical urgency notifications cannot be silenced—these relate to revenue-impacting events and system outages during submission windows.</w:t>
      </w:r>
    </w:p>
    <w:p>
      <w:pPr>
        <w:spacing w:before="120" w:after="120"/>
      </w:pPr>
    </w:p>
    <w:p>
      <w:pPr>
        <w:pStyle w:val="Heading2"/>
      </w:pPr>
      <w:r>
        <w:t xml:space="preserve">5.4 Payment Processing (Stripe)</w:t>
      </w:r>
    </w:p>
    <w:p>
      <w:pPr>
        <w:spacing w:after="120" w:line="276"/>
      </w:pPr>
      <w:r>
        <w:rPr>
          <w:rFonts w:ascii="Arial" w:cs="Arial" w:eastAsia="Arial" w:hAnsi="Arial"/>
          <w:color w:val="1A1A1A"/>
          <w:sz w:val="22"/>
          <w:szCs w:val="22"/>
        </w:rPr>
        <w:t xml:space="preserve">Meritum uses Stripe for all subscription billing and payment processing. Stripe is selected for implementation simplicity, physician-friendly credit card rewards, PCI compliance handled at the provider level, and out-of-the-box subscription lifecycle management.</w:t>
      </w:r>
    </w:p>
    <w:p>
      <w:pPr>
        <w:spacing w:before="60" w:after="60"/>
      </w:pPr>
    </w:p>
    <w:p>
      <w:pPr>
        <w:pStyle w:val="Heading3"/>
      </w:pPr>
      <w:r>
        <w:t xml:space="preserve">Stripe Integration Scope (MVP)</w:t>
      </w:r>
    </w:p>
    <w:p>
      <w:pPr>
        <w:pStyle w:val="ListParagraph"/>
        <w:numPr>
          <w:ilvl w:val="0"/>
          <w:numId w:val="2"/>
        </w:numPr>
        <w:spacing w:after="60" w:line="276"/>
      </w:pPr>
      <w:r>
        <w:rPr>
          <w:rFonts w:ascii="Arial" w:cs="Arial" w:eastAsia="Arial" w:hAnsi="Arial"/>
          <w:color w:val="1A1A1A"/>
          <w:sz w:val="22"/>
          <w:szCs w:val="22"/>
        </w:rPr>
        <w:t xml:space="preserve">Subscription management: monthly and annual plans, early bird pricing tier, plan upgrades/downgrades with automatic proration</w:t>
      </w:r>
    </w:p>
    <w:p>
      <w:pPr>
        <w:pStyle w:val="ListParagraph"/>
        <w:numPr>
          <w:ilvl w:val="0"/>
          <w:numId w:val="2"/>
        </w:numPr>
        <w:spacing w:after="60" w:line="276"/>
      </w:pPr>
      <w:r>
        <w:rPr>
          <w:rFonts w:ascii="Arial" w:cs="Arial" w:eastAsia="Arial" w:hAnsi="Arial"/>
          <w:color w:val="1A1A1A"/>
          <w:sz w:val="22"/>
          <w:szCs w:val="22"/>
        </w:rPr>
        <w:t xml:space="preserve">Payment processing: credit card (Visa, Mastercard, Amex); 2.9% + $0.30 CAD per transaction</w:t>
      </w:r>
    </w:p>
    <w:p>
      <w:pPr>
        <w:pStyle w:val="ListParagraph"/>
        <w:numPr>
          <w:ilvl w:val="0"/>
          <w:numId w:val="2"/>
        </w:numPr>
        <w:spacing w:after="60" w:line="276"/>
      </w:pPr>
      <w:r>
        <w:rPr>
          <w:rFonts w:ascii="Arial" w:cs="Arial" w:eastAsia="Arial" w:hAnsi="Arial"/>
          <w:color w:val="1A1A1A"/>
          <w:sz w:val="22"/>
          <w:szCs w:val="22"/>
        </w:rPr>
        <w:t xml:space="preserve">Automated invoicing: every payment generates a PDF invoice with Meritum’s GST registration number, line item breakdown (subscription fee + GST), and physician’s business details for tax deduction purposes</w:t>
      </w:r>
    </w:p>
    <w:p>
      <w:pPr>
        <w:pStyle w:val="ListParagraph"/>
        <w:numPr>
          <w:ilvl w:val="0"/>
          <w:numId w:val="2"/>
        </w:numPr>
        <w:spacing w:after="60" w:line="276"/>
      </w:pPr>
      <w:r>
        <w:rPr>
          <w:rFonts w:ascii="Arial" w:cs="Arial" w:eastAsia="Arial" w:hAnsi="Arial"/>
          <w:color w:val="1A1A1A"/>
          <w:sz w:val="22"/>
          <w:szCs w:val="22"/>
        </w:rPr>
        <w:t xml:space="preserve">Customer portal: Stripe-hosted portal where physicians can update payment method, view billing history, and download invoices/receipts—no PHI passes through Stripe</w:t>
      </w:r>
    </w:p>
    <w:p>
      <w:pPr>
        <w:pStyle w:val="ListParagraph"/>
        <w:numPr>
          <w:ilvl w:val="0"/>
          <w:numId w:val="2"/>
        </w:numPr>
        <w:spacing w:after="60" w:line="276"/>
      </w:pPr>
      <w:r>
        <w:rPr>
          <w:rFonts w:ascii="Arial" w:cs="Arial" w:eastAsia="Arial" w:hAnsi="Arial"/>
          <w:color w:val="1A1A1A"/>
          <w:sz w:val="22"/>
          <w:szCs w:val="22"/>
        </w:rPr>
        <w:t xml:space="preserve">Failed payment handling: Stripe Smart Retries for failed payments; configurable dunning sequence (retry at 1, 3, 7 days; email notification at each attempt; account suspension after 14 days of failed payment with grace period for claim access)</w:t>
      </w:r>
    </w:p>
    <w:p>
      <w:pPr>
        <w:pStyle w:val="ListParagraph"/>
        <w:numPr>
          <w:ilvl w:val="0"/>
          <w:numId w:val="2"/>
        </w:numPr>
        <w:spacing w:after="60" w:line="276"/>
      </w:pPr>
      <w:r>
        <w:rPr>
          <w:rFonts w:ascii="Arial" w:cs="Arial" w:eastAsia="Arial" w:hAnsi="Arial"/>
          <w:color w:val="1A1A1A"/>
          <w:sz w:val="22"/>
          <w:szCs w:val="22"/>
        </w:rPr>
        <w:t xml:space="preserve">Referral credits (post-PMF): applied as balance adjustments on the Stripe customer object; credited against next invoice</w:t>
      </w:r>
    </w:p>
    <w:p>
      <w:pPr>
        <w:pStyle w:val="ListParagraph"/>
        <w:numPr>
          <w:ilvl w:val="0"/>
          <w:numId w:val="2"/>
        </w:numPr>
        <w:spacing w:after="60" w:line="276"/>
      </w:pPr>
      <w:r>
        <w:rPr>
          <w:rFonts w:ascii="Arial" w:cs="Arial" w:eastAsia="Arial" w:hAnsi="Arial"/>
          <w:color w:val="1A1A1A"/>
          <w:sz w:val="22"/>
          <w:szCs w:val="22"/>
        </w:rPr>
        <w:t xml:space="preserve">Webhook integration: Stripe webhooks notify Meritum of subscription events (created, renewed, payment failed, cancelled) for platform access control</w:t>
      </w:r>
    </w:p>
    <w:p>
      <w:pPr>
        <w:spacing w:before="60" w:after="60"/>
      </w:pPr>
    </w:p>
    <w:p>
      <w:pPr>
        <w:pStyle w:val="Heading3"/>
      </w:pPr>
      <w:r>
        <w:t xml:space="preserve">Financial Separation</w:t>
      </w:r>
    </w:p>
    <w:p>
      <w:pPr>
        <w:spacing w:after="120" w:line="276"/>
      </w:pPr>
      <w:r>
        <w:rPr>
          <w:rFonts w:ascii="Arial" w:cs="Arial" w:eastAsia="Arial" w:hAnsi="Arial"/>
          <w:color w:val="1A1A1A"/>
          <w:sz w:val="22"/>
          <w:szCs w:val="22"/>
        </w:rPr>
        <w:t xml:space="preserve">Stripe handles financial data exclusively. No credit card numbers, payment tokens, or bank details are stored in or pass through Meritum’s infrastructure. The Meritum platform stores only: Stripe customer ID, subscription status, plan type, and billing period dates. This separation ensures PCI compliance is Stripe’s responsibility and PHI/financial data never co-mingle in a single system.</w:t>
      </w:r>
    </w:p>
    <w:p>
      <w:pPr>
        <w:spacing w:before="120" w:after="120"/>
      </w:pPr>
    </w:p>
    <w:p>
      <w:pPr>
        <w:pStyle w:val="Heading2"/>
      </w:pPr>
      <w:r>
        <w:t xml:space="preserve">5.5 Support System</w:t>
      </w:r>
    </w:p>
    <w:p>
      <w:pPr>
        <w:spacing w:after="120" w:line="276"/>
      </w:pPr>
      <w:r>
        <w:rPr>
          <w:rFonts w:ascii="Arial" w:cs="Arial" w:eastAsia="Arial" w:hAnsi="Arial"/>
          <w:color w:val="1A1A1A"/>
          <w:sz w:val="22"/>
          <w:szCs w:val="22"/>
        </w:rPr>
        <w:t xml:space="preserve">The support system is designed to scale from email-only at launch to AI-assisted resolution as the platform matures, reusing the same LLM infrastructure built for the AI Billing Coach.</w:t>
      </w:r>
    </w:p>
    <w:p>
      <w:pPr>
        <w:spacing w:before="60" w:after="60"/>
      </w:pPr>
    </w:p>
    <w:p>
      <w:pPr>
        <w:pStyle w:val="Heading3"/>
      </w:pPr>
      <w:r>
        <w:t xml:space="preserve">Launch: Email + Structured Help Centre</w:t>
      </w:r>
    </w:p>
    <w:p>
      <w:pPr>
        <w:pStyle w:val="ListParagraph"/>
        <w:numPr>
          <w:ilvl w:val="0"/>
          <w:numId w:val="2"/>
        </w:numPr>
        <w:spacing w:after="60" w:line="276"/>
      </w:pPr>
      <w:r>
        <w:rPr>
          <w:rFonts w:ascii="Arial" w:cs="Arial" w:eastAsia="Arial" w:hAnsi="Arial"/>
          <w:color w:val="1A1A1A"/>
          <w:sz w:val="22"/>
          <w:szCs w:val="22"/>
        </w:rPr>
        <w:t xml:space="preserve">Email support: support@meritum.ca with 4-hour response target for billing-critical issues during business hours</w:t>
      </w:r>
    </w:p>
    <w:p>
      <w:pPr>
        <w:pStyle w:val="ListParagraph"/>
        <w:numPr>
          <w:ilvl w:val="0"/>
          <w:numId w:val="2"/>
        </w:numPr>
        <w:spacing w:after="60" w:line="276"/>
      </w:pPr>
      <w:r>
        <w:rPr>
          <w:rFonts w:ascii="Arial" w:cs="Arial" w:eastAsia="Arial" w:hAnsi="Arial"/>
          <w:color w:val="1A1A1A"/>
          <w:sz w:val="22"/>
          <w:szCs w:val="22"/>
        </w:rPr>
        <w:t xml:space="preserve">Structured help centre: searchable articles covering the top 50–100 anticipated questions, organised by domain (billing codes, modifiers, governing rules, WCB, account management, submission process)</w:t>
      </w:r>
    </w:p>
    <w:p>
      <w:pPr>
        <w:pStyle w:val="ListParagraph"/>
        <w:numPr>
          <w:ilvl w:val="0"/>
          <w:numId w:val="2"/>
        </w:numPr>
        <w:spacing w:after="60" w:line="276"/>
      </w:pPr>
      <w:r>
        <w:rPr>
          <w:rFonts w:ascii="Arial" w:cs="Arial" w:eastAsia="Arial" w:hAnsi="Arial"/>
          <w:color w:val="1A1A1A"/>
          <w:sz w:val="22"/>
          <w:szCs w:val="22"/>
        </w:rPr>
        <w:t xml:space="preserve">Help content authored in plain language (matching tooltip style) with links to authoritative SOMB/GR/WCB sources</w:t>
      </w:r>
    </w:p>
    <w:p>
      <w:pPr>
        <w:pStyle w:val="ListParagraph"/>
        <w:numPr>
          <w:ilvl w:val="0"/>
          <w:numId w:val="2"/>
        </w:numPr>
        <w:spacing w:after="60" w:line="276"/>
      </w:pPr>
      <w:r>
        <w:rPr>
          <w:rFonts w:ascii="Arial" w:cs="Arial" w:eastAsia="Arial" w:hAnsi="Arial"/>
          <w:color w:val="1A1A1A"/>
          <w:sz w:val="22"/>
          <w:szCs w:val="22"/>
        </w:rPr>
        <w:t xml:space="preserve">In-app access to help centre from every screen, with context-aware suggested articles based on current screen/task</w:t>
      </w:r>
    </w:p>
    <w:p>
      <w:pPr>
        <w:spacing w:before="60" w:after="60"/>
      </w:pPr>
    </w:p>
    <w:p>
      <w:pPr>
        <w:pStyle w:val="Heading3"/>
      </w:pPr>
      <w:r>
        <w:t xml:space="preserve">Phase 1.5: AI-Assisted Support (Post-Launch)</w:t>
      </w:r>
    </w:p>
    <w:p>
      <w:pPr>
        <w:spacing w:after="120" w:line="276"/>
      </w:pPr>
      <w:r>
        <w:rPr>
          <w:rFonts w:ascii="Arial" w:cs="Arial" w:eastAsia="Arial" w:hAnsi="Arial"/>
          <w:color w:val="1A1A1A"/>
          <w:sz w:val="22"/>
          <w:szCs w:val="22"/>
        </w:rPr>
        <w:t xml:space="preserve">Once the AI Billing Coach LLM is running in production and real support queries have been collected to calibrate against, the support system adds an AI chat layer:</w:t>
      </w:r>
    </w:p>
    <w:p>
      <w:pPr>
        <w:pStyle w:val="ListParagraph"/>
        <w:numPr>
          <w:ilvl w:val="0"/>
          <w:numId w:val="2"/>
        </w:numPr>
        <w:spacing w:after="60" w:line="276"/>
      </w:pPr>
      <w:r>
        <w:rPr>
          <w:rFonts w:ascii="Arial" w:cs="Arial" w:eastAsia="Arial" w:hAnsi="Arial"/>
          <w:b/>
          <w:bCs/>
          <w:color w:val="1A1A1A"/>
          <w:sz w:val="22"/>
          <w:szCs w:val="22"/>
        </w:rPr>
        <w:t xml:space="preserve">Knowledge corpus: </w:t>
      </w:r>
      <w:r>
        <w:rPr>
          <w:rFonts w:ascii="Arial" w:cs="Arial" w:eastAsia="Arial" w:hAnsi="Arial"/>
          <w:color w:val="1A1A1A"/>
          <w:sz w:val="22"/>
          <w:szCs w:val="22"/>
        </w:rPr>
        <w:t xml:space="preserve">Help centre articles, SOMB sections, governing rules, WCB policies, and platform documentation embedded into a vector store for retrieval-augmented generation (RAG).</w:t>
      </w:r>
    </w:p>
    <w:p>
      <w:pPr>
        <w:pStyle w:val="ListParagraph"/>
        <w:numPr>
          <w:ilvl w:val="0"/>
          <w:numId w:val="2"/>
        </w:numPr>
        <w:spacing w:after="60" w:line="276"/>
      </w:pPr>
      <w:r>
        <w:rPr>
          <w:rFonts w:ascii="Arial" w:cs="Arial" w:eastAsia="Arial" w:hAnsi="Arial"/>
          <w:b/>
          <w:bCs/>
          <w:color w:val="1A1A1A"/>
          <w:sz w:val="22"/>
          <w:szCs w:val="22"/>
        </w:rPr>
        <w:t xml:space="preserve">AI resolution: </w:t>
      </w:r>
      <w:r>
        <w:rPr>
          <w:rFonts w:ascii="Arial" w:cs="Arial" w:eastAsia="Arial" w:hAnsi="Arial"/>
          <w:color w:val="1A1A1A"/>
          <w:sz w:val="22"/>
          <w:szCs w:val="22"/>
        </w:rPr>
        <w:t xml:space="preserve">In-app chat widget powered by the same self-hosted LLM as the Billing Coach. Queries are answered with a plain-language response and citation to the relevant source. The AI can answer questions like “What does explanatory code 42 mean?” or “When is CMGP applicable?”</w:t>
      </w:r>
    </w:p>
    <w:p>
      <w:pPr>
        <w:pStyle w:val="ListParagraph"/>
        <w:numPr>
          <w:ilvl w:val="0"/>
          <w:numId w:val="2"/>
        </w:numPr>
        <w:spacing w:after="60" w:line="276"/>
      </w:pPr>
      <w:r>
        <w:rPr>
          <w:rFonts w:ascii="Arial" w:cs="Arial" w:eastAsia="Arial" w:hAnsi="Arial"/>
          <w:b/>
          <w:bCs/>
          <w:color w:val="1A1A1A"/>
          <w:sz w:val="22"/>
          <w:szCs w:val="22"/>
        </w:rPr>
        <w:t xml:space="preserve">Escalation: </w:t>
      </w:r>
      <w:r>
        <w:rPr>
          <w:rFonts w:ascii="Arial" w:cs="Arial" w:eastAsia="Arial" w:hAnsi="Arial"/>
          <w:color w:val="1A1A1A"/>
          <w:sz w:val="22"/>
          <w:szCs w:val="22"/>
        </w:rPr>
        <w:t xml:space="preserve">Queries the AI cannot resolve confidently, or account-specific questions requiring claim data access (e.g., “Why was my claim rejected?”), escalate to email with context pre-attached so the physician doesn’t repeat themselves.</w:t>
      </w:r>
    </w:p>
    <w:p>
      <w:pPr>
        <w:pStyle w:val="ListParagraph"/>
        <w:numPr>
          <w:ilvl w:val="0"/>
          <w:numId w:val="2"/>
        </w:numPr>
        <w:spacing w:after="60" w:line="276"/>
      </w:pPr>
      <w:r>
        <w:rPr>
          <w:rFonts w:ascii="Arial" w:cs="Arial" w:eastAsia="Arial" w:hAnsi="Arial"/>
          <w:b/>
          <w:bCs/>
          <w:color w:val="1A1A1A"/>
          <w:sz w:val="22"/>
          <w:szCs w:val="22"/>
        </w:rPr>
        <w:t xml:space="preserve">Continuous improvement: </w:t>
      </w:r>
      <w:r>
        <w:rPr>
          <w:rFonts w:ascii="Arial" w:cs="Arial" w:eastAsia="Arial" w:hAnsi="Arial"/>
          <w:color w:val="1A1A1A"/>
          <w:sz w:val="22"/>
          <w:szCs w:val="22"/>
        </w:rPr>
        <w:t xml:space="preserve">Escalated queries are reviewed to identify gaps in the knowledge corpus. Patterns in support queries inform help centre article creation and Billing Coach rule refinements.</w:t>
      </w:r>
    </w:p>
    <w:p>
      <w:pPr>
        <w:spacing w:before="120" w:after="120"/>
      </w:pPr>
    </w:p>
    <w:p>
      <w:pPr>
        <w:pStyle w:val="Heading2"/>
      </w:pPr>
      <w:r>
        <w:t xml:space="preserve">5.6 EMR Coexistence Strategy</w:t>
      </w:r>
    </w:p>
    <w:p>
      <w:pPr>
        <w:spacing w:after="120" w:line="276"/>
      </w:pPr>
      <w:r>
        <w:rPr>
          <w:rFonts w:ascii="Arial" w:cs="Arial" w:eastAsia="Arial" w:hAnsi="Arial"/>
          <w:color w:val="1A1A1A"/>
          <w:sz w:val="22"/>
          <w:szCs w:val="22"/>
        </w:rPr>
        <w:t xml:space="preserve">Many Alberta physicians—particularly clinic-based family physicians and specialists—use an EMR (MedAccess, Wolf, PS Suite, or similar) for clinical documentation and, in some cases, basic billing. Meritum does not replace the EMR. It coexists with it. The MVP must serve physicians across three distinct segments without requiring EMR integration, which is deferred to Phase 2–3.</w:t>
      </w:r>
    </w:p>
    <w:p>
      <w:pPr>
        <w:spacing w:before="60" w:after="60"/>
      </w:pPr>
    </w:p>
    <w:p>
      <w:pPr>
        <w:pStyle w:val="Heading3"/>
      </w:pPr>
      <w:r>
        <w:t xml:space="preserve">Segment 1: EMR Handles Clinic Billing</w:t>
      </w:r>
    </w:p>
    <w:p>
      <w:pPr>
        <w:spacing w:after="120" w:line="276"/>
      </w:pPr>
      <w:r>
        <w:rPr>
          <w:rFonts w:ascii="Arial" w:cs="Arial" w:eastAsia="Arial" w:hAnsi="Arial"/>
          <w:color w:val="1A1A1A"/>
          <w:sz w:val="22"/>
          <w:szCs w:val="22"/>
        </w:rPr>
        <w:t xml:space="preserve">These physicians document visits in their EMR, and billing claims are generated from the encounter record. The EMR submits to H-Link through its own pathway or a connected service (e.g., ClinicAid).</w:t>
      </w:r>
    </w:p>
    <w:p>
      <w:pPr>
        <w:spacing w:after="120" w:line="276"/>
      </w:pPr>
      <w:r>
        <w:rPr>
          <w:rFonts w:ascii="Arial" w:cs="Arial" w:eastAsia="Arial" w:hAnsi="Arial"/>
          <w:b/>
          <w:bCs/>
          <w:color w:val="1A1A1A"/>
          <w:sz w:val="22"/>
          <w:szCs w:val="22"/>
        </w:rPr>
        <w:t xml:space="preserve">Meritum’s role: </w:t>
      </w:r>
      <w:r>
        <w:rPr>
          <w:rFonts w:ascii="Arial" w:cs="Arial" w:eastAsia="Arial" w:hAnsi="Arial"/>
          <w:color w:val="1A1A1A"/>
          <w:sz w:val="22"/>
          <w:szCs w:val="22"/>
        </w:rPr>
        <w:t xml:space="preserve">Intelligent validation layer. The physician (or delegate) exports the billing batch from their EMR as a CSV/flat file, imports it into Meritum, and Meritum runs the full rules engine and AI Coach before submitting to H-Link. The physician is not re-entering claims—they are running existing claims through an intelligence layer the EMR doesn’t provide.</w:t>
      </w:r>
    </w:p>
    <w:p>
      <w:pPr>
        <w:spacing w:after="120" w:line="276"/>
      </w:pPr>
      <w:r>
        <w:rPr>
          <w:rFonts w:ascii="Arial" w:cs="Arial" w:eastAsia="Arial" w:hAnsi="Arial"/>
          <w:b/>
          <w:bCs/>
          <w:color w:val="1A1A1A"/>
          <w:sz w:val="22"/>
          <w:szCs w:val="22"/>
        </w:rPr>
        <w:t xml:space="preserve">Value proposition: </w:t>
      </w:r>
      <w:r>
        <w:rPr>
          <w:rFonts w:ascii="Arial" w:cs="Arial" w:eastAsia="Arial" w:hAnsi="Arial"/>
          <w:color w:val="1A1A1A"/>
          <w:sz w:val="22"/>
          <w:szCs w:val="22"/>
        </w:rPr>
        <w:t xml:space="preserve">EMR billing modules perform minimal validation. They don’t check governing rule combinations (GR 5), flag missed modifiers (CMGP, RRNP, after-hours), detect missed code opportunities, or prevent known rejection patterns. Meritum catches what the EMR misses. A five-minute weekly import replaces hours of manual billing review—or eliminates the surprise of discovering rejections weeks later.</w:t>
      </w:r>
    </w:p>
    <w:p>
      <w:pPr>
        <w:spacing w:after="120" w:line="276"/>
      </w:pPr>
      <w:r>
        <w:rPr>
          <w:rFonts w:ascii="Arial" w:cs="Arial" w:eastAsia="Arial" w:hAnsi="Arial"/>
          <w:b/>
          <w:bCs/>
          <w:color w:val="1A1A1A"/>
          <w:sz w:val="22"/>
          <w:szCs w:val="22"/>
        </w:rPr>
        <w:t xml:space="preserve">Workflow: </w:t>
      </w:r>
      <w:r>
        <w:rPr>
          <w:rFonts w:ascii="Arial" w:cs="Arial" w:eastAsia="Arial" w:hAnsi="Arial"/>
          <w:color w:val="1A1A1A"/>
          <w:sz w:val="22"/>
          <w:szCs w:val="22"/>
        </w:rPr>
        <w:t xml:space="preserve">Export CSV from EMR → Upload to Meritum → Review AI Coach suggestions and validation flags → Approve and submit via H-Link. This is a bridge to Phase 2–3 where direct EMR API integration eliminates the manual export/import step.</w:t>
      </w:r>
    </w:p>
    <w:p>
      <w:pPr>
        <w:spacing w:before="60" w:after="60"/>
      </w:pPr>
    </w:p>
    <w:p>
      <w:pPr>
        <w:pStyle w:val="Heading3"/>
      </w:pPr>
      <w:r>
        <w:t xml:space="preserve">Segment 2: EMR Handles Documentation, Not Billing</w:t>
      </w:r>
    </w:p>
    <w:p>
      <w:pPr>
        <w:spacing w:after="120" w:line="276"/>
      </w:pPr>
      <w:r>
        <w:rPr>
          <w:rFonts w:ascii="Arial" w:cs="Arial" w:eastAsia="Arial" w:hAnsi="Arial"/>
          <w:color w:val="1A1A1A"/>
          <w:sz w:val="22"/>
          <w:szCs w:val="22"/>
        </w:rPr>
        <w:t xml:space="preserve">These physicians document clinical encounters in their EMR but enter billing separately—into a spreadsheet, a billing agent’s system, or a standalone tool like ClinicAid.</w:t>
      </w:r>
    </w:p>
    <w:p>
      <w:pPr>
        <w:spacing w:after="120" w:line="276"/>
      </w:pPr>
      <w:r>
        <w:rPr>
          <w:rFonts w:ascii="Arial" w:cs="Arial" w:eastAsia="Arial" w:hAnsi="Arial"/>
          <w:b/>
          <w:bCs/>
          <w:color w:val="1A1A1A"/>
          <w:sz w:val="22"/>
          <w:szCs w:val="22"/>
        </w:rPr>
        <w:t xml:space="preserve">Meritum’s role: </w:t>
      </w:r>
      <w:r>
        <w:rPr>
          <w:rFonts w:ascii="Arial" w:cs="Arial" w:eastAsia="Arial" w:hAnsi="Arial"/>
          <w:color w:val="1A1A1A"/>
          <w:sz w:val="22"/>
          <w:szCs w:val="22"/>
        </w:rPr>
        <w:t xml:space="preserve">Direct replacement for the separate billing step. No workflow change required—the physician already enters billing independently of the EMR. Meritum replaces whatever they’re currently using with a superior tool.</w:t>
      </w:r>
    </w:p>
    <w:p>
      <w:pPr>
        <w:spacing w:before="60" w:after="60"/>
      </w:pPr>
    </w:p>
    <w:p>
      <w:pPr>
        <w:pStyle w:val="Heading3"/>
      </w:pPr>
      <w:r>
        <w:t xml:space="preserve">Segment 3: No EMR in the Picture</w:t>
      </w:r>
    </w:p>
    <w:p>
      <w:pPr>
        <w:spacing w:after="120" w:line="276"/>
      </w:pPr>
      <w:r>
        <w:rPr>
          <w:rFonts w:ascii="Arial" w:cs="Arial" w:eastAsia="Arial" w:hAnsi="Arial"/>
          <w:color w:val="1A1A1A"/>
          <w:sz w:val="22"/>
          <w:szCs w:val="22"/>
        </w:rPr>
        <w:t xml:space="preserve">These physicians are in settings where the clinic EMR doesn’t reach: hospital rounding, ED shifts, nursing home visits, obstetric deliveries, virtual care from home, locum rotations, or diagnostic imaging reads across multiple sites.</w:t>
      </w:r>
    </w:p>
    <w:p>
      <w:pPr>
        <w:spacing w:after="120" w:line="276"/>
      </w:pPr>
      <w:r>
        <w:rPr>
          <w:rFonts w:ascii="Arial" w:cs="Arial" w:eastAsia="Arial" w:hAnsi="Arial"/>
          <w:b/>
          <w:bCs/>
          <w:color w:val="1A1A1A"/>
          <w:sz w:val="22"/>
          <w:szCs w:val="22"/>
        </w:rPr>
        <w:t xml:space="preserve">Meritum’s role: </w:t>
      </w:r>
      <w:r>
        <w:rPr>
          <w:rFonts w:ascii="Arial" w:cs="Arial" w:eastAsia="Arial" w:hAnsi="Arial"/>
          <w:color w:val="1A1A1A"/>
          <w:sz w:val="22"/>
          <w:szCs w:val="22"/>
        </w:rPr>
        <w:t xml:space="preserve">Complete billing workflow—from claim creation through submission. This segment has the least friction to adoption because there’s no competing tool and no double-entry risk. The ED shift workflow, mobile companion, and multi-site support are purpose-built for this segment.</w:t>
      </w:r>
    </w:p>
    <w:p>
      <w:pPr>
        <w:spacing w:before="60" w:after="60"/>
      </w:pPr>
    </w:p>
    <w:p>
      <w:pPr>
        <w:pStyle w:val="Heading3"/>
      </w:pPr>
      <w:r>
        <w:t xml:space="preserve">Positioning</w:t>
      </w:r>
    </w:p>
    <w:p>
      <w:pPr>
        <w:spacing w:after="120" w:line="276"/>
      </w:pPr>
      <w:r>
        <w:rPr>
          <w:rFonts w:ascii="Arial" w:cs="Arial" w:eastAsia="Arial" w:hAnsi="Arial"/>
          <w:b/>
          <w:bCs/>
          <w:color w:val="1A1A1A"/>
          <w:sz w:val="22"/>
          <w:szCs w:val="22"/>
        </w:rPr>
        <w:t xml:space="preserve">Key message: </w:t>
      </w:r>
      <w:r>
        <w:rPr>
          <w:rFonts w:ascii="Arial" w:cs="Arial" w:eastAsia="Arial" w:hAnsi="Arial"/>
          <w:color w:val="1A1A1A"/>
          <w:sz w:val="22"/>
          <w:szCs w:val="22"/>
        </w:rPr>
        <w:t xml:space="preserve">“Meritum doesn’t replace your EMR. It makes your billing smarter—whether your claims come from your EMR, your shift log, or direct entry.”</w:t>
      </w:r>
    </w:p>
    <w:p>
      <w:pPr>
        <w:spacing w:after="120" w:line="276"/>
      </w:pPr>
      <w:r>
        <w:rPr>
          <w:rFonts w:ascii="Arial" w:cs="Arial" w:eastAsia="Arial" w:hAnsi="Arial"/>
          <w:color w:val="1A1A1A"/>
          <w:sz w:val="22"/>
          <w:szCs w:val="22"/>
        </w:rPr>
        <w:t xml:space="preserve">This positioning is critical because the first question from any clinic-based physician will be “but I already use MedAccess for billing.” The answer must not sound like Meritum is asking them to abandon their workflow. Instead, Meritum is the intelligence layer that sits between their existing workflow and H-Link—catching revenue they’re currently losing.</w:t>
      </w:r>
    </w:p>
    <w:p>
      <w:pPr>
        <w:spacing w:before="60" w:after="60"/>
      </w:pPr>
    </w:p>
    <w:p>
      <w:pPr>
        <w:pStyle w:val="Heading3"/>
      </w:pPr>
      <w:r>
        <w:t xml:space="preserve">Claim Batch Import: Technical Scope</w:t>
      </w:r>
    </w:p>
    <w:p>
      <w:pPr>
        <w:spacing w:after="120" w:line="276"/>
      </w:pPr>
      <w:r>
        <w:rPr>
          <w:rFonts w:ascii="Arial" w:cs="Arial" w:eastAsia="Arial" w:hAnsi="Arial"/>
          <w:color w:val="1A1A1A"/>
          <w:sz w:val="22"/>
          <w:szCs w:val="22"/>
        </w:rPr>
        <w:t xml:space="preserve">The claim batch import feature is the MVP bridge for Segment 1 physicians. It must:</w:t>
      </w:r>
    </w:p>
    <w:p>
      <w:pPr>
        <w:pStyle w:val="ListParagraph"/>
        <w:numPr>
          <w:ilvl w:val="0"/>
          <w:numId w:val="2"/>
        </w:numPr>
        <w:spacing w:after="60" w:line="276"/>
      </w:pPr>
      <w:r>
        <w:rPr>
          <w:rFonts w:ascii="Arial" w:cs="Arial" w:eastAsia="Arial" w:hAnsi="Arial"/>
          <w:color w:val="1A1A1A"/>
          <w:sz w:val="22"/>
          <w:szCs w:val="22"/>
        </w:rPr>
        <w:t xml:space="preserve">Accept CSV/flat file uploads in common formats (comma-separated, tab-separated, fixed-width)</w:t>
      </w:r>
    </w:p>
    <w:p>
      <w:pPr>
        <w:pStyle w:val="ListParagraph"/>
        <w:numPr>
          <w:ilvl w:val="0"/>
          <w:numId w:val="2"/>
        </w:numPr>
        <w:spacing w:after="60" w:line="276"/>
      </w:pPr>
      <w:r>
        <w:rPr>
          <w:rFonts w:ascii="Arial" w:cs="Arial" w:eastAsia="Arial" w:hAnsi="Arial"/>
          <w:color w:val="1A1A1A"/>
          <w:sz w:val="22"/>
          <w:szCs w:val="22"/>
        </w:rPr>
        <w:t xml:space="preserve">Provide field mapping UI: the first import from any EMR requires the physician (or delegate) to map their EMR’s column headers to Meritum’s claim fields (HSC code, patient PHN, date of service, modifiers, diagnostic code, functional centre, etc.). Mappings are saved per physician for future imports.</w:t>
      </w:r>
    </w:p>
    <w:p>
      <w:pPr>
        <w:pStyle w:val="ListParagraph"/>
        <w:numPr>
          <w:ilvl w:val="0"/>
          <w:numId w:val="2"/>
        </w:numPr>
        <w:spacing w:after="60" w:line="276"/>
      </w:pPr>
      <w:r>
        <w:rPr>
          <w:rFonts w:ascii="Arial" w:cs="Arial" w:eastAsia="Arial" w:hAnsi="Arial"/>
          <w:color w:val="1A1A1A"/>
          <w:sz w:val="22"/>
          <w:szCs w:val="22"/>
        </w:rPr>
        <w:t xml:space="preserve">Validate imported claims against the full rules engine: governing rules, modifier eligibility, code combinations, RRNP, statutory holiday premiums, 90-day window, duplicate detection</w:t>
      </w:r>
    </w:p>
    <w:p>
      <w:pPr>
        <w:pStyle w:val="ListParagraph"/>
        <w:numPr>
          <w:ilvl w:val="0"/>
          <w:numId w:val="2"/>
        </w:numPr>
        <w:spacing w:after="60" w:line="276"/>
      </w:pPr>
      <w:r>
        <w:rPr>
          <w:rFonts w:ascii="Arial" w:cs="Arial" w:eastAsia="Arial" w:hAnsi="Arial"/>
          <w:color w:val="1A1A1A"/>
          <w:sz w:val="22"/>
          <w:szCs w:val="22"/>
        </w:rPr>
        <w:t xml:space="preserve">Run AI Coach analysis on imported claims: missed modifiers, missed codes, revenue recovery suggestions</w:t>
      </w:r>
    </w:p>
    <w:p>
      <w:pPr>
        <w:pStyle w:val="ListParagraph"/>
        <w:numPr>
          <w:ilvl w:val="0"/>
          <w:numId w:val="2"/>
        </w:numPr>
        <w:spacing w:after="60" w:line="276"/>
      </w:pPr>
      <w:r>
        <w:rPr>
          <w:rFonts w:ascii="Arial" w:cs="Arial" w:eastAsia="Arial" w:hAnsi="Arial"/>
          <w:color w:val="1A1A1A"/>
          <w:sz w:val="22"/>
          <w:szCs w:val="22"/>
        </w:rPr>
        <w:t xml:space="preserve">Present a review screen showing imported claims with validation results and AI Coach suggestions, clearly distinguishing “clean” from “flagged” claims</w:t>
      </w:r>
    </w:p>
    <w:p>
      <w:pPr>
        <w:pStyle w:val="ListParagraph"/>
        <w:numPr>
          <w:ilvl w:val="0"/>
          <w:numId w:val="2"/>
        </w:numPr>
        <w:spacing w:after="60" w:line="276"/>
      </w:pPr>
      <w:r>
        <w:rPr>
          <w:rFonts w:ascii="Arial" w:cs="Arial" w:eastAsia="Arial" w:hAnsi="Arial"/>
          <w:color w:val="1A1A1A"/>
          <w:sz w:val="22"/>
          <w:szCs w:val="22"/>
        </w:rPr>
        <w:t xml:space="preserve">Allow physicians to accept, modify, or dismiss AI Coach suggestions on imported claims before queuing for submission</w:t>
      </w:r>
    </w:p>
    <w:p>
      <w:pPr>
        <w:pStyle w:val="ListParagraph"/>
        <w:numPr>
          <w:ilvl w:val="0"/>
          <w:numId w:val="2"/>
        </w:numPr>
        <w:spacing w:after="60" w:line="276"/>
      </w:pPr>
      <w:r>
        <w:rPr>
          <w:rFonts w:ascii="Arial" w:cs="Arial" w:eastAsia="Arial" w:hAnsi="Arial"/>
          <w:color w:val="1A1A1A"/>
          <w:sz w:val="22"/>
          <w:szCs w:val="22"/>
        </w:rPr>
        <w:t xml:space="preserve">Handle partial imports gracefully: if some rows fail parsing or validation, import the valid ones and present errors on the rest for correction</w:t>
      </w:r>
    </w:p>
    <w:p>
      <w:pPr>
        <w:pStyle w:val="ListParagraph"/>
        <w:numPr>
          <w:ilvl w:val="0"/>
          <w:numId w:val="2"/>
        </w:numPr>
        <w:spacing w:after="60" w:line="276"/>
      </w:pPr>
      <w:r>
        <w:rPr>
          <w:rFonts w:ascii="Arial" w:cs="Arial" w:eastAsia="Arial" w:hAnsi="Arial"/>
          <w:color w:val="1A1A1A"/>
          <w:sz w:val="22"/>
          <w:szCs w:val="22"/>
        </w:rPr>
        <w:t xml:space="preserve">Support scheduled/recurring imports (Phase 2): automatic pull from a designated folder or email attachment, eliminating the manual upload step</w:t>
      </w:r>
    </w:p>
    <w:p>
      <w:pPr>
        <w:spacing w:before="60" w:after="60"/>
      </w:pPr>
    </w:p>
    <w:p>
      <w:pPr>
        <w:pStyle w:val="Heading3"/>
      </w:pPr>
      <w:r>
        <w:t xml:space="preserve">EMR Export Format Research (Pre-Build)</w:t>
      </w:r>
    </w:p>
    <w:p>
      <w:pPr>
        <w:spacing w:after="120" w:line="276"/>
      </w:pPr>
      <w:r>
        <w:rPr>
          <w:rFonts w:ascii="Arial" w:cs="Arial" w:eastAsia="Arial" w:hAnsi="Arial"/>
          <w:color w:val="1A1A1A"/>
          <w:sz w:val="22"/>
          <w:szCs w:val="22"/>
        </w:rPr>
        <w:t xml:space="preserve">Before building the import feature, research is required to determine the actual export formats produced by the major Alberta EMRs:</w:t>
      </w:r>
    </w:p>
    <w:p>
      <w:pPr>
        <w:pStyle w:val="ListParagraph"/>
        <w:numPr>
          <w:ilvl w:val="0"/>
          <w:numId w:val="2"/>
        </w:numPr>
        <w:spacing w:after="60" w:line="276"/>
      </w:pPr>
      <w:r>
        <w:rPr>
          <w:rFonts w:ascii="Arial" w:cs="Arial" w:eastAsia="Arial" w:hAnsi="Arial"/>
          <w:b/>
          <w:bCs/>
          <w:color w:val="1A1A1A"/>
          <w:sz w:val="22"/>
          <w:szCs w:val="22"/>
        </w:rPr>
        <w:t xml:space="preserve">MedAccess: </w:t>
      </w:r>
      <w:r>
        <w:rPr>
          <w:rFonts w:ascii="Arial" w:cs="Arial" w:eastAsia="Arial" w:hAnsi="Arial"/>
          <w:color w:val="1A1A1A"/>
          <w:sz w:val="22"/>
          <w:szCs w:val="22"/>
        </w:rPr>
        <w:t xml:space="preserve">Determine billing export format (CSV structure, field names, encoding), available fields, and any limitations</w:t>
      </w:r>
    </w:p>
    <w:p>
      <w:pPr>
        <w:pStyle w:val="ListParagraph"/>
        <w:numPr>
          <w:ilvl w:val="0"/>
          <w:numId w:val="2"/>
        </w:numPr>
        <w:spacing w:after="60" w:line="276"/>
      </w:pPr>
      <w:r>
        <w:rPr>
          <w:rFonts w:ascii="Arial" w:cs="Arial" w:eastAsia="Arial" w:hAnsi="Arial"/>
          <w:b/>
          <w:bCs/>
          <w:color w:val="1A1A1A"/>
          <w:sz w:val="22"/>
          <w:szCs w:val="22"/>
        </w:rPr>
        <w:t xml:space="preserve">Wolf: </w:t>
      </w:r>
      <w:r>
        <w:rPr>
          <w:rFonts w:ascii="Arial" w:cs="Arial" w:eastAsia="Arial" w:hAnsi="Arial"/>
          <w:color w:val="1A1A1A"/>
          <w:sz w:val="22"/>
          <w:szCs w:val="22"/>
        </w:rPr>
        <w:t xml:space="preserve">Same investigation</w:t>
      </w:r>
    </w:p>
    <w:p>
      <w:pPr>
        <w:pStyle w:val="ListParagraph"/>
        <w:numPr>
          <w:ilvl w:val="0"/>
          <w:numId w:val="2"/>
        </w:numPr>
        <w:spacing w:after="60" w:line="276"/>
      </w:pPr>
      <w:r>
        <w:rPr>
          <w:rFonts w:ascii="Arial" w:cs="Arial" w:eastAsia="Arial" w:hAnsi="Arial"/>
          <w:b/>
          <w:bCs/>
          <w:color w:val="1A1A1A"/>
          <w:sz w:val="22"/>
          <w:szCs w:val="22"/>
        </w:rPr>
        <w:t xml:space="preserve">PS Suite (Telus): </w:t>
      </w:r>
      <w:r>
        <w:rPr>
          <w:rFonts w:ascii="Arial" w:cs="Arial" w:eastAsia="Arial" w:hAnsi="Arial"/>
          <w:color w:val="1A1A1A"/>
          <w:sz w:val="22"/>
          <w:szCs w:val="22"/>
        </w:rPr>
        <w:t xml:space="preserve">Same investigation</w:t>
      </w:r>
    </w:p>
    <w:p>
      <w:pPr>
        <w:pStyle w:val="ListParagraph"/>
        <w:numPr>
          <w:ilvl w:val="0"/>
          <w:numId w:val="2"/>
        </w:numPr>
        <w:spacing w:after="60" w:line="276"/>
      </w:pPr>
      <w:r>
        <w:rPr>
          <w:rFonts w:ascii="Arial" w:cs="Arial" w:eastAsia="Arial" w:hAnsi="Arial"/>
          <w:b/>
          <w:bCs/>
          <w:color w:val="1A1A1A"/>
          <w:sz w:val="22"/>
          <w:szCs w:val="22"/>
        </w:rPr>
        <w:t xml:space="preserve">Accuro: </w:t>
      </w:r>
      <w:r>
        <w:rPr>
          <w:rFonts w:ascii="Arial" w:cs="Arial" w:eastAsia="Arial" w:hAnsi="Arial"/>
          <w:color w:val="1A1A1A"/>
          <w:sz w:val="22"/>
          <w:szCs w:val="22"/>
        </w:rPr>
        <w:t xml:space="preserve">Same investigation</w:t>
      </w:r>
    </w:p>
    <w:p>
      <w:pPr>
        <w:pStyle w:val="ListParagraph"/>
        <w:numPr>
          <w:ilvl w:val="0"/>
          <w:numId w:val="2"/>
        </w:numPr>
        <w:spacing w:after="60" w:line="276"/>
      </w:pPr>
      <w:r>
        <w:rPr>
          <w:rFonts w:ascii="Arial" w:cs="Arial" w:eastAsia="Arial" w:hAnsi="Arial"/>
          <w:b/>
          <w:bCs/>
          <w:color w:val="1A1A1A"/>
          <w:sz w:val="22"/>
          <w:szCs w:val="22"/>
        </w:rPr>
        <w:t xml:space="preserve">Med Access/QHR: </w:t>
      </w:r>
      <w:r>
        <w:rPr>
          <w:rFonts w:ascii="Arial" w:cs="Arial" w:eastAsia="Arial" w:hAnsi="Arial"/>
          <w:color w:val="1A1A1A"/>
          <w:sz w:val="22"/>
          <w:szCs w:val="22"/>
        </w:rPr>
        <w:t xml:space="preserve">Same investigation</w:t>
      </w:r>
    </w:p>
    <w:p>
      <w:pPr>
        <w:spacing w:after="120" w:line="276"/>
      </w:pPr>
      <w:r>
        <w:rPr>
          <w:rFonts w:ascii="Arial" w:cs="Arial" w:eastAsia="Arial" w:hAnsi="Arial"/>
          <w:color w:val="1A1A1A"/>
          <w:sz w:val="22"/>
          <w:szCs w:val="22"/>
        </w:rPr>
        <w:t xml:space="preserve">The field mapping UI provides a universal solution regardless of EMR format—the physician maps their columns once, and Meritum handles the translation. However, pre-built mapping templates for common EMRs (e.g., “I use MedAccess” → auto-apply MedAccess mapping) significantly reduce onboarding friction. These templates can be built incrementally based on actual user EMR usage.</w:t>
      </w:r>
    </w:p>
    <w:p>
      <w:pPr>
        <w:spacing w:before="120" w:after="120"/>
      </w:pPr>
    </w:p>
    <w:p>
      <w:pPr>
        <w:pStyle w:val="Heading2"/>
      </w:pPr>
      <w:r>
        <w:t xml:space="preserve">5.7 Explicitly Deferred (Phase 2+)</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60"/>
        <w:gridCol w:w="2200"/>
      </w:tblGrid>
      <w:tr>
        <w:tc>
          <w:tcPr>
            <w:tcW w:type="dxa" w:w="26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4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 for Deferral</w:t>
            </w:r>
          </w:p>
        </w:tc>
        <w:tc>
          <w:tcPr>
            <w:tcW w:type="dxa" w:w="2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Phase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Native mobile apps (iOS/Android)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Responsive web covers MVP; API-first architecture ensures native apps consume same backend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Phase 2</w:t>
            </w:r>
          </w:p>
        </w:tc>
      </w:tr>
      <w:tr>
        <w:tc>
          <w:tcPr>
            <w:tcW w:type="dxa" w:w="2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Connect Care / Epic SCC integration</w:t>
            </w:r>
          </w:p>
        </w:tc>
        <w:tc>
          <w:tcPr>
            <w:tcW w:type="dxa" w:w="4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Requires AHS arrangement; ED shift workflow optimised for manual entry</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Phase 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Reciprocal / out-of-province billing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Low volume; manual process bridges gap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Phase 2</w:t>
            </w:r>
          </w:p>
        </w:tc>
      </w:tr>
      <w:tr>
        <w:tc>
          <w:tcPr>
            <w:tcW w:type="dxa" w:w="2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Multi-province support</w:t>
            </w:r>
          </w:p>
        </w:tc>
        <w:tc>
          <w:tcPr>
            <w:tcW w:type="dxa" w:w="4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Architecture province-agnostic but MVP is Alberta-only</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Phase 3+</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EMR integration (Med Access, Wolf, PS Suite)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CSV batch import covers MVP; direct API integration per EMR is separate project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Phase 2–3</w:t>
            </w:r>
          </w:p>
        </w:tc>
      </w:tr>
      <w:tr>
        <w:tc>
          <w:tcPr>
            <w:tcW w:type="dxa" w:w="2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Scheduled/recurring claim imports</w:t>
            </w:r>
          </w:p>
        </w:tc>
        <w:tc>
          <w:tcPr>
            <w:tcW w:type="dxa" w:w="4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Manual upload covers MVP; auto-pull from folder or email adds convenience</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Phase 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SOC 2 Type II certification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Revenue required to fund audit ($30K–$50K)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Phase 2</w:t>
            </w:r>
          </w:p>
        </w:tc>
      </w:tr>
      <w:tr>
        <w:tc>
          <w:tcPr>
            <w:tcW w:type="dxa" w:w="2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Formal penetration testing</w:t>
            </w:r>
          </w:p>
        </w:tc>
        <w:tc>
          <w:tcPr>
            <w:tcW w:type="dxa" w:w="4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Automated scanning covers MVP; formal engagement at 12 months</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Phase 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Cyber insurance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Obtain once client base and revenue justify premium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Phase 2</w:t>
            </w:r>
          </w:p>
        </w:tc>
      </w:tr>
      <w:tr>
        <w:tc>
          <w:tcPr>
            <w:tcW w:type="dxa" w:w="2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Photo capture / OCR for paper requisitions</w:t>
            </w:r>
          </w:p>
        </w:tc>
        <w:tc>
          <w:tcPr>
            <w:tcW w:type="dxa" w:w="4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Nice-to-have; not core workflow</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Phase 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Automated bank feed reconciliation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Requires financial institution integration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Phase 3+</w:t>
            </w:r>
          </w:p>
        </w:tc>
      </w:tr>
      <w:tr>
        <w:tc>
          <w:tcPr>
            <w:tcW w:type="dxa" w:w="2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Group practice management</w:t>
            </w:r>
          </w:p>
        </w:tc>
        <w:tc>
          <w:tcPr>
            <w:tcW w:type="dxa" w:w="4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Single-physician + delegate covers MVP</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Phase 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Referral reward program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Launch after 20–30 active physicians confirm PMF</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Phase 1.5</w:t>
            </w:r>
          </w:p>
        </w:tc>
      </w:tr>
      <w:tr>
        <w:tc>
          <w:tcPr>
            <w:tcW w:type="dxa" w:w="2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Accountant/bookkeeper platform access</w:t>
            </w:r>
          </w:p>
        </w:tc>
        <w:tc>
          <w:tcPr>
            <w:tcW w:type="dxa" w:w="4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Export reports cover MVP need</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Phase 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AI-assisted support chat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Launch after LLM in production and real support queries collected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Phase 1.5</w:t>
            </w:r>
          </w:p>
        </w:tc>
      </w:tr>
      <w:tr>
        <w:tc>
          <w:tcPr>
            <w:tcW w:type="dxa" w:w="2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Push notifications</w:t>
            </w:r>
          </w:p>
        </w:tc>
        <w:tc>
          <w:tcPr>
            <w:tcW w:type="dxa" w:w="4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Added with native mobile apps</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Phase 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SMS notifications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Evaluate need after push notifications available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Phase 2+</w:t>
            </w:r>
          </w:p>
        </w:tc>
      </w:tr>
    </w:tbl>
    <w:p>
      <w:pPr>
        <w:spacing w:before="120" w:after="120"/>
      </w:pPr>
    </w:p>
    <w:p>
      <w:r>
        <w:br w:type="page"/>
      </w:r>
    </w:p>
    <w:p>
      <w:pPr>
        <w:pStyle w:val="Heading1"/>
      </w:pPr>
      <w:r>
        <w:t xml:space="preserve">6. Referral Reward Program (Post-PMF)</w:t>
      </w:r>
    </w:p>
    <w:p>
      <w:pPr>
        <w:spacing w:after="120" w:line="276"/>
      </w:pPr>
      <w:r>
        <w:rPr>
          <w:rFonts w:ascii="Arial" w:cs="Arial" w:eastAsia="Arial" w:hAnsi="Arial"/>
          <w:color w:val="1A1A1A"/>
          <w:sz w:val="22"/>
          <w:szCs w:val="22"/>
        </w:rPr>
        <w:t xml:space="preserve">The referral program launches after Meritum has 20–30 active paying physicians and confirmed product-market fit. It is not an MVP feature but is designed in advance to ensure the platform architecture supports it.</w:t>
      </w:r>
    </w:p>
    <w:p>
      <w:pPr>
        <w:pStyle w:val="Heading2"/>
      </w:pPr>
      <w:r>
        <w:t xml:space="preserve">6.1 Program Structure</w:t>
      </w:r>
    </w:p>
    <w:p>
      <w:pPr>
        <w:pStyle w:val="ListParagraph"/>
        <w:numPr>
          <w:ilvl w:val="0"/>
          <w:numId w:val="2"/>
        </w:numPr>
        <w:spacing w:after="60" w:line="276"/>
      </w:pPr>
      <w:r>
        <w:rPr>
          <w:rFonts w:ascii="Arial" w:cs="Arial" w:eastAsia="Arial" w:hAnsi="Arial"/>
          <w:b/>
          <w:bCs/>
          <w:color w:val="1A1A1A"/>
          <w:sz w:val="22"/>
          <w:szCs w:val="22"/>
        </w:rPr>
        <w:t xml:space="preserve">Referring physician: </w:t>
      </w:r>
      <w:r>
        <w:rPr>
          <w:rFonts w:ascii="Arial" w:cs="Arial" w:eastAsia="Arial" w:hAnsi="Arial"/>
          <w:color w:val="1A1A1A"/>
          <w:sz w:val="22"/>
          <w:szCs w:val="22"/>
        </w:rPr>
        <w:t xml:space="preserve">Receives a $279 credit (one month free) when a referred physician becomes a paying subscriber.</w:t>
      </w:r>
    </w:p>
    <w:p>
      <w:pPr>
        <w:pStyle w:val="ListParagraph"/>
        <w:numPr>
          <w:ilvl w:val="0"/>
          <w:numId w:val="2"/>
        </w:numPr>
        <w:spacing w:after="60" w:line="276"/>
      </w:pPr>
      <w:r>
        <w:rPr>
          <w:rFonts w:ascii="Arial" w:cs="Arial" w:eastAsia="Arial" w:hAnsi="Arial"/>
          <w:b/>
          <w:bCs/>
          <w:color w:val="1A1A1A"/>
          <w:sz w:val="22"/>
          <w:szCs w:val="22"/>
        </w:rPr>
        <w:t xml:space="preserve">New physician: </w:t>
      </w:r>
      <w:r>
        <w:rPr>
          <w:rFonts w:ascii="Arial" w:cs="Arial" w:eastAsia="Arial" w:hAnsi="Arial"/>
          <w:color w:val="1A1A1A"/>
          <w:sz w:val="22"/>
          <w:szCs w:val="22"/>
        </w:rPr>
        <w:t xml:space="preserve">Receives their first month free, in addition to early bird pricing ($199/month) if still available.</w:t>
      </w:r>
    </w:p>
    <w:p>
      <w:pPr>
        <w:pStyle w:val="ListParagraph"/>
        <w:numPr>
          <w:ilvl w:val="0"/>
          <w:numId w:val="2"/>
        </w:numPr>
        <w:spacing w:after="60" w:line="276"/>
      </w:pPr>
      <w:r>
        <w:rPr>
          <w:rFonts w:ascii="Arial" w:cs="Arial" w:eastAsia="Arial" w:hAnsi="Arial"/>
          <w:b/>
          <w:bCs/>
          <w:color w:val="1A1A1A"/>
          <w:sz w:val="22"/>
          <w:szCs w:val="22"/>
        </w:rPr>
        <w:t xml:space="preserve">Cap: </w:t>
      </w:r>
      <w:r>
        <w:rPr>
          <w:rFonts w:ascii="Arial" w:cs="Arial" w:eastAsia="Arial" w:hAnsi="Arial"/>
          <w:color w:val="1A1A1A"/>
          <w:sz w:val="22"/>
          <w:szCs w:val="22"/>
        </w:rPr>
        <w:t xml:space="preserve">Maximum 3 referral credits per referring physician per rolling 12-month period ($837 maximum annual exposure per referrer).</w:t>
      </w:r>
    </w:p>
    <w:p>
      <w:pPr>
        <w:pStyle w:val="ListParagraph"/>
        <w:numPr>
          <w:ilvl w:val="0"/>
          <w:numId w:val="2"/>
        </w:numPr>
        <w:spacing w:after="60" w:line="276"/>
      </w:pPr>
      <w:r>
        <w:rPr>
          <w:rFonts w:ascii="Arial" w:cs="Arial" w:eastAsia="Arial" w:hAnsi="Arial"/>
          <w:b/>
          <w:bCs/>
          <w:color w:val="1A1A1A"/>
          <w:sz w:val="22"/>
          <w:szCs w:val="22"/>
        </w:rPr>
        <w:t xml:space="preserve">Trigger: </w:t>
      </w:r>
      <w:r>
        <w:rPr>
          <w:rFonts w:ascii="Arial" w:cs="Arial" w:eastAsia="Arial" w:hAnsi="Arial"/>
          <w:color w:val="1A1A1A"/>
          <w:sz w:val="22"/>
          <w:szCs w:val="22"/>
        </w:rPr>
        <w:t xml:space="preserve">Credit applied when the referred physician completes registration and submits their first paid subscription payment.</w:t>
      </w:r>
    </w:p>
    <w:p>
      <w:pPr>
        <w:pStyle w:val="ListParagraph"/>
        <w:numPr>
          <w:ilvl w:val="0"/>
          <w:numId w:val="2"/>
        </w:numPr>
        <w:spacing w:after="60" w:line="276"/>
      </w:pPr>
      <w:r>
        <w:rPr>
          <w:rFonts w:ascii="Arial" w:cs="Arial" w:eastAsia="Arial" w:hAnsi="Arial"/>
          <w:b/>
          <w:bCs/>
          <w:color w:val="1A1A1A"/>
          <w:sz w:val="22"/>
          <w:szCs w:val="22"/>
        </w:rPr>
        <w:t xml:space="preserve">Implementation: </w:t>
      </w:r>
      <w:r>
        <w:rPr>
          <w:rFonts w:ascii="Arial" w:cs="Arial" w:eastAsia="Arial" w:hAnsi="Arial"/>
          <w:color w:val="1A1A1A"/>
          <w:sz w:val="22"/>
          <w:szCs w:val="22"/>
        </w:rPr>
        <w:t xml:space="preserve">Referral credits applied as Stripe balance adjustments on the referring physician’s customer object, credited against their next invoice.</w:t>
      </w:r>
    </w:p>
    <w:p>
      <w:pPr>
        <w:pStyle w:val="Heading2"/>
      </w:pPr>
      <w:r>
        <w:t xml:space="preserve">6.2 Economic Rationale</w:t>
      </w:r>
    </w:p>
    <w:p>
      <w:pPr>
        <w:spacing w:after="120" w:line="276"/>
      </w:pPr>
      <w:r>
        <w:rPr>
          <w:rFonts w:ascii="Arial" w:cs="Arial" w:eastAsia="Arial" w:hAnsi="Arial"/>
          <w:color w:val="1A1A1A"/>
          <w:sz w:val="22"/>
          <w:szCs w:val="22"/>
        </w:rPr>
        <w:t xml:space="preserve">A referred physician with average 24-month retention generates $6,700+ in lifetime value. The total acquisition cost (referrer credit + new physician free month) is $558—a 12:1 LTV:CAC ratio, well within the $500 CAC target. Physician-to-physician referrals are the highest-trust acquisition channel in medical software and cost less per conversion than any paid channel.</w:t>
      </w:r>
    </w:p>
    <w:p>
      <w:pPr>
        <w:spacing w:before="120" w:after="120"/>
      </w:pPr>
    </w:p>
    <w:p>
      <w:r>
        <w:br w:type="page"/>
      </w:r>
    </w:p>
    <w:p>
      <w:pPr>
        <w:pStyle w:val="Heading1"/>
      </w:pPr>
      <w:r>
        <w:t xml:space="preserve">7. Success Metrics</w:t>
      </w:r>
    </w:p>
    <w:p>
      <w:pPr>
        <w:spacing w:after="120" w:line="276"/>
      </w:pPr>
      <w:r>
        <w:rPr>
          <w:rFonts w:ascii="Arial" w:cs="Arial" w:eastAsia="Arial" w:hAnsi="Arial"/>
          <w:color w:val="1A1A1A"/>
          <w:sz w:val="22"/>
          <w:szCs w:val="22"/>
        </w:rPr>
        <w:t xml:space="preserve">Metrics are organised into three tiers: product-market fit indicators (are we solving the problem?), business health metrics (are we viable?), and product quality metrics (are we delivering reliably?).</w:t>
      </w:r>
    </w:p>
    <w:p>
      <w:pPr>
        <w:pStyle w:val="Heading2"/>
      </w:pPr>
      <w:r>
        <w:t xml:space="preserve">7.1 Product-Market 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(6 months post-launch)</w:t>
            </w:r>
          </w:p>
        </w:tc>
        <w:tc>
          <w:tcPr>
            <w:tcW w:type="dxa" w:w="33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Physician activation rate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≥70% of registered physicians submit ≥1 real claim within 14 days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Onboarding funnel analytics</w:t>
            </w:r>
          </w:p>
        </w:tc>
      </w:tr>
      <w:tr>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Net revenue impact per physician</w:t>
            </w:r>
          </w:p>
        </w:tc>
        <w:tc>
          <w:tcPr>
            <w:tcW w:type="dxa" w:w="3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≥$500/month in recovered or additional billings identified by AI Coach</w:t>
            </w:r>
          </w:p>
        </w:tc>
        <w:tc>
          <w:tcPr>
            <w:tcW w:type="dxa" w:w="3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Pre/post rejection rate delta + accepted AI Coach suggestions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Rejection rate reduction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≥40% reduction in claim rejections vs. physician’s historical baseline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Rejection rate tracking per physician over time</w:t>
            </w:r>
          </w:p>
        </w:tc>
      </w:tr>
      <w:tr>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Weekly active usage</w:t>
            </w:r>
          </w:p>
        </w:tc>
        <w:tc>
          <w:tcPr>
            <w:tcW w:type="dxa" w:w="3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≥80% of paying physicians submit claims in any given week</w:t>
            </w:r>
          </w:p>
        </w:tc>
        <w:tc>
          <w:tcPr>
            <w:tcW w:type="dxa" w:w="3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Weekly submission activity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NPS score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Quarterly survey</w:t>
            </w:r>
          </w:p>
        </w:tc>
      </w:tr>
      <w:tr>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Organic referral rate</w:t>
            </w:r>
          </w:p>
        </w:tc>
        <w:tc>
          <w:tcPr>
            <w:tcW w:type="dxa" w:w="3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≥30% of new sign-ups cite physician referral</w:t>
            </w:r>
          </w:p>
        </w:tc>
        <w:tc>
          <w:tcPr>
            <w:tcW w:type="dxa" w:w="3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Registration source tracking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Auto-submission adoption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≥60% of physicians use default or auto-submit-all mode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Submission preference analytics</w:t>
            </w:r>
          </w:p>
        </w:tc>
      </w:tr>
    </w:tbl>
    <w:p>
      <w:pPr>
        <w:spacing w:before="120" w:after="120"/>
      </w:pPr>
    </w:p>
    <w:p>
      <w:pPr>
        <w:pStyle w:val="Heading2"/>
      </w:pPr>
      <w:r>
        <w:t xml:space="preserve">7.2 Business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(12 months post-launch)</w:t>
            </w:r>
          </w:p>
        </w:tc>
        <w:tc>
          <w:tcPr>
            <w:tcW w:type="dxa" w:w="33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Paying physicians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≥50 active subscriptions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Stripe subscription dashboard</w:t>
            </w:r>
          </w:p>
        </w:tc>
      </w:tr>
      <w:tr>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Monthly recurring revenue (MRR)</w:t>
            </w:r>
          </w:p>
        </w:tc>
        <w:tc>
          <w:tcPr>
            <w:tcW w:type="dxa" w:w="3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≥$12,000</w:t>
            </w:r>
          </w:p>
        </w:tc>
        <w:tc>
          <w:tcPr>
            <w:tcW w:type="dxa" w:w="3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Stripe reporting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Churn rate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 monthly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Stripe cancellation tracking</w:t>
            </w:r>
          </w:p>
        </w:tc>
      </w:tr>
      <w:tr>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Customer acquisition cost (CAC)</w:t>
            </w:r>
          </w:p>
        </w:tc>
        <w:tc>
          <w:tcPr>
            <w:tcW w:type="dxa" w:w="3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≤$500</w:t>
            </w:r>
          </w:p>
        </w:tc>
        <w:tc>
          <w:tcPr>
            <w:tcW w:type="dxa" w:w="3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Marketing spend / new subscriptions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LTV:CAC ratio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Average subscription duration × monthly revenue / CAC</w:t>
            </w:r>
          </w:p>
        </w:tc>
      </w:tr>
      <w:tr>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Time to profitability</w:t>
            </w:r>
          </w:p>
        </w:tc>
        <w:tc>
          <w:tcPr>
            <w:tcW w:type="dxa" w:w="3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≤18 months post-launch</w:t>
            </w:r>
          </w:p>
        </w:tc>
        <w:tc>
          <w:tcPr>
            <w:tcW w:type="dxa" w:w="3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P&amp;L tracking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Payment failure rate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 of monthly charges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Stripe payment monitoring</w:t>
            </w:r>
          </w:p>
        </w:tc>
      </w:tr>
    </w:tbl>
    <w:p>
      <w:pPr>
        <w:spacing w:before="120" w:after="120"/>
      </w:pPr>
    </w:p>
    <w:p>
      <w:pPr>
        <w:pStyle w:val="Heading2"/>
      </w:pPr>
      <w:r>
        <w:t xml:space="preserve">7.3 Product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33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H-Link submission success rate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≥99.5% of batches accepted without transport errors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H-Link response monitoring</w:t>
            </w:r>
          </w:p>
        </w:tc>
      </w:tr>
      <w:tr>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WCB submission success rate</w:t>
            </w:r>
          </w:p>
        </w:tc>
        <w:tc>
          <w:tcPr>
            <w:tcW w:type="dxa" w:w="3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≥98% of WCB claims accepted on first submission</w:t>
            </w:r>
          </w:p>
        </w:tc>
        <w:tc>
          <w:tcPr>
            <w:tcW w:type="dxa" w:w="3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WCB response tracking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Pre-submission validation accuracy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≥95% precision (flagged issues genuine); ≤90% recall (real issues caught)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Validation flag vs. assessment outcome</w:t>
            </w:r>
          </w:p>
        </w:tc>
      </w:tr>
      <w:tr>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AI Coach suggestion acceptance rate</w:t>
            </w:r>
          </w:p>
        </w:tc>
        <w:tc>
          <w:tcPr>
            <w:tcW w:type="dxa" w:w="3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≥40% of suggestions accepted by physician</w:t>
            </w:r>
          </w:p>
        </w:tc>
        <w:tc>
          <w:tcPr>
            <w:tcW w:type="dxa" w:w="3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Suggestion interaction tracking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Claim entry time (routine office visit)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≤15 seconds from new claim to validated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In-app timing analytics</w:t>
            </w:r>
          </w:p>
        </w:tc>
      </w:tr>
      <w:tr>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ED shift patient logging time</w:t>
            </w:r>
          </w:p>
        </w:tc>
        <w:tc>
          <w:tcPr>
            <w:tcW w:type="dxa" w:w="3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≤30 seconds per patient encounter</w:t>
            </w:r>
          </w:p>
        </w:tc>
        <w:tc>
          <w:tcPr>
            <w:tcW w:type="dxa" w:w="3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In-app timing analytics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Auto-submitted claim accuracy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≥99% of auto-submitted clean claims paid without rejection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Auto-submit outcome tracking</w:t>
            </w:r>
          </w:p>
        </w:tc>
      </w:tr>
      <w:tr>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Notification delivery rate</w:t>
            </w:r>
          </w:p>
        </w:tc>
        <w:tc>
          <w:tcPr>
            <w:tcW w:type="dxa" w:w="3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≥99% of email notifications delivered (not bounced)</w:t>
            </w:r>
          </w:p>
        </w:tc>
        <w:tc>
          <w:tcPr>
            <w:tcW w:type="dxa" w:w="3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Email service monitoring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Platform uptime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≥99.9% (excludes scheduled maintenance)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Infrastructure monitoring</w:t>
            </w:r>
          </w:p>
        </w:tc>
      </w:tr>
      <w:tr>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Support response time</w:t>
            </w:r>
          </w:p>
        </w:tc>
        <w:tc>
          <w:tcPr>
            <w:tcW w:type="dxa" w:w="3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≤4 hours for billing-critical issues during business hours</w:t>
            </w:r>
          </w:p>
        </w:tc>
        <w:tc>
          <w:tcPr>
            <w:tcW w:type="dxa" w:w="3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Support ticket tracking</w:t>
            </w:r>
          </w:p>
        </w:tc>
      </w:tr>
    </w:tbl>
    <w:p>
      <w:pPr>
        <w:spacing w:before="120" w:after="120"/>
      </w:pPr>
    </w:p>
    <w:p>
      <w:r>
        <w:br w:type="page"/>
      </w:r>
    </w:p>
    <w:p>
      <w:pPr>
        <w:pStyle w:val="Heading1"/>
      </w:pPr>
      <w:r>
        <w:t xml:space="preserve">8. Billing Scenario Coverage</w:t>
      </w:r>
    </w:p>
    <w:p>
      <w:pPr>
        <w:spacing w:after="120" w:line="276"/>
      </w:pPr>
      <w:r>
        <w:rPr>
          <w:rFonts w:ascii="Arial" w:cs="Arial" w:eastAsia="Arial" w:hAnsi="Arial"/>
          <w:color w:val="1A1A1A"/>
          <w:sz w:val="22"/>
          <w:szCs w:val="22"/>
        </w:rPr>
        <w:t xml:space="preserve">Meritum must handle the following billing scenarios at MVP. Each scenario has distinct workflow characteristics, validation rules, and modifier applicability.</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c>
          <w:tcPr>
            <w:tcW w:type="dxa" w:w="2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w:t>
            </w:r>
          </w:p>
        </w:tc>
        <w:tc>
          <w:tcPr>
            <w:tcW w:type="dxa" w:w="51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Key Characteristics</w:t>
            </w:r>
          </w:p>
        </w:tc>
        <w:tc>
          <w:tcPr>
            <w:tcW w:type="dxa" w:w="20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MVP Support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FFS — Office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Standard HSC + DI code; GR 3/5; age/BCP modifiers implicit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Full</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FFS — Hospital inpatient</w:t>
            </w:r>
          </w:p>
        </w:tc>
        <w:tc>
          <w:tcPr>
            <w:tcW w:type="dxa" w:w="5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Functional centre required; facility-specific codes; GR 11; admission/discharge codes</w:t>
            </w:r>
          </w:p>
        </w:tc>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Full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FFS — Emergency department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Shift-based workflow; CMGP/LSCD; after-hours (AFHR + call-in codes); surcharges 13.99H/HA; statutory holiday awareness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Full</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FFS — Auxiliary hospital / nursing home</w:t>
            </w:r>
          </w:p>
        </w:tc>
        <w:tc>
          <w:tcPr>
            <w:tcW w:type="dxa" w:w="5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Distinct functional centre; per-patient-per-day limits; rounding visit codes</w:t>
            </w:r>
          </w:p>
        </w:tc>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Full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FFS — Virtual care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Modifier restrictions (no CMGP); virtual care HSCs; pandemic-era sunset tracking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Full</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FFS — Diagnostic imaging (radiology)</w:t>
            </w:r>
          </w:p>
        </w:tc>
        <w:tc>
          <w:tcPr>
            <w:tcW w:type="dxa" w:w="5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High-volume repetitive coding; multi-site functional centres; technical vs. professional component</w:t>
            </w:r>
          </w:p>
        </w:tc>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Full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Shadow billing (ARP)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TM modifier; 5-minute allotments; statistical tracking, not payment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Full</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PCPCM (hybrid)</w:t>
            </w:r>
          </w:p>
        </w:tc>
        <w:tc>
          <w:tcPr>
            <w:tcW w:type="dxa" w:w="5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Dual-BA routing; basket classification; capitation vs. FFS</w:t>
            </w:r>
          </w:p>
        </w:tc>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Full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Obstetrics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Multi-stage billing; code-specific rules; after-hours delivery premiums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Full</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Referral-dependent</w:t>
            </w:r>
          </w:p>
        </w:tc>
        <w:tc>
          <w:tcPr>
            <w:tcW w:type="dxa" w:w="5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GR 8 compliance; referring PRAC ID; consult vs. repeat consult</w:t>
            </w:r>
          </w:p>
        </w:tc>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Full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RRNP-eligible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Implicit modifier; community-specific percentage; all FFS from eligible communities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Full</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WCB — Emergency department</w:t>
            </w:r>
          </w:p>
        </w:tc>
        <w:tc>
          <w:tcPr>
            <w:tcW w:type="dxa" w:w="5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WCB fee schedule; employer/claim number; injury details; concurrent AHCIP split billing</w:t>
            </w:r>
          </w:p>
        </w:tc>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Full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WCB — Clinic/office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WCB initial assessment, follow-up, reports; employer info; WCB-specific documentation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Full</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Reciprocal / out-of-province</w:t>
            </w:r>
          </w:p>
        </w:tc>
        <w:tc>
          <w:tcPr>
            <w:tcW w:type="dxa" w:w="5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Provincial reciprocal agreements; different patient ID; manual adjudication</w:t>
            </w:r>
          </w:p>
        </w:tc>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Deferred</w:t>
            </w:r>
          </w:p>
        </w:tc>
      </w:tr>
    </w:tbl>
    <w:p>
      <w:pPr>
        <w:spacing w:before="120" w:after="120"/>
      </w:pPr>
    </w:p>
    <w:p>
      <w:r>
        <w:br w:type="page"/>
      </w:r>
    </w:p>
    <w:p>
      <w:pPr>
        <w:pStyle w:val="Heading1"/>
      </w:pPr>
      <w:r>
        <w:t xml:space="preserve">9. Competitive Positioning</w:t>
      </w:r>
    </w:p>
    <w:p>
      <w:pPr>
        <w:spacing w:after="120" w:line="276"/>
      </w:pPr>
      <w:r>
        <w:rPr>
          <w:rFonts w:ascii="Arial" w:cs="Arial" w:eastAsia="Arial" w:hAnsi="Arial"/>
          <w:color w:val="1A1A1A"/>
          <w:sz w:val="22"/>
          <w:szCs w:val="22"/>
        </w:rPr>
        <w:t xml:space="preserve">Meritum occupies a unique position in the Alberta market: self-serve control with intelligent automation.</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Differentiator</w:t>
            </w:r>
          </w:p>
        </w:tc>
        <w:tc>
          <w:tcPr>
            <w:tcW w:type="dxa" w:w="358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Meritum</w:t>
            </w:r>
          </w:p>
        </w:tc>
        <w:tc>
          <w:tcPr>
            <w:tcW w:type="dxa" w:w="358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Closest Competitor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Self-serve + AI</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Real-time AI suggestions with full physician control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ResolvMD has AI but full-service only; ClinicAid self-serve but no AI</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Governing rules validation</w:t>
            </w:r>
          </w:p>
        </w:tc>
        <w:tc>
          <w:tcPr>
            <w:tcW w:type="dxa" w:w="358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Real-time validation against GR 1–13 before submission</w:t>
            </w:r>
          </w:p>
        </w:tc>
        <w:tc>
          <w:tcPr>
            <w:tcW w:type="dxa" w:w="358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 competitor offers comprehensive pre-submission GR validation self-serve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ED shift workflow</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Purpose-built mobile shift workflow for ED physicians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 self-serve competitor addresses shift-based billing</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Integrated WCB billing</w:t>
            </w:r>
          </w:p>
        </w:tc>
        <w:tc>
          <w:tcPr>
            <w:tcW w:type="dxa" w:w="358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AHCIP + WCB in single interface with separate validation engines</w:t>
            </w:r>
          </w:p>
        </w:tc>
        <w:tc>
          <w:tcPr>
            <w:tcW w:type="dxa" w:w="358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 self-serve competitor integrates WCB with AHCIP billing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Intelligent auto-submission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Tiered model: clean claims auto-submit, flagged held; delegate approval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 competitor offers configurable auto-submission with intelligent claim classification</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EMR coexistence</w:t>
            </w:r>
          </w:p>
        </w:tc>
        <w:tc>
          <w:tcPr>
            <w:tcW w:type="dxa" w:w="358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Import EMR billing exports, run full rules engine + AI Coach before H-Link submission</w:t>
            </w:r>
          </w:p>
        </w:tc>
        <w:tc>
          <w:tcPr>
            <w:tcW w:type="dxa" w:w="358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 self-serve competitor acts as an intelligent validation layer between EMR and H-Link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PCPCM dual-BA support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Automatic routing of in-basket vs. out-of-basket codes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Limited or no PCPCM-specific support in self-serve tools</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Flat-rate pricing</w:t>
            </w:r>
          </w:p>
        </w:tc>
        <w:tc>
          <w:tcPr>
            <w:tcW w:type="dxa" w:w="358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$279/month regardless of volume</w:t>
            </w:r>
          </w:p>
        </w:tc>
        <w:tc>
          <w:tcPr>
            <w:tcW w:type="dxa" w:w="358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Dr.Bill 0.25–1.95%; ResolvMD 0.69–1.19%; Meritum saves $3K–$12K+/year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Privacy/security posture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IMA, PIA appendix, TLS 1.3, AES-256, mandatory MFA, Canadian residency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 competitor provides physician-ready IMA or PIA documentation</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Rural specialist support</w:t>
            </w:r>
          </w:p>
        </w:tc>
        <w:tc>
          <w:tcPr>
            <w:tcW w:type="dxa" w:w="358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Multi-site, RRNP visibility, high-volume radiology, locum support</w:t>
            </w:r>
          </w:p>
        </w:tc>
        <w:tc>
          <w:tcPr>
            <w:tcW w:type="dxa" w:w="358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Generic platforms don’t handle multi-setting rural workflows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Data portability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Full data export any time; no lock-in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Most competitors don’t offer complete claim history export</w:t>
            </w:r>
          </w:p>
        </w:tc>
      </w:tr>
    </w:tbl>
    <w:p>
      <w:pPr>
        <w:spacing w:before="120" w:after="120"/>
      </w:pPr>
    </w:p>
    <w:p>
      <w:r>
        <w:br w:type="page"/>
      </w:r>
    </w:p>
    <w:p>
      <w:pPr>
        <w:pStyle w:val="Heading1"/>
      </w:pPr>
      <w:r>
        <w:t xml:space="preserve">10. Business Model &amp; Pricing</w:t>
      </w:r>
    </w:p>
    <w:p>
      <w:pPr>
        <w:pStyle w:val="Heading2"/>
      </w:pPr>
      <w:r>
        <w:t xml:space="preserve">10.1 Pricing Structure</w:t>
      </w:r>
    </w:p>
    <w:p>
      <w:pPr>
        <w:spacing w:after="120" w:line="276"/>
      </w:pPr>
      <w:r>
        <w:rPr>
          <w:rFonts w:ascii="Arial" w:cs="Arial" w:eastAsia="Arial" w:hAnsi="Arial"/>
          <w:color w:val="1A1A1A"/>
          <w:sz w:val="22"/>
          <w:szCs w:val="22"/>
        </w:rPr>
        <w:t xml:space="preserve">All prices are exclusive of GST (5%). GST is added at checkout via Stripe and displayed on all invoices.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c>
          <w:tcPr>
            <w:tcW w:type="dxa" w:w="2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Plan</w:t>
            </w:r>
          </w:p>
        </w:tc>
        <w:tc>
          <w:tcPr>
            <w:tcW w:type="dxa" w:w="20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 (ex GST)</w:t>
            </w:r>
          </w:p>
        </w:tc>
        <w:tc>
          <w:tcPr>
            <w:tcW w:type="dxa" w:w="20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Incl. GST</w:t>
            </w:r>
          </w:p>
        </w:tc>
        <w:tc>
          <w:tcPr>
            <w:tcW w:type="dxa" w:w="31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Monthly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$279/month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$292.95/month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Standard rate; no commitment</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Annual</w:t>
            </w:r>
          </w:p>
        </w:tc>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$2,790/year</w:t>
            </w:r>
          </w:p>
        </w:tc>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$2,929.50/year</w:t>
            </w:r>
          </w:p>
        </w:tc>
        <w:tc>
          <w:tcPr>
            <w:tcW w:type="dxa" w:w="3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~$232/month; 17% discount; billed annually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Early bird monthly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$199/month (first 12 months)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$208.95/month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First 50–100 subscribers; reverts to standard</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Early bird annual</w:t>
            </w:r>
          </w:p>
        </w:tc>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$1,990/year (first year)</w:t>
            </w:r>
          </w:p>
        </w:tc>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$2,089.50/year</w:t>
            </w:r>
          </w:p>
        </w:tc>
        <w:tc>
          <w:tcPr>
            <w:tcW w:type="dxa" w:w="3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Optional early bird annual equivalent</w:t>
            </w:r>
          </w:p>
        </w:tc>
      </w:tr>
    </w:tbl>
    <w:p>
      <w:pPr>
        <w:spacing w:before="120" w:after="120"/>
      </w:pPr>
    </w:p>
    <w:p>
      <w:pPr>
        <w:pStyle w:val="Heading2"/>
      </w:pPr>
      <w:r>
        <w:t xml:space="preserve">10.2 Pricing Rationale</w:t>
      </w:r>
    </w:p>
    <w:p>
      <w:pPr>
        <w:spacing w:after="120" w:line="276"/>
      </w:pPr>
      <w:r>
        <w:rPr>
          <w:rFonts w:ascii="Arial" w:cs="Arial" w:eastAsia="Arial" w:hAnsi="Arial"/>
          <w:color w:val="1A1A1A"/>
          <w:sz w:val="22"/>
          <w:szCs w:val="22"/>
        </w:rPr>
        <w:t xml:space="preserve">The pricing is anchored against two reference points: the cost of a billing agent (1–3% of billings = $4,000–$24,000/year) and the value of recovered revenue ($8,000–$40,000/year in missed billings for the target personas). At $3,348/year (monthly) or $2,790/year (annual), Meritum costs less than the cheapest billing agent while delivering more value through proactive revenue recovery.</w:t>
      </w:r>
    </w:p>
    <w:p>
      <w:pPr>
        <w:spacing w:after="120" w:line="276"/>
      </w:pPr>
      <w:r>
        <w:rPr>
          <w:rFonts w:ascii="Arial" w:cs="Arial" w:eastAsia="Arial" w:hAnsi="Arial"/>
          <w:color w:val="1A1A1A"/>
          <w:sz w:val="22"/>
          <w:szCs w:val="22"/>
        </w:rPr>
        <w:t xml:space="preserve">The flat-rate model is a deliberate competitive advantage. Percentage-based competitors penalise physicians for billing more. Meritum’s interests align with the physician’s: the more effectively they bill, the more valuable Meritum becomes, and the price stays the same.</w:t>
      </w:r>
    </w:p>
    <w:p>
      <w:pPr>
        <w:spacing w:after="120" w:line="276"/>
      </w:pPr>
      <w:r>
        <w:rPr>
          <w:rFonts w:ascii="Arial" w:cs="Arial" w:eastAsia="Arial" w:hAnsi="Arial"/>
          <w:b/>
          <w:bCs/>
          <w:color w:val="1B4D3E"/>
          <w:sz w:val="22"/>
          <w:szCs w:val="22"/>
        </w:rPr>
        <w:t xml:space="preserve">Positioning line: </w:t>
      </w:r>
      <w:r>
        <w:rPr>
          <w:rFonts w:ascii="Arial" w:cs="Arial" w:eastAsia="Arial" w:hAnsi="Arial"/>
          <w:color w:val="1A1A1A"/>
          <w:sz w:val="22"/>
          <w:szCs w:val="22"/>
        </w:rPr>
        <w:t xml:space="preserve">“We pay for ourselves in the first week of catching what you’re currently missing.”</w:t>
      </w:r>
    </w:p>
    <w:p>
      <w:pPr>
        <w:pStyle w:val="Heading2"/>
      </w:pPr>
      <w:r>
        <w:t xml:space="preserve">10.3 Payment Processing Costs</w:t>
      </w:r>
    </w:p>
    <w:p>
      <w:pPr>
        <w:spacing w:after="120" w:line="276"/>
      </w:pPr>
      <w:r>
        <w:rPr>
          <w:rFonts w:ascii="Arial" w:cs="Arial" w:eastAsia="Arial" w:hAnsi="Arial"/>
          <w:color w:val="1A1A1A"/>
          <w:sz w:val="22"/>
          <w:szCs w:val="22"/>
        </w:rPr>
        <w:t xml:space="preserve">Stripe processing fees (2.9% + $0.30 CAD per transaction) are absorbed as a cost of business. At $279/month, the per-transaction cost is approximately $8.39, or 3.0% of revenue. At 100 physicians, total Stripe fees are approximately $10,000/year. This is significantly less than building or managing any payment alternative, and physicians benefit from using their preferred credit cards (earning rewards/points on a business expense).</w:t>
      </w:r>
    </w:p>
    <w:p>
      <w:pPr>
        <w:pStyle w:val="Heading2"/>
      </w:pPr>
      <w:r>
        <w:t xml:space="preserve">10.4 Revenue Projections (Conservative)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400"/>
        <w:gridCol w:w="2360"/>
      </w:tblGrid>
      <w:tr>
        <w:tc>
          <w:tcPr>
            <w:tcW w:type="dxa" w:w="26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Milestone</w:t>
            </w:r>
          </w:p>
        </w:tc>
        <w:tc>
          <w:tcPr>
            <w:tcW w:type="dxa" w:w="20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Subscribers</w:t>
            </w:r>
          </w:p>
        </w:tc>
        <w:tc>
          <w:tcPr>
            <w:tcW w:type="dxa" w:w="24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MRR (ex GST)</w:t>
            </w:r>
          </w:p>
        </w:tc>
        <w:tc>
          <w:tcPr>
            <w:tcW w:type="dxa" w:w="23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ARR (ex GST)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Launch + 3 months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15–25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$4,200–$7,000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$50,000–$84,000</w:t>
            </w:r>
          </w:p>
        </w:tc>
      </w:tr>
      <w:tr>
        <w:tc>
          <w:tcPr>
            <w:tcW w:type="dxa" w:w="2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Launch + 6 months</w:t>
            </w:r>
          </w:p>
        </w:tc>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30–50</w:t>
            </w:r>
          </w:p>
        </w:tc>
        <w:tc>
          <w:tcPr>
            <w:tcW w:type="dxa" w:w="2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$8,400–$14,000</w:t>
            </w:r>
          </w:p>
        </w:tc>
        <w:tc>
          <w:tcPr>
            <w:tcW w:type="dxa" w:w="2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$100,000–$168,000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Launch + 12 months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50–100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$14,000–$28,000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$168,000–$336,000</w:t>
            </w:r>
          </w:p>
        </w:tc>
      </w:tr>
      <w:tr>
        <w:tc>
          <w:tcPr>
            <w:tcW w:type="dxa" w:w="2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Launch + 24 months</w:t>
            </w:r>
          </w:p>
        </w:tc>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100–250</w:t>
            </w:r>
          </w:p>
        </w:tc>
        <w:tc>
          <w:tcPr>
            <w:tcW w:type="dxa" w:w="2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$28,000–$70,000</w:t>
            </w:r>
          </w:p>
        </w:tc>
        <w:tc>
          <w:tcPr>
            <w:tcW w:type="dxa" w:w="2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$336,000–$840,000</w:t>
            </w:r>
          </w:p>
        </w:tc>
      </w:tr>
    </w:tbl>
    <w:p>
      <w:pPr>
        <w:spacing w:after="120" w:line="276"/>
      </w:pPr>
      <w:r>
        <w:rPr>
          <w:rFonts w:ascii="Arial" w:cs="Arial" w:eastAsia="Arial" w:hAnsi="Arial"/>
          <w:color w:val="1A1A1A"/>
          <w:sz w:val="22"/>
          <w:szCs w:val="22"/>
        </w:rPr>
        <w:t xml:space="preserve">Projections assume blended rate of $260/month (mix of monthly, annual, and early bird). Alberta has 11,000+ physicians; 100–250 subscribers represents less than 2.5% market penetration.</w:t>
      </w:r>
    </w:p>
    <w:p>
      <w:pPr>
        <w:spacing w:before="120" w:after="120"/>
      </w:pPr>
    </w:p>
    <w:p>
      <w:r>
        <w:br w:type="page"/>
      </w:r>
    </w:p>
    <w:p>
      <w:pPr>
        <w:pStyle w:val="Heading1"/>
      </w:pPr>
      <w:r>
        <w:t xml:space="preserve">11. Privacy, Security &amp; Compliance</w:t>
      </w:r>
    </w:p>
    <w:p>
      <w:pPr>
        <w:spacing w:after="120" w:line="276"/>
      </w:pPr>
      <w:r>
        <w:rPr>
          <w:rFonts w:ascii="Arial" w:cs="Arial" w:eastAsia="Arial" w:hAnsi="Arial"/>
          <w:color w:val="1A1A1A"/>
          <w:sz w:val="22"/>
          <w:szCs w:val="22"/>
        </w:rPr>
        <w:t xml:space="preserve">Meritum handles Protected Health Information (PHI) under Alberta’s Health Information Act (HIA). The privacy and security architecture is a foundational constraint, not a feature layer.</w:t>
      </w:r>
    </w:p>
    <w:p>
      <w:pPr>
        <w:pStyle w:val="Heading2"/>
      </w:pPr>
      <w:r>
        <w:t xml:space="preserve">11.1 Regulatory Framework</w:t>
      </w:r>
    </w:p>
    <w:p>
      <w:pPr>
        <w:pStyle w:val="ListParagraph"/>
        <w:numPr>
          <w:ilvl w:val="0"/>
          <w:numId w:val="2"/>
        </w:numPr>
        <w:spacing w:after="60" w:line="276"/>
      </w:pPr>
      <w:r>
        <w:rPr>
          <w:rFonts w:ascii="Arial" w:cs="Arial" w:eastAsia="Arial" w:hAnsi="Arial"/>
          <w:b/>
          <w:bCs/>
          <w:color w:val="1A1A1A"/>
          <w:sz w:val="22"/>
          <w:szCs w:val="22"/>
        </w:rPr>
        <w:t xml:space="preserve">HIA Role: </w:t>
      </w:r>
      <w:r>
        <w:rPr>
          <w:rFonts w:ascii="Arial" w:cs="Arial" w:eastAsia="Arial" w:hAnsi="Arial"/>
          <w:color w:val="1A1A1A"/>
          <w:sz w:val="22"/>
          <w:szCs w:val="22"/>
        </w:rPr>
        <w:t xml:space="preserve">Each physician is a HIA custodian. Meritum operates as an Information Manager under HIA s.66, with obligations defined by a signed IMA with each physician.</w:t>
      </w:r>
    </w:p>
    <w:p>
      <w:pPr>
        <w:pStyle w:val="ListParagraph"/>
        <w:numPr>
          <w:ilvl w:val="0"/>
          <w:numId w:val="2"/>
        </w:numPr>
        <w:spacing w:after="60" w:line="276"/>
      </w:pPr>
      <w:r>
        <w:rPr>
          <w:rFonts w:ascii="Arial" w:cs="Arial" w:eastAsia="Arial" w:hAnsi="Arial"/>
          <w:b/>
          <w:bCs/>
          <w:color w:val="1A1A1A"/>
          <w:sz w:val="22"/>
          <w:szCs w:val="22"/>
        </w:rPr>
        <w:t xml:space="preserve">PIA Requirement: </w:t>
      </w:r>
      <w:r>
        <w:rPr>
          <w:rFonts w:ascii="Arial" w:cs="Arial" w:eastAsia="Arial" w:hAnsi="Arial"/>
          <w:color w:val="1A1A1A"/>
          <w:sz w:val="22"/>
          <w:szCs w:val="22"/>
        </w:rPr>
        <w:t xml:space="preserve">System-level PIA appendix maintained using OIPC template, available to each physician.</w:t>
      </w:r>
    </w:p>
    <w:p>
      <w:pPr>
        <w:pStyle w:val="ListParagraph"/>
        <w:numPr>
          <w:ilvl w:val="0"/>
          <w:numId w:val="2"/>
        </w:numPr>
        <w:spacing w:after="60" w:line="276"/>
      </w:pPr>
      <w:r>
        <w:rPr>
          <w:rFonts w:ascii="Arial" w:cs="Arial" w:eastAsia="Arial" w:hAnsi="Arial"/>
          <w:b/>
          <w:bCs/>
          <w:color w:val="1A1A1A"/>
          <w:sz w:val="22"/>
          <w:szCs w:val="22"/>
        </w:rPr>
        <w:t xml:space="preserve">Data Residency: </w:t>
      </w:r>
      <w:r>
        <w:rPr>
          <w:rFonts w:ascii="Arial" w:cs="Arial" w:eastAsia="Arial" w:hAnsi="Arial"/>
          <w:color w:val="1A1A1A"/>
          <w:sz w:val="22"/>
          <w:szCs w:val="22"/>
        </w:rPr>
        <w:t xml:space="preserve">All PHI stored and processed within Canada. MVP on DigitalOcean Toronto (TOR1).</w:t>
      </w:r>
    </w:p>
    <w:p>
      <w:pPr>
        <w:pStyle w:val="ListParagraph"/>
        <w:numPr>
          <w:ilvl w:val="0"/>
          <w:numId w:val="2"/>
        </w:numPr>
        <w:spacing w:after="60" w:line="276"/>
      </w:pPr>
      <w:r>
        <w:rPr>
          <w:rFonts w:ascii="Arial" w:cs="Arial" w:eastAsia="Arial" w:hAnsi="Arial"/>
          <w:b/>
          <w:bCs/>
          <w:color w:val="1A1A1A"/>
          <w:sz w:val="22"/>
          <w:szCs w:val="22"/>
        </w:rPr>
        <w:t xml:space="preserve">Data Portability: </w:t>
      </w:r>
      <w:r>
        <w:rPr>
          <w:rFonts w:ascii="Arial" w:cs="Arial" w:eastAsia="Arial" w:hAnsi="Arial"/>
          <w:color w:val="1A1A1A"/>
          <w:sz w:val="22"/>
          <w:szCs w:val="22"/>
        </w:rPr>
        <w:t xml:space="preserve">Physicians can export complete claim history and financial data at any time.</w:t>
      </w:r>
    </w:p>
    <w:p>
      <w:pPr>
        <w:pStyle w:val="ListParagraph"/>
        <w:numPr>
          <w:ilvl w:val="0"/>
          <w:numId w:val="2"/>
        </w:numPr>
        <w:spacing w:after="60" w:line="276"/>
      </w:pPr>
      <w:r>
        <w:rPr>
          <w:rFonts w:ascii="Arial" w:cs="Arial" w:eastAsia="Arial" w:hAnsi="Arial"/>
          <w:b/>
          <w:bCs/>
          <w:color w:val="1A1A1A"/>
          <w:sz w:val="22"/>
          <w:szCs w:val="22"/>
        </w:rPr>
        <w:t xml:space="preserve">Financial Data Separation: </w:t>
      </w:r>
      <w:r>
        <w:rPr>
          <w:rFonts w:ascii="Arial" w:cs="Arial" w:eastAsia="Arial" w:hAnsi="Arial"/>
          <w:color w:val="1A1A1A"/>
          <w:sz w:val="22"/>
          <w:szCs w:val="22"/>
        </w:rPr>
        <w:t xml:space="preserve">Payment processing via Stripe. No credit card or payment data stored on Meritum infrastructure. PHI and financial data never co-mingle.</w:t>
      </w:r>
    </w:p>
    <w:p>
      <w:pPr>
        <w:pStyle w:val="Heading2"/>
      </w:pPr>
      <w:r>
        <w:t xml:space="preserve">11.2 Security Controls (MVP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Control</w:t>
            </w:r>
          </w:p>
        </w:tc>
        <w:tc>
          <w:tcPr>
            <w:tcW w:type="dxa" w:w="63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Encryption in transit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TLS 1.3 for all connections; HSTS enforced</w:t>
            </w:r>
          </w:p>
        </w:tc>
      </w:tr>
      <w:tr>
        <w:tc>
          <w:tcPr>
            <w:tcW w:type="dxa" w:w="3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Encryption at rest</w:t>
            </w:r>
          </w:p>
        </w:tc>
        <w:tc>
          <w:tcPr>
            <w:tcW w:type="dxa" w:w="6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AES-256 for database and backups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Authentication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Email/password with mandatory TOTP MFA; session tokens with expiry</w:t>
            </w:r>
          </w:p>
        </w:tc>
      </w:tr>
      <w:tr>
        <w:tc>
          <w:tcPr>
            <w:tcW w:type="dxa" w:w="3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Authorization</w:t>
            </w:r>
          </w:p>
        </w:tc>
        <w:tc>
          <w:tcPr>
            <w:tcW w:type="dxa" w:w="6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RBAC (Physician, Delegate, Admin); resource-level scoping; delegate batch approval as configurable permission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Audit logging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All access events, claim state changes, batch submissions, auto-submission decisions, data exports logged with timestamp, user, IP, action</w:t>
            </w:r>
          </w:p>
        </w:tc>
      </w:tr>
      <w:tr>
        <w:tc>
          <w:tcPr>
            <w:tcW w:type="dxa" w:w="3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Input validation</w:t>
            </w:r>
          </w:p>
        </w:tc>
        <w:tc>
          <w:tcPr>
            <w:tcW w:type="dxa" w:w="6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Server-side validation of all inputs; parameterised queries; CSP headers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Secrets management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Environment-based secrets; no credentials in code; key rotation policy</w:t>
            </w:r>
          </w:p>
        </w:tc>
      </w:tr>
      <w:tr>
        <w:tc>
          <w:tcPr>
            <w:tcW w:type="dxa" w:w="3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Backup &amp; recovery</w:t>
            </w:r>
          </w:p>
        </w:tc>
        <w:tc>
          <w:tcPr>
            <w:tcW w:type="dxa" w:w="6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Automated daily backups; encrypted; tested recovery procedure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Incident response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Documented breach notification per HIA s.60.1 (within 5 days to Commissioner)</w:t>
            </w:r>
          </w:p>
        </w:tc>
      </w:tr>
      <w:tr>
        <w:tc>
          <w:tcPr>
            <w:tcW w:type="dxa" w:w="3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Public transparency</w:t>
            </w:r>
          </w:p>
        </w:tc>
        <w:tc>
          <w:tcPr>
            <w:tcW w:type="dxa" w:w="6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meritum.ca/security page; meritum.ca/status page with real-time system health</w:t>
            </w:r>
          </w:p>
        </w:tc>
      </w:tr>
    </w:tbl>
    <w:p>
      <w:pPr>
        <w:spacing w:before="120" w:after="120"/>
      </w:pPr>
    </w:p>
    <w:p>
      <w:pPr>
        <w:pStyle w:val="Heading2"/>
      </w:pPr>
      <w:r>
        <w:t xml:space="preserve">11.3 Deferred Security Milestones</w:t>
      </w:r>
    </w:p>
    <w:p>
      <w:pPr>
        <w:pStyle w:val="ListParagraph"/>
        <w:numPr>
          <w:ilvl w:val="0"/>
          <w:numId w:val="2"/>
        </w:numPr>
        <w:spacing w:after="60" w:line="276"/>
      </w:pPr>
      <w:r>
        <w:rPr>
          <w:rFonts w:ascii="Arial" w:cs="Arial" w:eastAsia="Arial" w:hAnsi="Arial"/>
          <w:b/>
          <w:bCs/>
          <w:color w:val="1A1A1A"/>
          <w:sz w:val="22"/>
          <w:szCs w:val="22"/>
        </w:rPr>
        <w:t xml:space="preserve">SOC 2 Type II: </w:t>
      </w:r>
      <w:r>
        <w:rPr>
          <w:rFonts w:ascii="Arial" w:cs="Arial" w:eastAsia="Arial" w:hAnsi="Arial"/>
          <w:color w:val="1A1A1A"/>
          <w:sz w:val="22"/>
          <w:szCs w:val="22"/>
        </w:rPr>
        <w:t xml:space="preserve">Within 18 months, funded by subscription revenue.</w:t>
      </w:r>
    </w:p>
    <w:p>
      <w:pPr>
        <w:pStyle w:val="ListParagraph"/>
        <w:numPr>
          <w:ilvl w:val="0"/>
          <w:numId w:val="2"/>
        </w:numPr>
        <w:spacing w:after="60" w:line="276"/>
      </w:pPr>
      <w:r>
        <w:rPr>
          <w:rFonts w:ascii="Arial" w:cs="Arial" w:eastAsia="Arial" w:hAnsi="Arial"/>
          <w:b/>
          <w:bCs/>
          <w:color w:val="1A1A1A"/>
          <w:sz w:val="22"/>
          <w:szCs w:val="22"/>
        </w:rPr>
        <w:t xml:space="preserve">Penetration testing: </w:t>
      </w:r>
      <w:r>
        <w:rPr>
          <w:rFonts w:ascii="Arial" w:cs="Arial" w:eastAsia="Arial" w:hAnsi="Arial"/>
          <w:color w:val="1A1A1A"/>
          <w:sz w:val="22"/>
          <w:szCs w:val="22"/>
        </w:rPr>
        <w:t xml:space="preserve">Formal engagement within 12 months; automated scanning from launch.</w:t>
      </w:r>
    </w:p>
    <w:p>
      <w:pPr>
        <w:pStyle w:val="ListParagraph"/>
        <w:numPr>
          <w:ilvl w:val="0"/>
          <w:numId w:val="2"/>
        </w:numPr>
        <w:spacing w:after="60" w:line="276"/>
      </w:pPr>
      <w:r>
        <w:rPr>
          <w:rFonts w:ascii="Arial" w:cs="Arial" w:eastAsia="Arial" w:hAnsi="Arial"/>
          <w:b/>
          <w:bCs/>
          <w:color w:val="1A1A1A"/>
          <w:sz w:val="22"/>
          <w:szCs w:val="22"/>
        </w:rPr>
        <w:t xml:space="preserve">Cyber insurance: </w:t>
      </w:r>
      <w:r>
        <w:rPr>
          <w:rFonts w:ascii="Arial" w:cs="Arial" w:eastAsia="Arial" w:hAnsi="Arial"/>
          <w:color w:val="1A1A1A"/>
          <w:sz w:val="22"/>
          <w:szCs w:val="22"/>
        </w:rPr>
        <w:t xml:space="preserve">Once client base and revenue justify premium.</w:t>
      </w:r>
    </w:p>
    <w:p>
      <w:pPr>
        <w:spacing w:before="120" w:after="120"/>
      </w:pPr>
    </w:p>
    <w:p>
      <w:r>
        <w:br w:type="page"/>
      </w:r>
    </w:p>
    <w:p>
      <w:pPr>
        <w:pStyle w:val="Heading1"/>
      </w:pPr>
      <w:r>
        <w:t xml:space="preserve">12. Technical Architecture Constraints</w:t>
      </w:r>
    </w:p>
    <w:p>
      <w:pPr>
        <w:spacing w:after="120" w:line="276"/>
      </w:pPr>
      <w:r>
        <w:rPr>
          <w:rFonts w:ascii="Arial" w:cs="Arial" w:eastAsia="Arial" w:hAnsi="Arial"/>
          <w:color w:val="1A1A1A"/>
          <w:sz w:val="22"/>
          <w:szCs w:val="22"/>
        </w:rPr>
        <w:t xml:space="preserve">The following architectural constraints are established at the PRD level. Detailed technology selection occurs during the tech stack selection phase.</w:t>
      </w:r>
    </w:p>
    <w:p>
      <w:pPr>
        <w:pStyle w:val="Heading2"/>
      </w:pPr>
      <w:r>
        <w:t xml:space="preserve">12.1 API-First Backend</w:t>
      </w:r>
    </w:p>
    <w:p>
      <w:pPr>
        <w:spacing w:after="120" w:line="276"/>
      </w:pPr>
      <w:r>
        <w:rPr>
          <w:rFonts w:ascii="Arial" w:cs="Arial" w:eastAsia="Arial" w:hAnsi="Arial"/>
          <w:color w:val="1A1A1A"/>
          <w:sz w:val="22"/>
          <w:szCs w:val="22"/>
        </w:rPr>
        <w:t xml:space="preserve">All business logic lives in the API layer. The web frontend is a thin presentation layer. Non-negotiable: ensures future native apps, third-party integrations, and API-as-a-service all consume the same backend.</w:t>
      </w:r>
    </w:p>
    <w:p>
      <w:pPr>
        <w:pStyle w:val="Heading2"/>
      </w:pPr>
      <w:r>
        <w:t xml:space="preserve">12.2 Mobile-Ready Architecture</w:t>
      </w:r>
    </w:p>
    <w:p>
      <w:pPr>
        <w:spacing w:after="120" w:line="276"/>
      </w:pPr>
      <w:r>
        <w:rPr>
          <w:rFonts w:ascii="Arial" w:cs="Arial" w:eastAsia="Arial" w:hAnsi="Arial"/>
          <w:color w:val="1A1A1A"/>
          <w:sz w:val="22"/>
          <w:szCs w:val="22"/>
        </w:rPr>
        <w:t xml:space="preserve">Responsive web MVP must deliver first-class mobile experience. Architecture supports native app transition (Phase 2) without backend rewrite. React (web) + React Native (mobile) or PWA strategy evaluated during tech stack selection.</w:t>
      </w:r>
    </w:p>
    <w:p>
      <w:pPr>
        <w:pStyle w:val="Heading2"/>
      </w:pPr>
      <w:r>
        <w:t xml:space="preserve">12.3 AI Architecture: Lightweight and Self-Hosted</w:t>
      </w:r>
    </w:p>
    <w:p>
      <w:pPr>
        <w:pStyle w:val="ListParagraph"/>
        <w:numPr>
          <w:ilvl w:val="0"/>
          <w:numId w:val="2"/>
        </w:numPr>
        <w:spacing w:after="60" w:line="276"/>
      </w:pPr>
      <w:r>
        <w:rPr>
          <w:rFonts w:ascii="Arial" w:cs="Arial" w:eastAsia="Arial" w:hAnsi="Arial"/>
          <w:color w:val="1A1A1A"/>
          <w:sz w:val="22"/>
          <w:szCs w:val="22"/>
        </w:rPr>
        <w:t xml:space="preserve">Deterministic rules engine: 90%+ of all intelligence. Zero per-inference cost.</w:t>
      </w:r>
    </w:p>
    <w:p>
      <w:pPr>
        <w:pStyle w:val="ListParagraph"/>
        <w:numPr>
          <w:ilvl w:val="0"/>
          <w:numId w:val="2"/>
        </w:numPr>
        <w:spacing w:after="60" w:line="276"/>
      </w:pPr>
      <w:r>
        <w:rPr>
          <w:rFonts w:ascii="Arial" w:cs="Arial" w:eastAsia="Arial" w:hAnsi="Arial"/>
          <w:color w:val="1A1A1A"/>
          <w:sz w:val="22"/>
          <w:szCs w:val="22"/>
        </w:rPr>
        <w:t xml:space="preserve">Self-hosted open-source LLM (DeepSeek-class): natural-language explanations + AI support system. Zero marginal cost. Shared infrastructure between Billing Coach and support chat.</w:t>
      </w:r>
    </w:p>
    <w:p>
      <w:pPr>
        <w:pStyle w:val="ListParagraph"/>
        <w:numPr>
          <w:ilvl w:val="0"/>
          <w:numId w:val="2"/>
        </w:numPr>
        <w:spacing w:after="60" w:line="276"/>
      </w:pPr>
      <w:r>
        <w:rPr>
          <w:rFonts w:ascii="Arial" w:cs="Arial" w:eastAsia="Arial" w:hAnsi="Arial"/>
          <w:color w:val="1A1A1A"/>
          <w:sz w:val="22"/>
          <w:szCs w:val="22"/>
        </w:rPr>
        <w:t xml:space="preserve">Complex edge cases: “Review recommended” + direct link to source documentation. No expensive API calls.</w:t>
      </w:r>
    </w:p>
    <w:p>
      <w:pPr>
        <w:pStyle w:val="Heading2"/>
      </w:pPr>
      <w:r>
        <w:t xml:space="preserve">12.4 Notification Infrastructure</w:t>
      </w:r>
    </w:p>
    <w:p>
      <w:pPr>
        <w:spacing w:after="120" w:line="276"/>
      </w:pPr>
      <w:r>
        <w:rPr>
          <w:rFonts w:ascii="Arial" w:cs="Arial" w:eastAsia="Arial" w:hAnsi="Arial"/>
          <w:color w:val="1A1A1A"/>
          <w:sz w:val="22"/>
          <w:szCs w:val="22"/>
        </w:rPr>
        <w:t xml:space="preserve">Cross-cutting notification framework supporting email and in-app from MVP, with architecture to add push notifications (Phase 2) and potentially SMS (Phase 2+). Must support: scheduled notifications (Thursday cycle), event-driven notifications (rejections, payment failures), configurable physician preferences per category, and delivery tracking/retry logic.</w:t>
      </w:r>
    </w:p>
    <w:p>
      <w:pPr>
        <w:pStyle w:val="Heading2"/>
      </w:pPr>
      <w:r>
        <w:t xml:space="preserve">12.5 Payment Infrastructure</w:t>
      </w:r>
    </w:p>
    <w:p>
      <w:pPr>
        <w:spacing w:after="120" w:line="276"/>
      </w:pPr>
      <w:r>
        <w:rPr>
          <w:rFonts w:ascii="Arial" w:cs="Arial" w:eastAsia="Arial" w:hAnsi="Arial"/>
          <w:color w:val="1A1A1A"/>
          <w:sz w:val="22"/>
          <w:szCs w:val="22"/>
        </w:rPr>
        <w:t xml:space="preserve">Stripe integration for all billing. Complete financial data separation from PHI. Webhook-driven subscription lifecycle management. No payment data on Meritum infrastructure.</w:t>
      </w:r>
    </w:p>
    <w:p>
      <w:pPr>
        <w:pStyle w:val="Heading2"/>
      </w:pPr>
      <w:r>
        <w:t xml:space="preserve">12.6 EMR Import Architecture</w:t>
      </w:r>
    </w:p>
    <w:p>
      <w:pPr>
        <w:spacing w:after="120" w:line="276"/>
      </w:pPr>
      <w:r>
        <w:rPr>
          <w:rFonts w:ascii="Arial" w:cs="Arial" w:eastAsia="Arial" w:hAnsi="Arial"/>
          <w:color w:val="1A1A1A"/>
          <w:sz w:val="22"/>
          <w:szCs w:val="22"/>
        </w:rPr>
        <w:t xml:space="preserve">The claim batch import must handle arbitrary CSV/flat file formats without code changes per EMR. This requires a configurable field mapping layer: the system stores per-physician (or per-EMR) column-to-field mappings, applies them at import time, and normalises the data into Meritum’s internal claim structure. Pre-built mapping templates for common Alberta EMRs (MedAccess, Wolf, PS Suite) reduce onboarding friction. The architecture should support adding new EMR templates without code deployment—template definitions stored as configuration data, not application code.</w:t>
      </w:r>
    </w:p>
    <w:p>
      <w:pPr>
        <w:pStyle w:val="Heading2"/>
      </w:pPr>
      <w:r>
        <w:t xml:space="preserve">12.7 Infrastructure</w:t>
      </w:r>
    </w:p>
    <w:p>
      <w:pPr>
        <w:spacing w:after="120" w:line="276"/>
      </w:pPr>
      <w:r>
        <w:rPr>
          <w:rFonts w:ascii="Arial" w:cs="Arial" w:eastAsia="Arial" w:hAnsi="Arial"/>
          <w:color w:val="1A1A1A"/>
          <w:sz w:val="22"/>
          <w:szCs w:val="22"/>
        </w:rPr>
        <w:t xml:space="preserve">MVP on DigitalOcean Toronto (TOR1). Long-term evaluation of self-hosted dedicated infrastructure as scale grows.</w:t>
      </w:r>
    </w:p>
    <w:p>
      <w:pPr>
        <w:pStyle w:val="Heading2"/>
      </w:pPr>
      <w:r>
        <w:t xml:space="preserve">12.8 Operational Requirements</w:t>
      </w:r>
    </w:p>
    <w:p>
      <w:pPr>
        <w:pStyle w:val="ListParagraph"/>
        <w:numPr>
          <w:ilvl w:val="0"/>
          <w:numId w:val="2"/>
        </w:numPr>
        <w:spacing w:after="60" w:line="276"/>
      </w:pPr>
      <w:r>
        <w:rPr>
          <w:rFonts w:ascii="Arial" w:cs="Arial" w:eastAsia="Arial" w:hAnsi="Arial"/>
          <w:b/>
          <w:bCs/>
          <w:color w:val="1A1A1A"/>
          <w:sz w:val="22"/>
          <w:szCs w:val="22"/>
        </w:rPr>
        <w:t xml:space="preserve">Uptime: </w:t>
      </w:r>
      <w:r>
        <w:rPr>
          <w:rFonts w:ascii="Arial" w:cs="Arial" w:eastAsia="Arial" w:hAnsi="Arial"/>
          <w:color w:val="1A1A1A"/>
          <w:sz w:val="22"/>
          <w:szCs w:val="22"/>
        </w:rPr>
        <w:t xml:space="preserve">99.9% (excludes scheduled maintenance)</w:t>
      </w:r>
    </w:p>
    <w:p>
      <w:pPr>
        <w:pStyle w:val="ListParagraph"/>
        <w:numPr>
          <w:ilvl w:val="0"/>
          <w:numId w:val="2"/>
        </w:numPr>
        <w:spacing w:after="60" w:line="276"/>
      </w:pPr>
      <w:r>
        <w:rPr>
          <w:rFonts w:ascii="Arial" w:cs="Arial" w:eastAsia="Arial" w:hAnsi="Arial"/>
          <w:b/>
          <w:bCs/>
          <w:color w:val="1A1A1A"/>
          <w:sz w:val="22"/>
          <w:szCs w:val="22"/>
        </w:rPr>
        <w:t xml:space="preserve">Maintenance windows: </w:t>
      </w:r>
      <w:r>
        <w:rPr>
          <w:rFonts w:ascii="Arial" w:cs="Arial" w:eastAsia="Arial" w:hAnsi="Arial"/>
          <w:color w:val="1A1A1A"/>
          <w:sz w:val="22"/>
          <w:szCs w:val="22"/>
        </w:rPr>
        <w:t xml:space="preserve">Never Thursday 08:00–12:00 MT. Preferred: Sunday 02:00–06:00 MT.</w:t>
      </w:r>
    </w:p>
    <w:p>
      <w:pPr>
        <w:pStyle w:val="ListParagraph"/>
        <w:numPr>
          <w:ilvl w:val="0"/>
          <w:numId w:val="2"/>
        </w:numPr>
        <w:spacing w:after="60" w:line="276"/>
      </w:pPr>
      <w:r>
        <w:rPr>
          <w:rFonts w:ascii="Arial" w:cs="Arial" w:eastAsia="Arial" w:hAnsi="Arial"/>
          <w:b/>
          <w:bCs/>
          <w:color w:val="1A1A1A"/>
          <w:sz w:val="22"/>
          <w:szCs w:val="22"/>
        </w:rPr>
        <w:t xml:space="preserve">Backups: </w:t>
      </w:r>
      <w:r>
        <w:rPr>
          <w:rFonts w:ascii="Arial" w:cs="Arial" w:eastAsia="Arial" w:hAnsi="Arial"/>
          <w:color w:val="1A1A1A"/>
          <w:sz w:val="22"/>
          <w:szCs w:val="22"/>
        </w:rPr>
        <w:t xml:space="preserve">Daily automated, encrypted, tested restore.</w:t>
      </w:r>
    </w:p>
    <w:p>
      <w:pPr>
        <w:pStyle w:val="ListParagraph"/>
        <w:numPr>
          <w:ilvl w:val="0"/>
          <w:numId w:val="2"/>
        </w:numPr>
        <w:spacing w:after="60" w:line="276"/>
      </w:pPr>
      <w:r>
        <w:rPr>
          <w:rFonts w:ascii="Arial" w:cs="Arial" w:eastAsia="Arial" w:hAnsi="Arial"/>
          <w:b/>
          <w:bCs/>
          <w:color w:val="1A1A1A"/>
          <w:sz w:val="22"/>
          <w:szCs w:val="22"/>
        </w:rPr>
        <w:t xml:space="preserve">Monitoring: </w:t>
      </w:r>
      <w:r>
        <w:rPr>
          <w:rFonts w:ascii="Arial" w:cs="Arial" w:eastAsia="Arial" w:hAnsi="Arial"/>
          <w:color w:val="1A1A1A"/>
          <w:sz w:val="22"/>
          <w:szCs w:val="22"/>
        </w:rPr>
        <w:t xml:space="preserve">App health, database, H-Link, WCB, error rates, queue depth, notification delivery, Stripe webhook processing.</w:t>
      </w:r>
    </w:p>
    <w:p>
      <w:pPr>
        <w:pStyle w:val="ListParagraph"/>
        <w:numPr>
          <w:ilvl w:val="0"/>
          <w:numId w:val="2"/>
        </w:numPr>
        <w:spacing w:after="60" w:line="276"/>
      </w:pPr>
      <w:r>
        <w:rPr>
          <w:rFonts w:ascii="Arial" w:cs="Arial" w:eastAsia="Arial" w:hAnsi="Arial"/>
          <w:b/>
          <w:bCs/>
          <w:color w:val="1A1A1A"/>
          <w:sz w:val="22"/>
          <w:szCs w:val="22"/>
        </w:rPr>
        <w:t xml:space="preserve">Alerting: </w:t>
      </w:r>
      <w:r>
        <w:rPr>
          <w:rFonts w:ascii="Arial" w:cs="Arial" w:eastAsia="Arial" w:hAnsi="Arial"/>
          <w:color w:val="1A1A1A"/>
          <w:sz w:val="22"/>
          <w:szCs w:val="22"/>
        </w:rPr>
        <w:t xml:space="preserve">Immediate for: H-Link/WCB failures, auth anomalies, error spikes, payment webhook failures, auto-submission failures, disk/memory thresholds.</w:t>
      </w:r>
    </w:p>
    <w:p>
      <w:pPr>
        <w:spacing w:before="120" w:after="120"/>
      </w:pPr>
    </w:p>
    <w:p>
      <w:r>
        <w:br w:type="page"/>
      </w:r>
    </w:p>
    <w:p>
      <w:pPr>
        <w:pStyle w:val="Heading1"/>
      </w:pPr>
      <w:r>
        <w:t xml:space="preserve">13. Constraints, Assumptions &amp; Dependencies</w:t>
      </w:r>
    </w:p>
    <w:p>
      <w:pPr>
        <w:pStyle w:val="Heading2"/>
      </w:pPr>
      <w:r>
        <w:t xml:space="preserve">13.1 Constraints</w:t>
      </w:r>
    </w:p>
    <w:p>
      <w:pPr>
        <w:pStyle w:val="ListParagraph"/>
        <w:numPr>
          <w:ilvl w:val="0"/>
          <w:numId w:val="2"/>
        </w:numPr>
        <w:spacing w:after="60" w:line="276"/>
      </w:pPr>
      <w:r>
        <w:rPr>
          <w:rFonts w:ascii="Arial" w:cs="Arial" w:eastAsia="Arial" w:hAnsi="Arial"/>
          <w:color w:val="1A1A1A"/>
          <w:sz w:val="22"/>
          <w:szCs w:val="22"/>
        </w:rPr>
        <w:t xml:space="preserve">Alberta-only at MVP.</w:t>
      </w:r>
    </w:p>
    <w:p>
      <w:pPr>
        <w:pStyle w:val="ListParagraph"/>
        <w:numPr>
          <w:ilvl w:val="0"/>
          <w:numId w:val="2"/>
        </w:numPr>
        <w:spacing w:after="60" w:line="276"/>
      </w:pPr>
      <w:r>
        <w:rPr>
          <w:rFonts w:ascii="Arial" w:cs="Arial" w:eastAsia="Arial" w:hAnsi="Arial"/>
          <w:color w:val="1A1A1A"/>
          <w:sz w:val="22"/>
          <w:szCs w:val="22"/>
        </w:rPr>
        <w:t xml:space="preserve">No Connect Care / Epic SCC at MVP. ED shift workflow optimised for manual entry.</w:t>
      </w:r>
    </w:p>
    <w:p>
      <w:pPr>
        <w:pStyle w:val="ListParagraph"/>
        <w:numPr>
          <w:ilvl w:val="0"/>
          <w:numId w:val="2"/>
        </w:numPr>
        <w:spacing w:after="60" w:line="276"/>
      </w:pPr>
      <w:r>
        <w:rPr>
          <w:rFonts w:ascii="Arial" w:cs="Arial" w:eastAsia="Arial" w:hAnsi="Arial"/>
          <w:color w:val="1A1A1A"/>
          <w:sz w:val="22"/>
          <w:szCs w:val="22"/>
        </w:rPr>
        <w:t xml:space="preserve">No reciprocal/out-of-province billing at MVP.</w:t>
      </w:r>
    </w:p>
    <w:p>
      <w:pPr>
        <w:pStyle w:val="ListParagraph"/>
        <w:numPr>
          <w:ilvl w:val="0"/>
          <w:numId w:val="2"/>
        </w:numPr>
        <w:spacing w:after="60" w:line="276"/>
      </w:pPr>
      <w:r>
        <w:rPr>
          <w:rFonts w:ascii="Arial" w:cs="Arial" w:eastAsia="Arial" w:hAnsi="Arial"/>
          <w:color w:val="1A1A1A"/>
          <w:sz w:val="22"/>
          <w:szCs w:val="22"/>
        </w:rPr>
        <w:t xml:space="preserve">H-Link accreditation required before real AHCIP claims. Meritum applies as a submitter entity (not physician-owned; same model as ClinicAid, Dr.Bill, ResolvMD).</w:t>
      </w:r>
    </w:p>
    <w:p>
      <w:pPr>
        <w:pStyle w:val="ListParagraph"/>
        <w:numPr>
          <w:ilvl w:val="0"/>
          <w:numId w:val="2"/>
        </w:numPr>
        <w:spacing w:after="60" w:line="276"/>
      </w:pPr>
      <w:r>
        <w:rPr>
          <w:rFonts w:ascii="Arial" w:cs="Arial" w:eastAsia="Arial" w:hAnsi="Arial"/>
          <w:color w:val="1A1A1A"/>
          <w:sz w:val="22"/>
          <w:szCs w:val="22"/>
        </w:rPr>
        <w:t xml:space="preserve">WCB electronic submission depends on WCB Alberta’s specifications; formatted export fallback if direct integration unavailable at launch.</w:t>
      </w:r>
    </w:p>
    <w:p>
      <w:pPr>
        <w:pStyle w:val="ListParagraph"/>
        <w:numPr>
          <w:ilvl w:val="0"/>
          <w:numId w:val="2"/>
        </w:numPr>
        <w:spacing w:after="60" w:line="276"/>
      </w:pPr>
      <w:r>
        <w:rPr>
          <w:rFonts w:ascii="Arial" w:cs="Arial" w:eastAsia="Arial" w:hAnsi="Arial"/>
          <w:color w:val="1A1A1A"/>
          <w:sz w:val="22"/>
          <w:szCs w:val="22"/>
        </w:rPr>
        <w:t xml:space="preserve">Each physician completes AHC11236 to link BA to Meritum submitter prefix (2–4 week AHCIP processing).</w:t>
      </w:r>
    </w:p>
    <w:p>
      <w:pPr>
        <w:pStyle w:val="ListParagraph"/>
        <w:numPr>
          <w:ilvl w:val="0"/>
          <w:numId w:val="2"/>
        </w:numPr>
        <w:spacing w:after="60" w:line="276"/>
      </w:pPr>
      <w:r>
        <w:rPr>
          <w:rFonts w:ascii="Arial" w:cs="Arial" w:eastAsia="Arial" w:hAnsi="Arial"/>
          <w:color w:val="1A1A1A"/>
          <w:sz w:val="22"/>
          <w:szCs w:val="22"/>
        </w:rPr>
        <w:t xml:space="preserve">SOMB data maintained and updated when schedule changes (typically quarterly).</w:t>
      </w:r>
    </w:p>
    <w:p>
      <w:pPr>
        <w:pStyle w:val="ListParagraph"/>
        <w:numPr>
          <w:ilvl w:val="0"/>
          <w:numId w:val="2"/>
        </w:numPr>
        <w:spacing w:after="60" w:line="276"/>
      </w:pPr>
      <w:r>
        <w:rPr>
          <w:rFonts w:ascii="Arial" w:cs="Arial" w:eastAsia="Arial" w:hAnsi="Arial"/>
          <w:color w:val="1A1A1A"/>
          <w:sz w:val="22"/>
          <w:szCs w:val="22"/>
        </w:rPr>
        <w:t xml:space="preserve">Single-developer build (Ian). Architecture and tooling must reflect this.</w:t>
      </w:r>
    </w:p>
    <w:p>
      <w:pPr>
        <w:pStyle w:val="ListParagraph"/>
        <w:numPr>
          <w:ilvl w:val="0"/>
          <w:numId w:val="2"/>
        </w:numPr>
        <w:spacing w:after="60" w:line="276"/>
      </w:pPr>
      <w:r>
        <w:rPr>
          <w:rFonts w:ascii="Arial" w:cs="Arial" w:eastAsia="Arial" w:hAnsi="Arial"/>
          <w:color w:val="1A1A1A"/>
          <w:sz w:val="22"/>
          <w:szCs w:val="22"/>
        </w:rPr>
        <w:t xml:space="preserve">Test physician: Dr. Chantelle Scrutton (family medicine, rural Alberta).</w:t>
      </w:r>
    </w:p>
    <w:p>
      <w:pPr>
        <w:pStyle w:val="Heading2"/>
      </w:pPr>
      <w:r>
        <w:t xml:space="preserve">13.2 Assumptions</w:t>
      </w:r>
    </w:p>
    <w:p>
      <w:pPr>
        <w:pStyle w:val="ListParagraph"/>
        <w:numPr>
          <w:ilvl w:val="0"/>
          <w:numId w:val="2"/>
        </w:numPr>
        <w:spacing w:after="60" w:line="276"/>
      </w:pPr>
      <w:r>
        <w:rPr>
          <w:rFonts w:ascii="Arial" w:cs="Arial" w:eastAsia="Arial" w:hAnsi="Arial"/>
          <w:color w:val="1A1A1A"/>
          <w:sz w:val="22"/>
          <w:szCs w:val="22"/>
        </w:rPr>
        <w:t xml:space="preserve">Physicians accept self-serve if it demonstrably catches missed revenue.</w:t>
      </w:r>
    </w:p>
    <w:p>
      <w:pPr>
        <w:pStyle w:val="ListParagraph"/>
        <w:numPr>
          <w:ilvl w:val="0"/>
          <w:numId w:val="2"/>
        </w:numPr>
        <w:spacing w:after="60" w:line="276"/>
      </w:pPr>
      <w:r>
        <w:rPr>
          <w:rFonts w:ascii="Arial" w:cs="Arial" w:eastAsia="Arial" w:hAnsi="Arial"/>
          <w:color w:val="1A1A1A"/>
          <w:sz w:val="22"/>
          <w:szCs w:val="22"/>
        </w:rPr>
        <w:t xml:space="preserve">AI Billing Coach creates sufficient differentiation to justify price vs. free/cheap alternatives.</w:t>
      </w:r>
    </w:p>
    <w:p>
      <w:pPr>
        <w:pStyle w:val="ListParagraph"/>
        <w:numPr>
          <w:ilvl w:val="0"/>
          <w:numId w:val="2"/>
        </w:numPr>
        <w:spacing w:after="60" w:line="276"/>
      </w:pPr>
      <w:r>
        <w:rPr>
          <w:rFonts w:ascii="Arial" w:cs="Arial" w:eastAsia="Arial" w:hAnsi="Arial"/>
          <w:color w:val="1A1A1A"/>
          <w:sz w:val="22"/>
          <w:szCs w:val="22"/>
        </w:rPr>
        <w:t xml:space="preserve">Rural physicians, ED physicians, and rural specialists are underserved enough to be early adopters.</w:t>
      </w:r>
    </w:p>
    <w:p>
      <w:pPr>
        <w:pStyle w:val="ListParagraph"/>
        <w:numPr>
          <w:ilvl w:val="0"/>
          <w:numId w:val="2"/>
        </w:numPr>
        <w:spacing w:after="60" w:line="276"/>
      </w:pPr>
      <w:r>
        <w:rPr>
          <w:rFonts w:ascii="Arial" w:cs="Arial" w:eastAsia="Arial" w:hAnsi="Arial"/>
          <w:color w:val="1A1A1A"/>
          <w:sz w:val="22"/>
          <w:szCs w:val="22"/>
        </w:rPr>
        <w:t xml:space="preserve">H-Link accreditation obtainable by non-physician software company (precedent: all major competitors).</w:t>
      </w:r>
    </w:p>
    <w:p>
      <w:pPr>
        <w:pStyle w:val="ListParagraph"/>
        <w:numPr>
          <w:ilvl w:val="0"/>
          <w:numId w:val="2"/>
        </w:numPr>
        <w:spacing w:after="60" w:line="276"/>
      </w:pPr>
      <w:r>
        <w:rPr>
          <w:rFonts w:ascii="Arial" w:cs="Arial" w:eastAsia="Arial" w:hAnsi="Arial"/>
          <w:color w:val="1A1A1A"/>
          <w:sz w:val="22"/>
          <w:szCs w:val="22"/>
        </w:rPr>
        <w:t xml:space="preserve">Responsive web adequate for mobile MVP; native apps not required for initial adoption.</w:t>
      </w:r>
    </w:p>
    <w:p>
      <w:pPr>
        <w:pStyle w:val="ListParagraph"/>
        <w:numPr>
          <w:ilvl w:val="0"/>
          <w:numId w:val="2"/>
        </w:numPr>
        <w:spacing w:after="60" w:line="276"/>
      </w:pPr>
      <w:r>
        <w:rPr>
          <w:rFonts w:ascii="Arial" w:cs="Arial" w:eastAsia="Arial" w:hAnsi="Arial"/>
          <w:color w:val="1A1A1A"/>
          <w:sz w:val="22"/>
          <w:szCs w:val="22"/>
        </w:rPr>
        <w:t xml:space="preserve">Tiered auto-submission model addresses the “physician unavailable at Thursday cutoff” problem without sacrificing safety.</w:t>
      </w:r>
    </w:p>
    <w:p>
      <w:pPr>
        <w:pStyle w:val="ListParagraph"/>
        <w:numPr>
          <w:ilvl w:val="0"/>
          <w:numId w:val="2"/>
        </w:numPr>
        <w:spacing w:after="60" w:line="276"/>
      </w:pPr>
      <w:r>
        <w:rPr>
          <w:rFonts w:ascii="Arial" w:cs="Arial" w:eastAsia="Arial" w:hAnsi="Arial"/>
          <w:color w:val="1A1A1A"/>
          <w:sz w:val="22"/>
          <w:szCs w:val="22"/>
        </w:rPr>
        <w:t xml:space="preserve">Physicians trust the platform if security posture is clearly communicated and IMA/PIA documentation provided upfront.</w:t>
      </w:r>
    </w:p>
    <w:p>
      <w:pPr>
        <w:pStyle w:val="ListParagraph"/>
        <w:numPr>
          <w:ilvl w:val="0"/>
          <w:numId w:val="2"/>
        </w:numPr>
        <w:spacing w:after="60" w:line="276"/>
      </w:pPr>
      <w:r>
        <w:rPr>
          <w:rFonts w:ascii="Arial" w:cs="Arial" w:eastAsia="Arial" w:hAnsi="Arial"/>
          <w:color w:val="1A1A1A"/>
          <w:sz w:val="22"/>
          <w:szCs w:val="22"/>
        </w:rPr>
        <w:t xml:space="preserve">Self-hosted open-source LLM produces adequate billing rule explanations.</w:t>
      </w:r>
    </w:p>
    <w:p>
      <w:pPr>
        <w:pStyle w:val="ListParagraph"/>
        <w:numPr>
          <w:ilvl w:val="0"/>
          <w:numId w:val="2"/>
        </w:numPr>
        <w:spacing w:after="60" w:line="276"/>
      </w:pPr>
      <w:r>
        <w:rPr>
          <w:rFonts w:ascii="Arial" w:cs="Arial" w:eastAsia="Arial" w:hAnsi="Arial"/>
          <w:color w:val="1A1A1A"/>
          <w:sz w:val="22"/>
          <w:szCs w:val="22"/>
        </w:rPr>
        <w:t xml:space="preserve">Stripe is acceptable to physicians as a payment processor (credit card rewards are a positive signal).</w:t>
      </w:r>
    </w:p>
    <w:p>
      <w:pPr>
        <w:pStyle w:val="ListParagraph"/>
        <w:numPr>
          <w:ilvl w:val="0"/>
          <w:numId w:val="2"/>
        </w:numPr>
        <w:spacing w:after="60" w:line="276"/>
      </w:pPr>
      <w:r>
        <w:rPr>
          <w:rFonts w:ascii="Arial" w:cs="Arial" w:eastAsia="Arial" w:hAnsi="Arial"/>
          <w:color w:val="1A1A1A"/>
          <w:sz w:val="22"/>
          <w:szCs w:val="22"/>
        </w:rPr>
        <w:t xml:space="preserve">Physicians using EMRs for billing will accept a weekly CSV export/import step in exchange for the value of intelligent validation and AI Coach suggestions. The five-minute weekly task is justified by the revenue it recovers.</w:t>
      </w:r>
    </w:p>
    <w:p>
      <w:pPr>
        <w:pStyle w:val="Heading2"/>
      </w:pPr>
      <w:r>
        <w:t xml:space="preserve">13.3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960"/>
        <w:gridCol w:w="2800"/>
      </w:tblGrid>
      <w:tr>
        <w:tc>
          <w:tcPr>
            <w:tcW w:type="dxa" w:w="20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Dependency</w:t>
            </w:r>
          </w:p>
        </w:tc>
        <w:tc>
          <w:tcPr>
            <w:tcW w:type="dxa" w:w="16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29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2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H-Link accreditation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AHCIP</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Submit AHC2210 early; build against spec in parallel; 2–3 month lead time</w:t>
            </w:r>
          </w:p>
        </w:tc>
      </w:tr>
      <w:tr>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WCB submission access</w:t>
            </w:r>
          </w:p>
        </w:tc>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WCB Alberta</w:t>
            </w:r>
          </w:p>
        </w:tc>
        <w:tc>
          <w:tcPr>
            <w:tcW w:type="dxa" w:w="29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Research early; formatted export fallback if direct integration unavailable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SOMB data currency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Alberta Health</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Monitor publications; SOMB change summary feature</w:t>
            </w:r>
          </w:p>
        </w:tc>
      </w:tr>
      <w:tr>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DigitalOcean TOR1</w:t>
            </w:r>
          </w:p>
        </w:tc>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DigitalOcean</w:t>
            </w:r>
          </w:p>
        </w:tc>
        <w:tc>
          <w:tcPr>
            <w:tcW w:type="dxa" w:w="29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Architecture supports migration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Stripe availability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Stripe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Major provider with SLA; standard integration</w:t>
            </w:r>
          </w:p>
        </w:tc>
      </w:tr>
      <w:tr>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Incorporation</w:t>
            </w:r>
          </w:p>
        </w:tc>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Ian</w:t>
            </w:r>
          </w:p>
        </w:tc>
        <w:tc>
          <w:tcPr>
            <w:tcW w:type="dxa" w:w="29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File before launch; SigOct interim if needed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Open-source LLM suitability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Open-source community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Low–Medium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Tier 3 fallback covers gaps</w:t>
            </w:r>
          </w:p>
        </w:tc>
      </w:tr>
      <w:tr>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EMR export format documentation</w:t>
            </w:r>
          </w:p>
        </w:tc>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MedAccess, Wolf, PS Suite, Accuro vendors</w:t>
            </w:r>
          </w:p>
        </w:tc>
        <w:tc>
          <w:tcPr>
            <w:tcW w:type="dxa" w:w="29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Low–Medium</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Field mapping UI provides universal solution; pre-built templates are convenience, not requirement; research during tech stack phase; build templates incrementally from actual user EMRs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Test physician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Dr. Chantelle Scrutton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Confirmed willingness</w:t>
            </w:r>
          </w:p>
        </w:tc>
      </w:tr>
    </w:tbl>
    <w:p>
      <w:pPr>
        <w:spacing w:before="120" w:after="120"/>
      </w:pPr>
    </w:p>
    <w:p>
      <w:r>
        <w:br w:type="page"/>
      </w:r>
    </w:p>
    <w:p>
      <w:pPr>
        <w:pStyle w:val="Heading1"/>
      </w:pPr>
      <w:r>
        <w:t xml:space="preserve">14.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900"/>
        <w:gridCol w:w="5260"/>
      </w:tblGrid>
      <w:tr>
        <w:tc>
          <w:tcPr>
            <w:tcW w:type="dxa" w:w="2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0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9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52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H-Link accreditation delayed/denied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Low–Med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Critical</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Engage AHCIP early; demo/sandbox contingency</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WCB integration more complex than expected</w:t>
            </w:r>
          </w:p>
        </w:tc>
        <w:tc>
          <w:tcPr>
            <w:tcW w:type="dxa" w:w="1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9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52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Formatted export as MVP fallback; direct integration Phase 1.5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Low initial adoption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Early bird pricing; target rural/ER networks; referral program post-PMF</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AI Coach incorrect suggestions</w:t>
            </w:r>
          </w:p>
        </w:tc>
        <w:tc>
          <w:tcPr>
            <w:tcW w:type="dxa" w:w="1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9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52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Cite sources; physician final approval; Tier 3 fallback; accuracy monitoring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SOMB/GR changes break validation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Versioned reference data; SOMB change summaries; rapid update procedure</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Auto-submission error (clean claim rejected)</w:t>
            </w:r>
          </w:p>
        </w:tc>
        <w:tc>
          <w:tcPr>
            <w:tcW w:type="dxa" w:w="1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9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52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Conservative classification (any doubt = flagged); auto-submit accuracy tracking; physician can switch to manual approval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Competitor launches similar product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Low–Med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First-mover in self-serve + AI + WCB; governing rules depth hard to replicate</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Security breach / PHI exposure</w:t>
            </w:r>
          </w:p>
        </w:tc>
        <w:tc>
          <w:tcPr>
            <w:tcW w:type="dxa" w:w="1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9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Critical</w:t>
            </w:r>
          </w:p>
        </w:tc>
        <w:tc>
          <w:tcPr>
            <w:tcW w:type="dxa" w:w="52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Security-first; MFA; encryption; audit logging; incident response; HIA breach notification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Single-developer bottleneck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Modular domain architecture; documentation; automated testing; API-first</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Self-hosted LLM insufficient quality</w:t>
            </w:r>
          </w:p>
        </w:tc>
        <w:tc>
          <w:tcPr>
            <w:tcW w:type="dxa" w:w="1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Low–Med</w:t>
            </w:r>
          </w:p>
        </w:tc>
        <w:tc>
          <w:tcPr>
            <w:tcW w:type="dxa" w:w="9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52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Tier 3 fallback; can upgrade model or add commercial API post-launch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Stripe service disruption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Stripe has 99.99% uptime SLA; subscription status cached locally; grace period for access</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Notification delivery failure during Thursday cycle</w:t>
            </w:r>
          </w:p>
        </w:tc>
        <w:tc>
          <w:tcPr>
            <w:tcW w:type="dxa" w:w="1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9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52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Multiple channels (email + in-app); delivery tracking; retry logic; auto-submission proceeds regardless of notification delivery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Physician resistance to auto-submission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“Require approval” mode available; conservative default (hold flagged); full audit trail builds trust over time</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EMR export friction deters Segment 1 adoption</w:t>
            </w:r>
          </w:p>
        </w:tc>
        <w:tc>
          <w:tcPr>
            <w:tcW w:type="dxa" w:w="1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9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52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Pre-built mapping templates reduce setup to minutes; demonstrate value on first import (caught errors visible immediately); position as bridge to direct integration in Phase 2–3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EMR vendor changes export format without notice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Field mapping UI lets physician remap; saved mappings are editable; import validation catches unexpected format changes with clear error messages</w:t>
            </w:r>
          </w:p>
        </w:tc>
      </w:tr>
    </w:tbl>
    <w:p>
      <w:pPr>
        <w:spacing w:before="120" w:after="120"/>
      </w:pPr>
    </w:p>
    <w:p>
      <w:r>
        <w:br w:type="page"/>
      </w:r>
    </w:p>
    <w:p>
      <w:pPr>
        <w:pStyle w:val="Heading1"/>
      </w:pPr>
      <w:r>
        <w:t xml:space="preserve">15. Domain Decomposition Preview</w:t>
      </w:r>
    </w:p>
    <w:p>
      <w:pPr>
        <w:spacing w:after="120" w:line="276"/>
      </w:pPr>
      <w:r>
        <w:rPr>
          <w:rFonts w:ascii="Arial" w:cs="Arial" w:eastAsia="Arial" w:hAnsi="Arial"/>
          <w:color w:val="1A1A1A"/>
          <w:sz w:val="22"/>
          <w:szCs w:val="22"/>
        </w:rPr>
        <w:t xml:space="preserve">The following bounded domains will each receive a detailed functional requirements document. This preview establishes scope boundaries and interfaces.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4060"/>
      </w:tblGrid>
      <w:tr>
        <w:tc>
          <w:tcPr>
            <w:tcW w:type="dxa" w:w="17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Domain</w:t>
            </w:r>
          </w:p>
        </w:tc>
        <w:tc>
          <w:tcPr>
            <w:tcW w:type="dxa" w:w="36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c>
          <w:tcPr>
            <w:tcW w:type="dxa" w:w="40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Key Interfaces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Identity &amp; Access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Auth, MFA, RBAC, sessions, audit logging, delegate management (incl. batch approval permission)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All domains (authZ); Provider Management (roles)</w:t>
            </w:r>
          </w:p>
        </w:tc>
      </w:tr>
      <w:tr>
        <w:tc>
          <w:tcPr>
            <w:tcW w:type="dxa" w:w="17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Provider Management</w:t>
            </w:r>
          </w:p>
        </w:tc>
        <w:tc>
          <w:tcPr>
            <w:tcW w:type="dxa" w:w="3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Physician profile, BA numbers, specialty, practice settings, multi-location/locum, submission preferences, delegate permissions</w:t>
            </w:r>
          </w:p>
        </w:tc>
        <w:tc>
          <w:tcPr>
            <w:tcW w:type="dxa" w:w="40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Identity &amp; Access; Claim Lifecycle (BA, location defaults); Reference Data (specialty rules, RRNP rates)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Patient Registry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Demographics, PHN validation, CSV import, search, recent patients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Claim Lifecycle (patient selection); H-Link (PHN)</w:t>
            </w:r>
          </w:p>
        </w:tc>
      </w:tr>
      <w:tr>
        <w:tc>
          <w:tcPr>
            <w:tcW w:type="dxa" w:w="17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Reference Data</w:t>
            </w:r>
          </w:p>
        </w:tc>
        <w:tc>
          <w:tcPr>
            <w:tcW w:type="dxa" w:w="3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SOMB, WCB fee schedule, modifiers, governing rules, functional centres, DI codes, RRNP rates, PCPCM baskets, statutory holidays, versioning, change summaries, help/tooltip content</w:t>
            </w:r>
          </w:p>
        </w:tc>
        <w:tc>
          <w:tcPr>
            <w:tcW w:type="dxa" w:w="40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Claim Lifecycle (validation); Intelligence Engine (suggestions); Analytics (descriptions); Support (knowledge base)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Claim Lifecycle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Creation (AHCIP + WCB), batch import from EMR exports (CSV/flat file with field mapping), validation, state machine, tiered auto-submission, batch assembly, pre-submission classification (clean/flagged), rejection management, claim aging, reconciliation, duplicate detection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All domains; central orchestration</w:t>
            </w:r>
          </w:p>
        </w:tc>
      </w:tr>
      <w:tr>
        <w:tc>
          <w:tcPr>
            <w:tcW w:type="dxa" w:w="17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H-Link Integration</w:t>
            </w:r>
          </w:p>
        </w:tc>
        <w:tc>
          <w:tcPr>
            <w:tcW w:type="dxa" w:w="3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Submission protocol, file generation, assessment retrieval, credential management</w:t>
            </w:r>
          </w:p>
        </w:tc>
        <w:tc>
          <w:tcPr>
            <w:tcW w:type="dxa" w:w="40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Claim Lifecycle (batch/assessment); Provider Management (submitter prefix)</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WCB Integration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WCB fee validation, claim field capture, file generation, electronic submission or formatted export</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Claim Lifecycle (WCB claims); Reference Data (WCB fee schedule); Provider Management</w:t>
            </w:r>
          </w:p>
        </w:tc>
      </w:tr>
      <w:tr>
        <w:tc>
          <w:tcPr>
            <w:tcW w:type="dxa" w:w="17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Intelligence Engine</w:t>
            </w:r>
          </w:p>
        </w:tc>
        <w:tc>
          <w:tcPr>
            <w:tcW w:type="dxa" w:w="3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AI Billing Coach (3-tier: rules + LLM + review-recommended), suggestions, modifier prompts, pattern analysis, learning loop</w:t>
            </w:r>
          </w:p>
        </w:tc>
        <w:tc>
          <w:tcPr>
            <w:tcW w:type="dxa" w:w="40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Claim Lifecycle (analysis); Reference Data (rules); Analytics (patterns)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Notification Service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Cross-cutting: email + in-app delivery, Thursday submission sequence, event-driven alerts, physician preferences, delivery tracking, retry logic. Architecture for push (Phase 2)</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Claim Lifecycle (submission events); Provider Management (preferences); Platform Ops (payment events); Reference Data (SOMB changes)</w:t>
            </w:r>
          </w:p>
        </w:tc>
      </w:tr>
      <w:tr>
        <w:tc>
          <w:tcPr>
            <w:tcW w:type="dxa" w:w="17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Analytics &amp; Reporting</w:t>
            </w:r>
          </w:p>
        </w:tc>
        <w:tc>
          <w:tcPr>
            <w:tcW w:type="dxa" w:w="3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Dashboards, rejection tracking, revenue summaries, claim aging, multi-site breakdowns, accountant export, data portability export</w:t>
            </w:r>
          </w:p>
        </w:tc>
        <w:tc>
          <w:tcPr>
            <w:tcW w:type="dxa" w:w="40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Claim Lifecycle; Reference Data; Provider Management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Mobile Companion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ED shift workflow, clinic quick-entry, responsive design, favourite codes, offline queue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Claim Lifecycle; Patient Registry; Provider Management</w:t>
            </w:r>
          </w:p>
        </w:tc>
      </w:tr>
      <w:tr>
        <w:tc>
          <w:tcPr>
            <w:tcW w:type="dxa" w:w="17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Onboarding</w:t>
            </w:r>
          </w:p>
        </w:tc>
        <w:tc>
          <w:tcPr>
            <w:tcW w:type="dxa" w:w="3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Registration, IMA, PIA, AHC11236 pre-fill, BA tracking, patient import, submission preference setup</w:t>
            </w:r>
          </w:p>
        </w:tc>
        <w:tc>
          <w:tcPr>
            <w:tcW w:type="dxa" w:w="40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Identity &amp; Access; Provider Management; Patient Registry</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Platform Operations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Status page, Stripe subscription billing/invoicing/webhooks, data export, referral program (post-PMF), support system (email launch, AI Phase 1.5)</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Identity &amp; Access (subscription status); Notification Service; Analytics</w:t>
            </w:r>
          </w:p>
        </w:tc>
      </w:tr>
    </w:tbl>
    <w:p>
      <w:pPr>
        <w:spacing w:before="120" w:after="120"/>
      </w:pPr>
    </w:p>
    <w:p>
      <w:pPr>
        <w:spacing w:after="120" w:line="276"/>
      </w:pPr>
      <w:r>
        <w:rPr>
          <w:rFonts w:ascii="Arial" w:cs="Arial" w:eastAsia="Arial" w:hAnsi="Arial"/>
          <w:b/>
          <w:bCs/>
          <w:color w:val="1A1A1A"/>
          <w:sz w:val="22"/>
          <w:szCs w:val="22"/>
        </w:rPr>
        <w:t xml:space="preserve">Build critical path: </w:t>
      </w:r>
      <w:r>
        <w:rPr>
          <w:rFonts w:ascii="Arial" w:cs="Arial" w:eastAsia="Arial" w:hAnsi="Arial"/>
          <w:color w:val="1A1A1A"/>
          <w:sz w:val="22"/>
          <w:szCs w:val="22"/>
        </w:rPr>
        <w:t xml:space="preserve">Identity &amp; Access → Reference Data → Notification Service → Claim Lifecycle → H-Link Integration → WCB Integration. The Notification Service is elevated in the critical path because the tiered auto-submission model depends on it for the Thursday submission sequence.</w:t>
      </w:r>
    </w:p>
    <w:p>
      <w:pPr>
        <w:spacing w:before="120" w:after="120"/>
      </w:pPr>
    </w:p>
    <w:p>
      <w:r>
        <w:br w:type="page"/>
      </w:r>
    </w:p>
    <w:p>
      <w:pPr>
        <w:pStyle w:val="Heading1"/>
      </w:pPr>
      <w:r>
        <w:t xml:space="preserve">16.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500"/>
        <w:gridCol w:w="5460"/>
      </w:tblGrid>
      <w:tr>
        <w:tc>
          <w:tcPr>
            <w:tcW w:type="dxa" w:w="9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15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15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w:t>
            </w:r>
          </w:p>
        </w:tc>
        <w:tc>
          <w:tcPr>
            <w:tcW w:type="dxa" w:w="54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Feb 12, 2026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Ian Faulkner</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Initial PRD based on Technical Specification v2</w:t>
            </w:r>
          </w:p>
        </w:tc>
      </w:tr>
      <w:tr>
        <w:tc>
          <w:tcPr>
            <w:tcW w:type="dxa" w:w="9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1.1</w:t>
            </w:r>
          </w:p>
        </w:tc>
        <w:tc>
          <w:tcPr>
            <w:tcW w:type="dxa" w:w="15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Feb 12, 2026</w:t>
            </w:r>
          </w:p>
        </w:tc>
        <w:tc>
          <w:tcPr>
            <w:tcW w:type="dxa" w:w="15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Ian Faulkner</w:t>
            </w:r>
          </w:p>
        </w:tc>
        <w:tc>
          <w:tcPr>
            <w:tcW w:type="dxa" w:w="54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Rural specialist persona; WCB in MVP; referral program; locum support; AI 3-tier architecture; ED shift workflow; accountant export; SOMB change summaries; claim aging; stat holidays; data portability; invoicing; status page; ex-GST pricing; batch review gate; mobile-first architecture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Feb 12, 2026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Ian Faulkner</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Stripe payments; tiered auto-submission; notification framework; AI-driven support; contextual help; Intelligent Autonomy principle; build critical path updated</w:t>
            </w:r>
          </w:p>
        </w:tc>
      </w:tr>
      <w:tr>
        <w:tc>
          <w:tcPr>
            <w:tcW w:type="dxa" w:w="9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1.3</w:t>
            </w:r>
          </w:p>
        </w:tc>
        <w:tc>
          <w:tcPr>
            <w:tcW w:type="dxa" w:w="15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Feb 12, 2026</w:t>
            </w:r>
          </w:p>
        </w:tc>
        <w:tc>
          <w:tcPr>
            <w:tcW w:type="dxa" w:w="15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Ian Faulkner</w:t>
            </w:r>
          </w:p>
        </w:tc>
        <w:tc>
          <w:tcPr>
            <w:tcW w:type="dxa" w:w="54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EMR coexistence strategy (three physician segments: EMR-bills, EMR-documents-not-bills, no-EMR); claim batch import from EMR exports (CSV/flat file with configurable field mapping, full validation + AI Coach pipeline); pre-built EMR mapping templates for MedAccess, Wolf, PS Suite; EMR import architecture constraint; EMR export format research dependency; competitive positioning updated; positioning statement for EMR users; new risks (EMR friction, format changes)</w:t>
            </w:r>
          </w:p>
        </w:tc>
      </w:tr>
    </w:tbl>
    <w:p>
      <w:pPr>
        <w:spacing w:before="120" w:after="120"/>
      </w:pPr>
    </w:p>
    <w:p>
      <w:pPr>
        <w:spacing w:after="120" w:line="276"/>
      </w:pPr>
      <w:r>
        <w:rPr>
          <w:rFonts w:ascii="Arial" w:cs="Arial" w:eastAsia="Arial" w:hAnsi="Arial"/>
          <w:b/>
          <w:bCs/>
          <w:color w:val="1A1A1A"/>
          <w:sz w:val="22"/>
          <w:szCs w:val="22"/>
        </w:rPr>
        <w:t xml:space="preserve">Reference documents: </w:t>
      </w:r>
    </w:p>
    <w:p>
      <w:pPr>
        <w:pStyle w:val="ListParagraph"/>
        <w:numPr>
          <w:ilvl w:val="0"/>
          <w:numId w:val="2"/>
        </w:numPr>
        <w:spacing w:after="60" w:line="276"/>
      </w:pPr>
      <w:r>
        <w:rPr>
          <w:rFonts w:ascii="Arial" w:cs="Arial" w:eastAsia="Arial" w:hAnsi="Arial"/>
          <w:color w:val="1A1A1A"/>
          <w:sz w:val="22"/>
          <w:szCs w:val="22"/>
        </w:rPr>
        <w:t xml:space="preserve">Meritum Technical Specification v2 (Meritum_Technical_Spec_v2.docx)</w:t>
      </w:r>
    </w:p>
    <w:p>
      <w:pPr>
        <w:pStyle w:val="ListParagraph"/>
        <w:numPr>
          <w:ilvl w:val="0"/>
          <w:numId w:val="2"/>
        </w:numPr>
        <w:spacing w:after="60" w:line="276"/>
      </w:pPr>
      <w:r>
        <w:rPr>
          <w:rFonts w:ascii="Arial" w:cs="Arial" w:eastAsia="Arial" w:hAnsi="Arial"/>
          <w:color w:val="1A1A1A"/>
          <w:sz w:val="22"/>
          <w:szCs w:val="22"/>
        </w:rPr>
        <w:t xml:space="preserve">Alberta Physician Billing Competitive Landscape (AB_Physician_Billing_Competitive_Landscape.docx)</w:t>
      </w:r>
    </w:p>
    <w:p>
      <w:pPr>
        <w:pStyle w:val="ListParagraph"/>
        <w:numPr>
          <w:ilvl w:val="0"/>
          <w:numId w:val="2"/>
        </w:numPr>
        <w:spacing w:after="60" w:line="276"/>
      </w:pPr>
      <w:r>
        <w:rPr>
          <w:rFonts w:ascii="Arial" w:cs="Arial" w:eastAsia="Arial" w:hAnsi="Arial"/>
          <w:color w:val="1A1A1A"/>
          <w:sz w:val="22"/>
          <w:szCs w:val="22"/>
        </w:rPr>
        <w:t xml:space="preserve">AHCIP Electronic Claims Submission Specifications Manual</w:t>
      </w:r>
    </w:p>
    <w:p>
      <w:pPr>
        <w:pStyle w:val="ListParagraph"/>
        <w:numPr>
          <w:ilvl w:val="0"/>
          <w:numId w:val="2"/>
        </w:numPr>
        <w:spacing w:after="60" w:line="276"/>
      </w:pPr>
      <w:r>
        <w:rPr>
          <w:rFonts w:ascii="Arial" w:cs="Arial" w:eastAsia="Arial" w:hAnsi="Arial"/>
          <w:color w:val="1A1A1A"/>
          <w:sz w:val="22"/>
          <w:szCs w:val="22"/>
        </w:rPr>
        <w:t xml:space="preserve">Schedule of Medical Benefits (SOMB), current edition</w:t>
      </w:r>
    </w:p>
    <w:p>
      <w:pPr>
        <w:pStyle w:val="ListParagraph"/>
        <w:numPr>
          <w:ilvl w:val="0"/>
          <w:numId w:val="2"/>
        </w:numPr>
        <w:spacing w:after="60" w:line="276"/>
      </w:pPr>
      <w:r>
        <w:rPr>
          <w:rFonts w:ascii="Arial" w:cs="Arial" w:eastAsia="Arial" w:hAnsi="Arial"/>
          <w:color w:val="1A1A1A"/>
          <w:sz w:val="22"/>
          <w:szCs w:val="22"/>
        </w:rPr>
        <w:t xml:space="preserve">WCB Alberta Physician Fee Schedule and Billing Guide</w:t>
      </w:r>
    </w:p>
    <w:p>
      <w:pPr>
        <w:pStyle w:val="ListParagraph"/>
        <w:numPr>
          <w:ilvl w:val="0"/>
          <w:numId w:val="2"/>
        </w:numPr>
        <w:spacing w:after="60" w:line="276"/>
      </w:pPr>
      <w:r>
        <w:rPr>
          <w:rFonts w:ascii="Arial" w:cs="Arial" w:eastAsia="Arial" w:hAnsi="Arial"/>
          <w:color w:val="1A1A1A"/>
          <w:sz w:val="22"/>
          <w:szCs w:val="22"/>
        </w:rPr>
        <w:t xml:space="preserve">Health Information Act (HIA), RSA 2000, c H-5</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Meritum Health Technologies Inc.  |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55555"/>
        <w:sz w:val="18"/>
        <w:szCs w:val="18"/>
      </w:rPr>
      <w:t xml:space="preserve">Meritum PRD v1.3</w:t>
    </w:r>
    <w:r>
      <w:rPr>
        <w:rFonts w:ascii="Arial" w:cs="Arial" w:eastAsia="Arial" w:hAnsi="Arial"/>
        <w:i/>
        <w:iCs/>
        <w:color w:val="555555"/>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D3E"/>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B4D3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2026-02-13T00:01:20.864Z</dcterms:created>
  <dcterms:modified xsi:type="dcterms:W3CDTF">2026-02-13T00:01:20.865Z</dcterms:modified>
</cp:coreProperties>
</file>

<file path=docProps/custom.xml><?xml version="1.0" encoding="utf-8"?>
<Properties xmlns="http://schemas.openxmlformats.org/officeDocument/2006/custom-properties" xmlns:vt="http://schemas.openxmlformats.org/officeDocument/2006/docPropsVTypes"/>
</file>