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B5E20"/>
          <w:sz w:val="72"/>
          <w:szCs w:val="72"/>
        </w:rPr>
        <w:t xml:space="preserve">MERITUM</w:t>
      </w:r>
    </w:p>
    <w:p>
      <w:pPr>
        <w:spacing w:after="400"/>
        <w:jc w:val="center"/>
      </w:pPr>
      <w:r>
        <w:rPr>
          <w:rFonts w:ascii="Arial" w:cs="Arial" w:eastAsia="Arial" w:hAnsi="Arial"/>
          <w:color w:val="2E7D32"/>
          <w:sz w:val="36"/>
          <w:szCs w:val="36"/>
        </w:rPr>
        <w:t xml:space="preserve">Alberta Physician Billing Platform</w:t>
      </w:r>
    </w:p>
    <w:p>
      <w:pPr>
        <w:spacing w:after="200"/>
        <w:jc w:val="center"/>
      </w:pPr>
      <w:r>
        <w:rPr>
          <w:rFonts w:ascii="Arial" w:cs="Arial" w:eastAsia="Arial" w:hAnsi="Arial"/>
          <w:color w:val="666666"/>
          <w:sz w:val="28"/>
          <w:szCs w:val="28"/>
        </w:rPr>
        <w:t xml:space="preserve">Technical Specification</w:t>
      </w:r>
    </w:p>
    <w:p>
      <w:pPr>
        <w:spacing w:after="200"/>
        <w:jc w:val="center"/>
      </w:pPr>
      <w:r>
        <w:rPr>
          <w:rFonts w:ascii="Arial" w:cs="Arial" w:eastAsia="Arial" w:hAnsi="Arial"/>
          <w:color w:val="666666"/>
          <w:sz w:val="24"/>
          <w:szCs w:val="24"/>
        </w:rPr>
        <w:t xml:space="preserve">Version 2.0 — February 2026</w:t>
      </w:r>
    </w:p>
    <w:p>
      <w:pPr>
        <w:spacing w:before="2000"/>
        <w:jc w:val="center"/>
      </w:pPr>
      <w:r>
        <w:rPr>
          <w:rFonts w:ascii="Arial" w:cs="Arial" w:eastAsia="Arial" w:hAnsi="Arial"/>
          <w:b/>
          <w:bCs/>
          <w:color w:val="1B5E20"/>
          <w:sz w:val="20"/>
          <w:szCs w:val="20"/>
        </w:rPr>
        <w:t xml:space="preserve">CONFIDENTIAL</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Foundational Principles</w:t>
      </w:r>
    </w:p>
    <w:p>
      <w:pPr>
        <w:spacing w:after="100"/>
      </w:pPr>
    </w:p>
    <w:p>
      <w:pPr>
        <w:spacing w:after="200"/>
      </w:pPr>
      <w:r>
        <w:rPr>
          <w:rFonts w:ascii="Arial" w:cs="Arial" w:eastAsia="Arial" w:hAnsi="Arial"/>
          <w:b/>
          <w:bCs/>
          <w:color w:val="333333"/>
          <w:sz w:val="22"/>
          <w:szCs w:val="22"/>
        </w:rPr>
        <w:t xml:space="preserve">Meritum</w:t>
      </w:r>
      <w:r>
        <w:rPr>
          <w:rFonts w:ascii="Arial" w:cs="Arial" w:eastAsia="Arial" w:hAnsi="Arial"/>
          <w:color w:val="333333"/>
          <w:sz w:val="22"/>
          <w:szCs w:val="22"/>
        </w:rPr>
        <w:t xml:space="preserve"> (Latin: "earned" / "deserved") is a self-serve physician billing platform purpose-built for Alberta. It operates as an independent product, separate from the SigOct consulting brand, with its own identity at </w:t>
      </w:r>
      <w:r>
        <w:rPr>
          <w:rFonts w:ascii="Arial" w:cs="Arial" w:eastAsia="Arial" w:hAnsi="Arial"/>
          <w:b/>
          <w:bCs/>
          <w:color w:val="333333"/>
          <w:sz w:val="22"/>
          <w:szCs w:val="22"/>
        </w:rPr>
        <w:t xml:space="preserve">meritum.ca</w:t>
      </w:r>
      <w:r>
        <w:rPr>
          <w:rFonts w:ascii="Arial" w:cs="Arial" w:eastAsia="Arial" w:hAnsi="Arial"/>
          <w:color w:val="333333"/>
          <w:sz w:val="22"/>
          <w:szCs w:val="22"/>
        </w:rPr>
        <w:t xml:space="preserve">.</w:t>
      </w:r>
    </w:p>
    <w:p>
      <w:pPr>
        <w:pStyle w:val="Heading2"/>
      </w:pPr>
      <w:r>
        <w:t xml:space="preserve">1.1 Product Identity</w:t>
      </w:r>
    </w:p>
    <w:p>
      <w:pPr>
        <w:spacing w:after="200"/>
      </w:pPr>
      <w:r>
        <w:rPr>
          <w:rFonts w:ascii="Arial" w:cs="Arial" w:eastAsia="Arial" w:hAnsi="Arial"/>
          <w:b/>
          <w:bCs/>
          <w:color w:val="333333"/>
          <w:sz w:val="22"/>
          <w:szCs w:val="22"/>
        </w:rPr>
        <w:t xml:space="preserve">Brand: </w:t>
      </w:r>
      <w:r>
        <w:rPr>
          <w:rFonts w:ascii="Arial" w:cs="Arial" w:eastAsia="Arial" w:hAnsi="Arial"/>
          <w:color w:val="333333"/>
          <w:sz w:val="22"/>
          <w:szCs w:val="22"/>
        </w:rPr>
        <w:t xml:space="preserve">Meritum — conveying that physicians have earned their compensation and Meritum ensures they receive it. The name carries clinical credibility and confidence.</w:t>
      </w:r>
    </w:p>
    <w:p>
      <w:pPr>
        <w:spacing w:after="200"/>
      </w:pPr>
      <w:r>
        <w:rPr>
          <w:rFonts w:ascii="Arial" w:cs="Arial" w:eastAsia="Arial" w:hAnsi="Arial"/>
          <w:b/>
          <w:bCs/>
          <w:color w:val="333333"/>
          <w:sz w:val="22"/>
          <w:szCs w:val="22"/>
        </w:rPr>
        <w:t xml:space="preserve">Tagline concept: </w:t>
      </w:r>
      <w:r>
        <w:rPr>
          <w:rFonts w:ascii="Arial" w:cs="Arial" w:eastAsia="Arial" w:hAnsi="Arial"/>
          <w:color w:val="333333"/>
          <w:sz w:val="22"/>
          <w:szCs w:val="22"/>
        </w:rPr>
        <w:t xml:space="preserve">"What you’ve earned, delivered."</w:t>
      </w:r>
    </w:p>
    <w:p>
      <w:pPr>
        <w:spacing w:after="200"/>
      </w:pPr>
      <w:r>
        <w:rPr>
          <w:rFonts w:ascii="Arial" w:cs="Arial" w:eastAsia="Arial" w:hAnsi="Arial"/>
          <w:b/>
          <w:bCs/>
          <w:color w:val="333333"/>
          <w:sz w:val="22"/>
          <w:szCs w:val="22"/>
        </w:rPr>
        <w:t xml:space="preserve">Domain: </w:t>
      </w:r>
      <w:r>
        <w:rPr>
          <w:rFonts w:ascii="Arial" w:cs="Arial" w:eastAsia="Arial" w:hAnsi="Arial"/>
          <w:color w:val="333333"/>
          <w:sz w:val="22"/>
          <w:szCs w:val="22"/>
        </w:rPr>
        <w:t xml:space="preserve">meritum.ca</w:t>
      </w:r>
    </w:p>
    <w:p>
      <w:pPr>
        <w:spacing w:after="200"/>
      </w:pPr>
      <w:r>
        <w:rPr>
          <w:rFonts w:ascii="Arial" w:cs="Arial" w:eastAsia="Arial" w:hAnsi="Arial"/>
          <w:b/>
          <w:bCs/>
          <w:color w:val="333333"/>
          <w:sz w:val="22"/>
          <w:szCs w:val="22"/>
        </w:rPr>
        <w:t xml:space="preserve">Operator: </w:t>
      </w:r>
      <w:r>
        <w:rPr>
          <w:rFonts w:ascii="Arial" w:cs="Arial" w:eastAsia="Arial" w:hAnsi="Arial"/>
          <w:color w:val="333333"/>
          <w:sz w:val="22"/>
          <w:szCs w:val="22"/>
        </w:rPr>
        <w:t xml:space="preserve">Meritum Health Technologies Inc. (or similar incorporation, separate from SigOct)</w:t>
      </w:r>
    </w:p>
    <w:p>
      <w:pPr>
        <w:pStyle w:val="Heading2"/>
      </w:pPr>
      <w:r>
        <w:t xml:space="preserve">1.2 Core Architecture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61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Platform Type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Self-serve software with AI billing intelligence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Market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Alberta-only initially, targeting rural family physicians and multi-setting specialists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H-Link Role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Meritum as accredited H-Link submitter (form AHC2210, assigned submitter prefix)</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Privacy Model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Physician is HIA custodian; Meritum is information manager per HIA s.66</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Infrastructure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DigitalOcean Toronto (TOR1) data centre, Canadian data residency. Long-term migration to owned servers in Canadian DC.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Security Posture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Security-first without formal SOC 2 initially; self-directed HIA/PIPEDA compliance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Pricing Model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Flat-rate subscription (no percentage of claims). Predictable, does not penalise high-volume billers.</w:t>
            </w:r>
          </w:p>
        </w:tc>
      </w:tr>
    </w:tbl>
    <w:p>
      <w:pPr>
        <w:spacing w:after="100"/>
      </w:pPr>
    </w:p>
    <w:p>
      <w:r>
        <w:br w:type="page"/>
      </w:r>
    </w:p>
    <w:p>
      <w:pPr>
        <w:pStyle w:val="Heading1"/>
      </w:pPr>
      <w:r>
        <w:t xml:space="preserve">2. Data Flow Architecture</w:t>
      </w:r>
    </w:p>
    <w:p>
      <w:pPr>
        <w:spacing w:after="100"/>
      </w:pPr>
    </w:p>
    <w:p>
      <w:pPr>
        <w:spacing w:after="200"/>
      </w:pPr>
      <w:r>
        <w:rPr>
          <w:rFonts w:ascii="Arial" w:cs="Arial" w:eastAsia="Arial" w:hAnsi="Arial"/>
          <w:color w:val="333333"/>
          <w:sz w:val="22"/>
          <w:szCs w:val="22"/>
        </w:rPr>
        <w:t xml:space="preserve">The Meritum platform processes claims through six stages, each with defined PHI boundaries and security controls. All data resides in DigitalOcean Toronto (TOR1) with AES-256 encryption at rest.</w:t>
      </w:r>
    </w:p>
    <w:p>
      <w:pPr>
        <w:pStyle w:val="Heading2"/>
      </w:pPr>
      <w:r>
        <w:t xml:space="preserve">2.1 Stage 1: Claim Creation</w:t>
      </w:r>
    </w:p>
    <w:p>
      <w:pPr>
        <w:spacing w:after="200"/>
      </w:pPr>
      <w:r>
        <w:rPr>
          <w:rFonts w:ascii="Arial" w:cs="Arial" w:eastAsia="Arial" w:hAnsi="Arial"/>
          <w:b/>
          <w:bCs/>
          <w:color w:val="333333"/>
          <w:sz w:val="22"/>
          <w:szCs w:val="22"/>
        </w:rPr>
        <w:t xml:space="preserve">Input sources: </w:t>
      </w:r>
      <w:r>
        <w:rPr>
          <w:rFonts w:ascii="Arial" w:cs="Arial" w:eastAsia="Arial" w:hAnsi="Arial"/>
          <w:color w:val="333333"/>
          <w:sz w:val="22"/>
          <w:szCs w:val="22"/>
        </w:rPr>
        <w:t xml:space="preserve">Web interface, Meritum mobile companion app, EMR CSV export, Connect Care SCC feed (Phase 2)</w:t>
      </w:r>
    </w:p>
    <w:p>
      <w:pPr>
        <w:spacing w:after="200"/>
      </w:pPr>
      <w:r>
        <w:rPr>
          <w:rFonts w:ascii="Arial" w:cs="Arial" w:eastAsia="Arial" w:hAnsi="Arial"/>
          <w:b/>
          <w:bCs/>
          <w:color w:val="333333"/>
          <w:sz w:val="22"/>
          <w:szCs w:val="22"/>
        </w:rPr>
        <w:t xml:space="preserve">PHI elements: </w:t>
      </w:r>
      <w:r>
        <w:rPr>
          <w:rFonts w:ascii="Arial" w:cs="Arial" w:eastAsia="Arial" w:hAnsi="Arial"/>
          <w:color w:val="333333"/>
          <w:sz w:val="22"/>
          <w:szCs w:val="22"/>
        </w:rPr>
        <w:t xml:space="preserve">Patient PHN/name/DOB/sex/postal code, physician PRAC ID, referring PRAC ID, health service codes (HSCs), ICD-9 diagnostic codes, functional centre, modifiers, date/time of service</w:t>
      </w:r>
    </w:p>
    <w:p>
      <w:pPr>
        <w:spacing w:after="200"/>
      </w:pPr>
      <w:r>
        <w:rPr>
          <w:rFonts w:ascii="Arial" w:cs="Arial" w:eastAsia="Arial" w:hAnsi="Arial"/>
          <w:b/>
          <w:bCs/>
          <w:color w:val="333333"/>
          <w:sz w:val="22"/>
          <w:szCs w:val="22"/>
        </w:rPr>
        <w:t xml:space="preserve">Processing: </w:t>
      </w:r>
      <w:r>
        <w:rPr>
          <w:rFonts w:ascii="Arial" w:cs="Arial" w:eastAsia="Arial" w:hAnsi="Arial"/>
          <w:color w:val="333333"/>
          <w:sz w:val="22"/>
          <w:szCs w:val="22"/>
        </w:rPr>
        <w:t xml:space="preserve">Real-time validation engine checks PHN format and check digit, HSC validity against SOMB, modifier compatibility, DI code validity, functional centre requirements, governing rule compliance, 90-day submission window, and duplicate detection</w:t>
      </w:r>
    </w:p>
    <w:p>
      <w:pPr>
        <w:spacing w:after="200"/>
      </w:pPr>
      <w:r>
        <w:rPr>
          <w:rFonts w:ascii="Arial" w:cs="Arial" w:eastAsia="Arial" w:hAnsi="Arial"/>
          <w:b/>
          <w:bCs/>
          <w:color w:val="333333"/>
          <w:sz w:val="22"/>
          <w:szCs w:val="22"/>
        </w:rPr>
        <w:t xml:space="preserve">Storage: </w:t>
      </w:r>
      <w:r>
        <w:rPr>
          <w:rFonts w:ascii="Arial" w:cs="Arial" w:eastAsia="Arial" w:hAnsi="Arial"/>
          <w:color w:val="333333"/>
          <w:sz w:val="22"/>
          <w:szCs w:val="22"/>
        </w:rPr>
        <w:t xml:space="preserve">Encrypted PostgreSQL database (AES-256 at rest, managed DO volumes), Canadian data centre only. Claim status: DRAFT</w:t>
      </w:r>
    </w:p>
    <w:p>
      <w:pPr>
        <w:spacing w:after="200"/>
      </w:pPr>
      <w:r>
        <w:rPr>
          <w:rFonts w:ascii="Arial" w:cs="Arial" w:eastAsia="Arial" w:hAnsi="Arial"/>
          <w:b/>
          <w:bCs/>
          <w:color w:val="333333"/>
          <w:sz w:val="22"/>
          <w:szCs w:val="22"/>
        </w:rPr>
        <w:t xml:space="preserve">Access: </w:t>
      </w:r>
      <w:r>
        <w:rPr>
          <w:rFonts w:ascii="Arial" w:cs="Arial" w:eastAsia="Arial" w:hAnsi="Arial"/>
          <w:color w:val="333333"/>
          <w:sz w:val="22"/>
          <w:szCs w:val="22"/>
        </w:rPr>
        <w:t xml:space="preserve">Physician and authorized delegates only. No Meritum staff access to PHI without explicit physician authorization.</w:t>
      </w:r>
    </w:p>
    <w:p>
      <w:pPr>
        <w:pStyle w:val="Heading2"/>
      </w:pPr>
      <w:r>
        <w:t xml:space="preserve">2.2 Stage 2: Pre-Submission Review &amp; AI Billing Coach</w:t>
      </w:r>
    </w:p>
    <w:p>
      <w:pPr>
        <w:spacing w:after="200"/>
      </w:pPr>
      <w:r>
        <w:rPr>
          <w:rFonts w:ascii="Arial" w:cs="Arial" w:eastAsia="Arial" w:hAnsi="Arial"/>
          <w:b/>
          <w:bCs/>
          <w:color w:val="333333"/>
          <w:sz w:val="22"/>
          <w:szCs w:val="22"/>
        </w:rPr>
        <w:t xml:space="preserve">AI code suggestion engine </w:t>
      </w:r>
      <w:r>
        <w:rPr>
          <w:rFonts w:ascii="Arial" w:cs="Arial" w:eastAsia="Arial" w:hAnsi="Arial"/>
          <w:color w:val="333333"/>
          <w:sz w:val="22"/>
          <w:szCs w:val="22"/>
        </w:rPr>
        <w:t xml:space="preserve">operates on claim metadata (HSCs, modifiers, functional centres, service time) WITHOUT patient identity. Identifies missed modifiers (CMGP time-based, age, after-hours, LSCD prolonged), governing rule violations, commonly co-billed codes, and revenue optimisation opportunities.</w:t>
      </w:r>
    </w:p>
    <w:p>
      <w:pPr>
        <w:spacing w:after="200"/>
      </w:pPr>
      <w:r>
        <w:rPr>
          <w:rFonts w:ascii="Arial" w:cs="Arial" w:eastAsia="Arial" w:hAnsi="Arial"/>
          <w:b/>
          <w:bCs/>
          <w:color w:val="333333"/>
          <w:sz w:val="22"/>
          <w:szCs w:val="22"/>
        </w:rPr>
        <w:t xml:space="preserve">AI Billing Coach (MVP) </w:t>
      </w:r>
      <w:r>
        <w:rPr>
          <w:rFonts w:ascii="Arial" w:cs="Arial" w:eastAsia="Arial" w:hAnsi="Arial"/>
          <w:color w:val="333333"/>
          <w:sz w:val="22"/>
          <w:szCs w:val="22"/>
        </w:rPr>
        <w:t xml:space="preserve">provides proactive analysis: underutilised modifier patterns, missed premium eligibility (RRNP, after-hours), code selection optimisation based on setting and demographics, and personalised recommendations. This is the intelligence layer that replaces the human billing specialist found in managed-service competitors.</w:t>
      </w:r>
    </w:p>
    <w:p>
      <w:pPr>
        <w:spacing w:after="200"/>
      </w:pPr>
      <w:r>
        <w:rPr>
          <w:rFonts w:ascii="Arial" w:cs="Arial" w:eastAsia="Arial" w:hAnsi="Arial"/>
          <w:color w:val="333333"/>
          <w:sz w:val="22"/>
          <w:szCs w:val="22"/>
        </w:rPr>
        <w:t xml:space="preserve">Physician reviews, approves, and promotes claims to READY status. Anonymised aggregate data used for pattern matching contains no PHI.</w:t>
      </w:r>
    </w:p>
    <w:p>
      <w:pPr>
        <w:pStyle w:val="Heading2"/>
      </w:pPr>
      <w:r>
        <w:t xml:space="preserve">2.3 Stage 3: Batch Assembly &amp; H-Link Submission</w:t>
      </w:r>
    </w:p>
    <w:p>
      <w:pPr>
        <w:spacing w:after="200"/>
      </w:pPr>
      <w:r>
        <w:rPr>
          <w:rFonts w:ascii="Arial" w:cs="Arial" w:eastAsia="Arial" w:hAnsi="Arial"/>
          <w:color w:val="333333"/>
          <w:sz w:val="22"/>
          <w:szCs w:val="22"/>
        </w:rPr>
        <w:t xml:space="preserve">READY claims assembled per the Electronic Claims Submission Specifications Manual. Batch includes all required data elements: action code, submitter prefix, BA number, PRAC ID, patient PHN, HSCs, modifiers, DI codes, functional centre, date/time, referring PRAC ID, and text fields where applicable.</w:t>
      </w:r>
    </w:p>
    <w:p>
      <w:pPr>
        <w:spacing w:after="200"/>
      </w:pPr>
      <w:r>
        <w:rPr>
          <w:rFonts w:ascii="Arial" w:cs="Arial" w:eastAsia="Arial" w:hAnsi="Arial"/>
          <w:color w:val="333333"/>
          <w:sz w:val="22"/>
          <w:szCs w:val="22"/>
        </w:rPr>
        <w:t xml:space="preserve">Transmitted via H-Link secure web service using Meritum’s submitter credentials. Target: before Thursday 12 PM cutoff for same-week assessment. Full claim data encrypted in transit (TLS 1.3). Claims updated to SUBMITTED with timestamp and batch ID.</w:t>
      </w:r>
    </w:p>
    <w:p>
      <w:pPr>
        <w:pStyle w:val="Heading2"/>
      </w:pPr>
      <w:r>
        <w:t xml:space="preserve">2.4 Stage 4: Assessment &amp; Remittance</w:t>
      </w:r>
    </w:p>
    <w:p>
      <w:pPr>
        <w:spacing w:after="200"/>
      </w:pPr>
      <w:r>
        <w:rPr>
          <w:rFonts w:ascii="Arial" w:cs="Arial" w:eastAsia="Arial" w:hAnsi="Arial"/>
          <w:color w:val="333333"/>
          <w:sz w:val="22"/>
          <w:szCs w:val="22"/>
        </w:rPr>
        <w:t xml:space="preserve">AHCIP returns assessment results via H-Link: paid amount, explanatory codes per claim, and remittance summary. Each claim matched to original submission; status updated to PAID, PARTIAL, or REJECTED.</w:t>
      </w:r>
    </w:p>
    <w:p>
      <w:pPr>
        <w:spacing w:after="200"/>
      </w:pPr>
      <w:r>
        <w:rPr>
          <w:rFonts w:ascii="Arial" w:cs="Arial" w:eastAsia="Arial" w:hAnsi="Arial"/>
          <w:color w:val="333333"/>
          <w:sz w:val="22"/>
          <w:szCs w:val="22"/>
        </w:rPr>
        <w:t xml:space="preserve">Rejection analysis engine categorises reason codes and suggests corrections. Physician notified via dashboard alert with optional email/push notification. Assessment data linked to original claim, stored encrypted, same access controls apply.</w:t>
      </w:r>
    </w:p>
    <w:p>
      <w:pPr>
        <w:spacing w:after="200"/>
      </w:pPr>
      <w:r>
        <w:rPr>
          <w:rFonts w:ascii="Arial" w:cs="Arial" w:eastAsia="Arial" w:hAnsi="Arial"/>
          <w:b/>
          <w:bCs/>
          <w:color w:val="333333"/>
          <w:sz w:val="22"/>
          <w:szCs w:val="22"/>
        </w:rPr>
        <w:t xml:space="preserve">Reconciliation reports: </w:t>
      </w:r>
      <w:r>
        <w:rPr>
          <w:rFonts w:ascii="Arial" w:cs="Arial" w:eastAsia="Arial" w:hAnsi="Arial"/>
          <w:color w:val="333333"/>
          <w:sz w:val="22"/>
          <w:szCs w:val="22"/>
        </w:rPr>
        <w:t xml:space="preserve">claims awaiting assessment, rejections requiring action, partial payments, payment totals by period, estimated vs actual payment comparison.</w:t>
      </w:r>
    </w:p>
    <w:p>
      <w:pPr>
        <w:pStyle w:val="Heading2"/>
      </w:pPr>
      <w:r>
        <w:t xml:space="preserve">2.5 Stage 5: Rejection Management</w:t>
      </w:r>
    </w:p>
    <w:p>
      <w:pPr>
        <w:spacing w:after="200"/>
      </w:pPr>
      <w:r>
        <w:rPr>
          <w:rFonts w:ascii="Arial" w:cs="Arial" w:eastAsia="Arial" w:hAnsi="Arial"/>
          <w:color w:val="333333"/>
          <w:sz w:val="22"/>
          <w:szCs w:val="22"/>
        </w:rPr>
        <w:t xml:space="preserve">Rejected claims presented with original data, explanatory code and description, and suggested correction from the AI Billing Coach. Physician edits and resubmits using action code C (change) or A (add). Certain rejections auto-correctable with pre-authorisation (missing implicit modifier, DI code mapping error). System learns from rejection patterns to improve future validation.</w:t>
      </w:r>
    </w:p>
    <w:p>
      <w:pPr>
        <w:pStyle w:val="Heading2"/>
      </w:pPr>
      <w:r>
        <w:t xml:space="preserve">2.6 Stage 6: Analytics (De-Identified)</w:t>
      </w:r>
    </w:p>
    <w:p>
      <w:pPr>
        <w:spacing w:after="200"/>
      </w:pPr>
      <w:r>
        <w:rPr>
          <w:rFonts w:ascii="Arial" w:cs="Arial" w:eastAsia="Arial" w:hAnsi="Arial"/>
          <w:color w:val="333333"/>
          <w:sz w:val="22"/>
          <w:szCs w:val="22"/>
        </w:rPr>
        <w:t xml:space="preserve">Operates on claim-level aggregate data: HSC frequency, modifier usage, rejection rates, payment amounts by period/code/location. No patient-level PHI enters analytics processing.</w:t>
      </w:r>
    </w:p>
    <w:p>
      <w:pPr>
        <w:spacing w:after="200"/>
      </w:pPr>
      <w:r>
        <w:rPr>
          <w:rFonts w:ascii="Arial" w:cs="Arial" w:eastAsia="Arial" w:hAnsi="Arial"/>
          <w:b/>
          <w:bCs/>
          <w:color w:val="333333"/>
          <w:sz w:val="22"/>
          <w:szCs w:val="22"/>
        </w:rPr>
        <w:t xml:space="preserve">Outputs: </w:t>
      </w:r>
      <w:r>
        <w:rPr>
          <w:rFonts w:ascii="Arial" w:cs="Arial" w:eastAsia="Arial" w:hAnsi="Arial"/>
          <w:color w:val="333333"/>
          <w:sz w:val="22"/>
          <w:szCs w:val="22"/>
        </w:rPr>
        <w:t xml:space="preserve">Revenue dashboards, billing trend analysis, rejection tracking, code utilisation heatmaps, RRNP premium estimation, SOMB rate change impact comparison.</w:t>
      </w:r>
    </w:p>
    <w:p>
      <w:pPr>
        <w:spacing w:after="200"/>
      </w:pPr>
      <w:r>
        <w:rPr>
          <w:rFonts w:ascii="Arial" w:cs="Arial" w:eastAsia="Arial" w:hAnsi="Arial"/>
          <w:b/>
          <w:bCs/>
          <w:color w:val="333333"/>
          <w:sz w:val="22"/>
          <w:szCs w:val="22"/>
        </w:rPr>
        <w:t xml:space="preserve">Future (peer benchmarking): </w:t>
      </w:r>
      <w:r>
        <w:rPr>
          <w:rFonts w:ascii="Arial" w:cs="Arial" w:eastAsia="Arial" w:hAnsi="Arial"/>
          <w:color w:val="333333"/>
          <w:sz w:val="22"/>
          <w:szCs w:val="22"/>
        </w:rPr>
        <w:t xml:space="preserve">Opt-in anonymised comparison by specialty and location. Requires critical mass and separate consent.</w:t>
      </w:r>
    </w:p>
    <w:p>
      <w:pPr>
        <w:pStyle w:val="Heading2"/>
      </w:pPr>
      <w:r>
        <w:t xml:space="preserve">2.7 Data Residency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Data Store</w:t>
            </w:r>
          </w:p>
        </w:tc>
        <w:tc>
          <w:tcPr>
            <w:tcW w:type="dxa" w:w="30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0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Encryption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Application Database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DigitalOcean TOR1</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AES-256 at rest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Database Backups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DigitalOcean TOR1</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AES-256 at rest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Audit Logs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DigitalOcean TOR1</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AES-256 at rest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H-Link Channel</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AHCIP servers (Alberta)</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H-Link native + TLS 1.3</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 Sessions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In-memory only</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AES-256 tokens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Analytics Cache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DigitalOcean TOR1</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Encrypted (aggregate only)</w:t>
            </w:r>
          </w:p>
        </w:tc>
      </w:tr>
    </w:tbl>
    <w:p>
      <w:pPr>
        <w:spacing w:after="100"/>
      </w:pPr>
    </w:p>
    <w:p>
      <w:r>
        <w:br w:type="page"/>
      </w:r>
    </w:p>
    <w:p>
      <w:pPr>
        <w:pStyle w:val="Heading1"/>
      </w:pPr>
      <w:r>
        <w:t xml:space="preserve">3. Billing Scenario Mapping</w:t>
      </w:r>
    </w:p>
    <w:p>
      <w:pPr>
        <w:spacing w:after="100"/>
      </w:pPr>
    </w:p>
    <w:p>
      <w:pPr>
        <w:spacing w:after="200"/>
      </w:pPr>
      <w:r>
        <w:rPr>
          <w:rFonts w:ascii="Arial" w:cs="Arial" w:eastAsia="Arial" w:hAnsi="Arial"/>
          <w:color w:val="333333"/>
          <w:sz w:val="22"/>
          <w:szCs w:val="22"/>
        </w:rPr>
        <w:t xml:space="preserve">Meritum supports physicians across all compensation models and clinical settings encountered in Alberta practice, with particular depth in the multi-setting workflows typical of rural physicians.</w:t>
      </w:r>
    </w:p>
    <w:p>
      <w:pPr>
        <w:pStyle w:val="Heading2"/>
      </w:pPr>
      <w:r>
        <w:t xml:space="preserve">3.1 Compensation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3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Meritum Handling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Fee-for-Service (FFS)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Core model. H-Link submission via Meritum prefix using physician’s FFS BA.</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Standard claim workflow. Full validation, AI coaching, batch submission.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Shadow Billing (ARP)</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Annualised/sessional/blended capitation physicians submit HSCs for service event reporting. Assessed at $0.</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ARP BA routing, TM (time) modifier auto-applied for sessional, shadow flag prevents reconciliation against payment.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PCPCM</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Hybrid FFS/capitation. In-basket codes at discounted encounter rate; out-of-basket and facility codes at 100% FFS.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Intelligent dual-BA routing: in-basket → PCPCM BA, out-of-basket → PCPCM BA at 100%, hospital/facility → FFS BA. No competitor handles this well.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WCB</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Separate fee schedule, requires WCB claim number, submitted separately from AHCIP.</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WCB claim tracking, RRNPFF ($32.77) auto-flagged for eligible communities, separate submission workflow.</w:t>
            </w:r>
          </w:p>
        </w:tc>
      </w:tr>
    </w:tbl>
    <w:p>
      <w:pPr>
        <w:spacing w:after="100"/>
      </w:pPr>
    </w:p>
    <w:p>
      <w:pPr>
        <w:pStyle w:val="Heading2"/>
      </w:pPr>
      <w:r>
        <w:t xml:space="preserve">3.2 Clinical Settings</w:t>
      </w:r>
    </w:p>
    <w:p>
      <w:pPr>
        <w:pStyle w:val="Heading3"/>
      </w:pPr>
      <w:r>
        <w:t xml:space="preserve">3.2.1 Community Clinic / Office</w:t>
      </w:r>
    </w:p>
    <w:p>
      <w:pPr>
        <w:spacing w:after="200"/>
      </w:pPr>
      <w:r>
        <w:rPr>
          <w:rFonts w:ascii="Arial" w:cs="Arial" w:eastAsia="Arial" w:hAnsi="Arial"/>
          <w:b/>
          <w:bCs/>
          <w:color w:val="333333"/>
          <w:sz w:val="22"/>
          <w:szCs w:val="22"/>
        </w:rPr>
        <w:t xml:space="preserve">Key HSCs: </w:t>
      </w:r>
      <w:r>
        <w:rPr>
          <w:rFonts w:ascii="Arial" w:cs="Arial" w:eastAsia="Arial" w:hAnsi="Arial"/>
          <w:color w:val="333333"/>
          <w:sz w:val="22"/>
          <w:szCs w:val="22"/>
        </w:rPr>
        <w:t xml:space="preserve">03.03A (office visit), 03.03AD (short), 03.04A (comprehensive), 03.05A (consultation), 03.05AD (limited consult), section-specific procedures</w:t>
      </w:r>
    </w:p>
    <w:p>
      <w:pPr>
        <w:spacing w:after="200"/>
      </w:pPr>
      <w:r>
        <w:rPr>
          <w:rFonts w:ascii="Arial" w:cs="Arial" w:eastAsia="Arial" w:hAnsi="Arial"/>
          <w:b/>
          <w:bCs/>
          <w:color w:val="333333"/>
          <w:sz w:val="22"/>
          <w:szCs w:val="22"/>
        </w:rPr>
        <w:t xml:space="preserve">Modifiers: </w:t>
      </w:r>
      <w:r>
        <w:rPr>
          <w:rFonts w:ascii="Arial" w:cs="Arial" w:eastAsia="Arial" w:hAnsi="Arial"/>
          <w:color w:val="333333"/>
          <w:sz w:val="22"/>
          <w:szCs w:val="22"/>
        </w:rPr>
        <w:t xml:space="preserve">CMGP (15+ min management, unit-based), age (auto &lt;2yr, &gt;65yr, &gt;75yr), LSCD (25+ min face-to-face), AFHR (after-hours), BCP (implicit)</w:t>
      </w:r>
    </w:p>
    <w:p>
      <w:pPr>
        <w:spacing w:after="200"/>
      </w:pPr>
      <w:r>
        <w:rPr>
          <w:rFonts w:ascii="Arial" w:cs="Arial" w:eastAsia="Arial" w:hAnsi="Arial"/>
          <w:b/>
          <w:bCs/>
          <w:color w:val="333333"/>
          <w:sz w:val="22"/>
          <w:szCs w:val="22"/>
        </w:rPr>
        <w:t xml:space="preserve">System features: </w:t>
      </w:r>
      <w:r>
        <w:rPr>
          <w:rFonts w:ascii="Arial" w:cs="Arial" w:eastAsia="Arial" w:hAnsi="Arial"/>
          <w:color w:val="333333"/>
          <w:sz w:val="22"/>
          <w:szCs w:val="22"/>
        </w:rPr>
        <w:t xml:space="preserve">Patient lookup, HSC search with SOMB description/fee, modifier picker with eligibility validation, ICD-9 search, time tracking for CMGP, referring PRAC ID for consultations. No functional centre required.</w:t>
      </w:r>
    </w:p>
    <w:p>
      <w:pPr>
        <w:pStyle w:val="Heading3"/>
      </w:pPr>
      <w:r>
        <w:t xml:space="preserve">3.2.2 Hospital Inpatient</w:t>
      </w:r>
    </w:p>
    <w:p>
      <w:pPr>
        <w:spacing w:after="200"/>
      </w:pPr>
      <w:r>
        <w:rPr>
          <w:rFonts w:ascii="Arial" w:cs="Arial" w:eastAsia="Arial" w:hAnsi="Arial"/>
          <w:b/>
          <w:bCs/>
          <w:color w:val="333333"/>
          <w:sz w:val="22"/>
          <w:szCs w:val="22"/>
        </w:rPr>
        <w:t xml:space="preserve">Key HSCs: </w:t>
      </w:r>
      <w:r>
        <w:rPr>
          <w:rFonts w:ascii="Arial" w:cs="Arial" w:eastAsia="Arial" w:hAnsi="Arial"/>
          <w:color w:val="333333"/>
          <w:sz w:val="22"/>
          <w:szCs w:val="22"/>
        </w:rPr>
        <w:t xml:space="preserve">03.03D (daily care), 03.04D (admission), 03.05D (consult), 03.03F (H&amp;P), 03.07A/B/C (critical care), 03.03DG (discharge)</w:t>
      </w:r>
    </w:p>
    <w:p>
      <w:pPr>
        <w:spacing w:after="200"/>
      </w:pPr>
      <w:r>
        <w:rPr>
          <w:rFonts w:ascii="Arial" w:cs="Arial" w:eastAsia="Arial" w:hAnsi="Arial"/>
          <w:b/>
          <w:bCs/>
          <w:color w:val="333333"/>
          <w:sz w:val="22"/>
          <w:szCs w:val="22"/>
        </w:rPr>
        <w:t xml:space="preserve">Modifiers: </w:t>
      </w:r>
      <w:r>
        <w:rPr>
          <w:rFonts w:ascii="Arial" w:cs="Arial" w:eastAsia="Arial" w:hAnsi="Arial"/>
          <w:color w:val="333333"/>
          <w:sz w:val="22"/>
          <w:szCs w:val="22"/>
        </w:rPr>
        <w:t xml:space="preserve">TOC (Transfer of Care), CMGP, after-hours premiums (03.03KA evening, 03.03LA night, 03.03MC weekend/holiday), age</w:t>
      </w:r>
    </w:p>
    <w:p>
      <w:pPr>
        <w:spacing w:after="200"/>
      </w:pPr>
      <w:r>
        <w:rPr>
          <w:rFonts w:ascii="Arial" w:cs="Arial" w:eastAsia="Arial" w:hAnsi="Arial"/>
          <w:b/>
          <w:bCs/>
          <w:color w:val="333333"/>
          <w:sz w:val="22"/>
          <w:szCs w:val="22"/>
        </w:rPr>
        <w:t xml:space="preserve">System features: </w:t>
      </w:r>
      <w:r>
        <w:rPr>
          <w:rFonts w:ascii="Arial" w:cs="Arial" w:eastAsia="Arial" w:hAnsi="Arial"/>
          <w:color w:val="333333"/>
          <w:sz w:val="22"/>
          <w:szCs w:val="22"/>
        </w:rPr>
        <w:t xml:space="preserve">Functional centre picker (searchable by hospital/location), call-in time tracking (time of call not arrival), multi-day care tracking, TOC flag for handoffs. Functional centre required and validated against AHS facility codes.</w:t>
      </w:r>
    </w:p>
    <w:p>
      <w:pPr>
        <w:pStyle w:val="Heading3"/>
      </w:pPr>
      <w:r>
        <w:t xml:space="preserve">3.2.3 Emergency Department</w:t>
      </w:r>
    </w:p>
    <w:p>
      <w:pPr>
        <w:spacing w:after="200"/>
      </w:pPr>
      <w:r>
        <w:rPr>
          <w:rFonts w:ascii="Arial" w:cs="Arial" w:eastAsia="Arial" w:hAnsi="Arial"/>
          <w:color w:val="333333"/>
          <w:sz w:val="22"/>
          <w:szCs w:val="22"/>
        </w:rPr>
        <w:t xml:space="preserve">The most complex billing scenario and Meritum’s strongest differentiator.</w:t>
      </w:r>
    </w:p>
    <w:p>
      <w:pPr>
        <w:spacing w:after="200"/>
      </w:pPr>
      <w:r>
        <w:rPr>
          <w:rFonts w:ascii="Arial" w:cs="Arial" w:eastAsia="Arial" w:hAnsi="Arial"/>
          <w:b/>
          <w:bCs/>
          <w:color w:val="333333"/>
          <w:sz w:val="22"/>
          <w:szCs w:val="22"/>
        </w:rPr>
        <w:t xml:space="preserve">Key HSCs: </w:t>
      </w:r>
      <w:r>
        <w:rPr>
          <w:rFonts w:ascii="Arial" w:cs="Arial" w:eastAsia="Arial" w:hAnsi="Arial"/>
          <w:color w:val="333333"/>
          <w:sz w:val="22"/>
          <w:szCs w:val="22"/>
        </w:rPr>
        <w:t xml:space="preserve">03.03F (ER visit with H&amp;P), 13.99H (ER surcharge — requires qualifying DI code + 2hr stay or hospitalisation), 13.99HA (AACC/UCC surcharge), 03.07A/B/C (critical care), procedures</w:t>
      </w:r>
    </w:p>
    <w:p>
      <w:pPr>
        <w:spacing w:after="200"/>
      </w:pPr>
      <w:r>
        <w:rPr>
          <w:rFonts w:ascii="Arial" w:cs="Arial" w:eastAsia="Arial" w:hAnsi="Arial"/>
          <w:b/>
          <w:bCs/>
          <w:color w:val="333333"/>
          <w:sz w:val="22"/>
          <w:szCs w:val="22"/>
        </w:rPr>
        <w:t xml:space="preserve">Premiums: </w:t>
      </w:r>
      <w:r>
        <w:rPr>
          <w:rFonts w:ascii="Arial" w:cs="Arial" w:eastAsia="Arial" w:hAnsi="Arial"/>
          <w:color w:val="333333"/>
          <w:sz w:val="22"/>
          <w:szCs w:val="22"/>
        </w:rPr>
        <w:t xml:space="preserve">03.03KA (weekday evening 5PM–12AM), 03.03LA (night 12AM–7AM), 03.03MC (weekend/holiday day), 03.03MD (weekend/holiday evening/night). Based on time of call, not arrival.</w:t>
      </w:r>
    </w:p>
    <w:p>
      <w:pPr>
        <w:spacing w:after="200"/>
      </w:pPr>
      <w:r>
        <w:rPr>
          <w:rFonts w:ascii="Arial" w:cs="Arial" w:eastAsia="Arial" w:hAnsi="Arial"/>
          <w:b/>
          <w:bCs/>
          <w:color w:val="333333"/>
          <w:sz w:val="22"/>
          <w:szCs w:val="22"/>
        </w:rPr>
        <w:t xml:space="preserve">Shift-based workflow (MVP): </w:t>
      </w:r>
      <w:r>
        <w:rPr>
          <w:rFonts w:ascii="Arial" w:cs="Arial" w:eastAsia="Arial" w:hAnsi="Arial"/>
          <w:color w:val="333333"/>
          <w:sz w:val="22"/>
          <w:szCs w:val="22"/>
        </w:rPr>
        <w:t xml:space="preserve">Physician opens shift with start time, facility, and date. Adds patients within shift. Per patient: HSCs, DI codes, procedures, modifiers. System auto-calculates after-hours premiums based on shift time. Surcharge eligibility checker validates DI code against Attachment G qualifying list. Critical care time tracking. Running shift earnings estimate. End-of-shift batch review and submit.</w:t>
      </w:r>
    </w:p>
    <w:p>
      <w:pPr>
        <w:pStyle w:val="Heading3"/>
      </w:pPr>
      <w:r>
        <w:t xml:space="preserve">3.2.4 Auxiliary Hospital &amp; Nursing Home</w:t>
      </w:r>
    </w:p>
    <w:p>
      <w:pPr>
        <w:spacing w:after="200"/>
      </w:pPr>
      <w:r>
        <w:rPr>
          <w:rFonts w:ascii="Arial" w:cs="Arial" w:eastAsia="Arial" w:hAnsi="Arial"/>
          <w:b/>
          <w:bCs/>
          <w:color w:val="333333"/>
          <w:sz w:val="22"/>
          <w:szCs w:val="22"/>
        </w:rPr>
        <w:t xml:space="preserve">Key HSCs: </w:t>
      </w:r>
      <w:r>
        <w:rPr>
          <w:rFonts w:ascii="Arial" w:cs="Arial" w:eastAsia="Arial" w:hAnsi="Arial"/>
          <w:color w:val="333333"/>
          <w:sz w:val="22"/>
          <w:szCs w:val="22"/>
        </w:rPr>
        <w:t xml:space="preserve">Call-in codes (03.03KA/LA/MC/MD) with same premium structure, 03.03D for palliative/acute illness daily care</w:t>
      </w:r>
    </w:p>
    <w:p>
      <w:pPr>
        <w:spacing w:after="200"/>
      </w:pPr>
      <w:r>
        <w:rPr>
          <w:rFonts w:ascii="Arial" w:cs="Arial" w:eastAsia="Arial" w:hAnsi="Arial"/>
          <w:b/>
          <w:bCs/>
          <w:color w:val="333333"/>
          <w:sz w:val="22"/>
          <w:szCs w:val="22"/>
        </w:rPr>
        <w:t xml:space="preserve">Rules: </w:t>
      </w:r>
      <w:r>
        <w:rPr>
          <w:rFonts w:ascii="Arial" w:cs="Arial" w:eastAsia="Arial" w:hAnsi="Arial"/>
          <w:color w:val="333333"/>
          <w:sz w:val="22"/>
          <w:szCs w:val="22"/>
        </w:rPr>
        <w:t xml:space="preserve">Call-in premiums only when requested by patient/relatives/administrator. Based on time of call. System includes facility type picker, call timestamp, and palliative flag.</w:t>
      </w:r>
    </w:p>
    <w:p>
      <w:pPr>
        <w:pStyle w:val="Heading3"/>
      </w:pPr>
      <w:r>
        <w:t xml:space="preserve">3.2.5 Virtual Care</w:t>
      </w:r>
    </w:p>
    <w:p>
      <w:pPr>
        <w:spacing w:after="200"/>
      </w:pPr>
      <w:r>
        <w:rPr>
          <w:rFonts w:ascii="Arial" w:cs="Arial" w:eastAsia="Arial" w:hAnsi="Arial"/>
          <w:b/>
          <w:bCs/>
          <w:color w:val="333333"/>
          <w:sz w:val="22"/>
          <w:szCs w:val="22"/>
        </w:rPr>
        <w:t xml:space="preserve">Key HSCs: </w:t>
      </w:r>
      <w:r>
        <w:rPr>
          <w:rFonts w:ascii="Arial" w:cs="Arial" w:eastAsia="Arial" w:hAnsi="Arial"/>
          <w:color w:val="333333"/>
          <w:sz w:val="22"/>
          <w:szCs w:val="22"/>
        </w:rPr>
        <w:t xml:space="preserve">03.01AD (≤10 min), Category V codes (virtual equivalents), TELES modifier</w:t>
      </w:r>
    </w:p>
    <w:p>
      <w:pPr>
        <w:spacing w:after="200"/>
      </w:pPr>
      <w:r>
        <w:rPr>
          <w:rFonts w:ascii="Arial" w:cs="Arial" w:eastAsia="Arial" w:hAnsi="Arial"/>
          <w:b/>
          <w:bCs/>
          <w:color w:val="333333"/>
          <w:sz w:val="22"/>
          <w:szCs w:val="22"/>
        </w:rPr>
        <w:t xml:space="preserve">Restrictions enforced: </w:t>
      </w:r>
      <w:r>
        <w:rPr>
          <w:rFonts w:ascii="Arial" w:cs="Arial" w:eastAsia="Arial" w:hAnsi="Arial"/>
          <w:color w:val="333333"/>
          <w:sz w:val="22"/>
          <w:szCs w:val="22"/>
        </w:rPr>
        <w:t xml:space="preserve">One virtual visit per patient/physician/day, cannot combine with same-day in-person, NO age/CMGP/after-hours/BCP/RRNP premiums (permanent), single complex modifier now permitted</w:t>
      </w:r>
    </w:p>
    <w:p>
      <w:pPr>
        <w:spacing w:after="200"/>
      </w:pPr>
      <w:r>
        <w:rPr>
          <w:rFonts w:ascii="Arial" w:cs="Arial" w:eastAsia="Arial" w:hAnsi="Arial"/>
          <w:b/>
          <w:bCs/>
          <w:color w:val="333333"/>
          <w:sz w:val="22"/>
          <w:szCs w:val="22"/>
        </w:rPr>
        <w:t xml:space="preserve">System features: </w:t>
      </w:r>
      <w:r>
        <w:rPr>
          <w:rFonts w:ascii="Arial" w:cs="Arial" w:eastAsia="Arial" w:hAnsi="Arial"/>
          <w:color w:val="333333"/>
          <w:sz w:val="22"/>
          <w:szCs w:val="22"/>
        </w:rPr>
        <w:t xml:space="preserve">Virtual flag enforcing all restrictions, duration tracking, code suggestion for virtual vs in-person, warning on restricted modifiers.</w:t>
      </w:r>
    </w:p>
    <w:p>
      <w:pPr>
        <w:pStyle w:val="Heading3"/>
      </w:pPr>
      <w:r>
        <w:t xml:space="preserve">3.2.6 Obstetrics (Rural Family Medicine)</w:t>
      </w:r>
    </w:p>
    <w:p>
      <w:pPr>
        <w:spacing w:after="200"/>
      </w:pPr>
      <w:r>
        <w:rPr>
          <w:rFonts w:ascii="Arial" w:cs="Arial" w:eastAsia="Arial" w:hAnsi="Arial"/>
          <w:b/>
          <w:bCs/>
          <w:color w:val="333333"/>
          <w:sz w:val="22"/>
          <w:szCs w:val="22"/>
        </w:rPr>
        <w:t xml:space="preserve">Key HSCs: </w:t>
      </w:r>
      <w:r>
        <w:rPr>
          <w:rFonts w:ascii="Arial" w:cs="Arial" w:eastAsia="Arial" w:hAnsi="Arial"/>
          <w:color w:val="333333"/>
          <w:sz w:val="22"/>
          <w:szCs w:val="22"/>
        </w:rPr>
        <w:t xml:space="preserve">Prenatal visits (office codes + pregnancy DI), 13.39A (vaginal delivery), 13.62A (C-section assist), intrapartum care, post-partum</w:t>
      </w:r>
    </w:p>
    <w:p>
      <w:pPr>
        <w:spacing w:after="200"/>
      </w:pPr>
      <w:r>
        <w:rPr>
          <w:rFonts w:ascii="Arial" w:cs="Arial" w:eastAsia="Arial" w:hAnsi="Arial"/>
          <w:b/>
          <w:bCs/>
          <w:color w:val="333333"/>
          <w:sz w:val="22"/>
          <w:szCs w:val="22"/>
        </w:rPr>
        <w:t xml:space="preserve">System features: </w:t>
      </w:r>
      <w:r>
        <w:rPr>
          <w:rFonts w:ascii="Arial" w:cs="Arial" w:eastAsia="Arial" w:hAnsi="Arial"/>
          <w:color w:val="333333"/>
          <w:sz w:val="22"/>
          <w:szCs w:val="22"/>
        </w:rPr>
        <w:t xml:space="preserve">Labour time tracking, delivery code wizard, after-hours premium auto-calculation, governing rule validation for procedure combinations.</w:t>
      </w:r>
    </w:p>
    <w:p>
      <w:pPr>
        <w:pStyle w:val="Heading3"/>
      </w:pPr>
      <w:r>
        <w:t xml:space="preserve">3.2.7 Reciprocal &amp; Out-of-Province</w:t>
      </w:r>
    </w:p>
    <w:p>
      <w:pPr>
        <w:spacing w:after="200"/>
      </w:pPr>
      <w:r>
        <w:rPr>
          <w:rFonts w:ascii="Arial" w:cs="Arial" w:eastAsia="Arial" w:hAnsi="Arial"/>
          <w:color w:val="333333"/>
          <w:sz w:val="22"/>
          <w:szCs w:val="22"/>
        </w:rPr>
        <w:t xml:space="preserve">All Canadian provinces/territories except Quebec covered via reciprocal AHCIP billing. Quebec requires direct private billing. System includes province picker with per-province health number format validation, Quebec flag for private invoice generation, and out-of-province claim tracking (longer assessment timeline).</w:t>
      </w:r>
    </w:p>
    <w:p>
      <w:r>
        <w:br w:type="page"/>
      </w:r>
    </w:p>
    <w:p>
      <w:pPr>
        <w:pStyle w:val="Heading1"/>
      </w:pPr>
      <w:r>
        <w:t xml:space="preserve">4. Modifier &amp; Premium Reference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c>
          <w:tcPr>
            <w:tcW w:type="dxa" w:w="1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Modifier/Premium</w:t>
            </w:r>
          </w:p>
        </w:tc>
        <w:tc>
          <w:tcPr>
            <w:tcW w:type="dxa" w:w="2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24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Application</w:t>
            </w:r>
          </w:p>
        </w:tc>
        <w:tc>
          <w:tcPr>
            <w:tcW w:type="dxa" w:w="23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Meritum Handling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CMGP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 min = 1 unit, each additional 10 min = +1 unit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Office/hospital management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Time tracker, auto-prompt, unit calculator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LSCD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25+ min face-to-face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Complex visits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Prompt when visit qualifies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Implicit, auto-applied by AHCIP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&lt;2yr, &gt;65yr, &gt;75yr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Display expected premium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After-Hours (AFHR)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Implicit/explicit by service 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Weekday eve, night, weekend/holiday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Auto-detect from service time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BCP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Implicit, office-based eligible claims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hospital or virtual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Display expected premium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RRNP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Implicit, variable % by community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Based on facility/community isolation score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Display expected premium from rate table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TM (ARP Shadow)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Explicit, required on all ARP claims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5-minute allotments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Auto-prompt, time calculator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ANE (Anaesthesia)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Explicit, GP providing anaesthesia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Rural GP anaesthesia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Changes reimbursement rate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AST (Surgical Assist)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Explicit, assisting surgeon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Rural GPs assisting specialists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Rate adjustment applied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Call-In Premiums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03.03KA/LA/MC/MD — separate HSCs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Validated by facility type, call time, physician presence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Time-of-call validation, facility type check</w:t>
            </w:r>
          </w:p>
        </w:tc>
      </w:tr>
    </w:tbl>
    <w:p>
      <w:pPr>
        <w:spacing w:after="100"/>
      </w:pPr>
    </w:p>
    <w:p>
      <w:r>
        <w:br w:type="page"/>
      </w:r>
    </w:p>
    <w:p>
      <w:pPr>
        <w:pStyle w:val="Heading1"/>
      </w:pPr>
      <w:r>
        <w:t xml:space="preserve">5. MVP Feature Set</w:t>
      </w:r>
    </w:p>
    <w:p>
      <w:pPr>
        <w:spacing w:after="100"/>
      </w:pPr>
    </w:p>
    <w:p>
      <w:pPr>
        <w:spacing w:after="200"/>
      </w:pPr>
      <w:r>
        <w:rPr>
          <w:rFonts w:ascii="Arial" w:cs="Arial" w:eastAsia="Arial" w:hAnsi="Arial"/>
          <w:color w:val="333333"/>
          <w:sz w:val="22"/>
          <w:szCs w:val="22"/>
        </w:rPr>
        <w:t xml:space="preserve">Features are categorised into MVP (launch), Phase 2 (post-launch), and Future (scale). The AI Billing Coach is a core MVP differentiator — it is what makes Meritum a self-serve platform that competes with managed billing services.</w:t>
      </w:r>
    </w:p>
    <w:p>
      <w:pPr>
        <w:pStyle w:val="Heading2"/>
      </w:pPr>
      <w:r>
        <w:t xml:space="preserve">5.1 Claim Management</w:t>
      </w:r>
    </w:p>
    <w:p>
      <w:pPr>
        <w:pStyle w:val="Heading3"/>
      </w:pPr>
      <w:r>
        <w:t xml:space="preserve">MVP</w:t>
      </w:r>
    </w:p>
    <w:p>
      <w:pPr>
        <w:pStyle w:val="ListParagraph"/>
        <w:numPr>
          <w:ilvl w:val="0"/>
          <w:numId w:val="2"/>
        </w:numPr>
        <w:spacing w:after="100"/>
      </w:pPr>
      <w:r>
        <w:rPr>
          <w:rFonts w:ascii="Arial" w:cs="Arial" w:eastAsia="Arial" w:hAnsi="Arial"/>
          <w:color w:val="333333"/>
          <w:sz w:val="22"/>
          <w:szCs w:val="22"/>
        </w:rPr>
        <w:t xml:space="preserve">Manual entry: web and mobile companion app forms with patient lookup, HSC search, modifier picker, DI code search, functional centre picker, referring physician field. Supports FFS, ARP, PCPCM, and WCB.</w:t>
      </w:r>
    </w:p>
    <w:p>
      <w:pPr>
        <w:pStyle w:val="ListParagraph"/>
        <w:numPr>
          <w:ilvl w:val="0"/>
          <w:numId w:val="2"/>
        </w:numPr>
        <w:spacing w:after="100"/>
      </w:pPr>
      <w:r>
        <w:rPr>
          <w:rFonts w:ascii="Arial" w:cs="Arial" w:eastAsia="Arial" w:hAnsi="Arial"/>
          <w:color w:val="333333"/>
          <w:sz w:val="22"/>
          <w:szCs w:val="22"/>
        </w:rPr>
        <w:t xml:space="preserve">Shift-based entry: ER/hospital shift workflow. Open shift (date, facility, start time), add multiple patients within shift, auto-apply after-hours premiums, batch review and submit at end of shift.</w:t>
      </w:r>
    </w:p>
    <w:p>
      <w:pPr>
        <w:pStyle w:val="ListParagraph"/>
        <w:numPr>
          <w:ilvl w:val="0"/>
          <w:numId w:val="2"/>
        </w:numPr>
        <w:spacing w:after="100"/>
      </w:pPr>
      <w:r>
        <w:rPr>
          <w:rFonts w:ascii="Arial" w:cs="Arial" w:eastAsia="Arial" w:hAnsi="Arial"/>
          <w:color w:val="333333"/>
          <w:sz w:val="22"/>
          <w:szCs w:val="22"/>
        </w:rPr>
        <w:t xml:space="preserve">Multi-BA management: multiple billing arrangement numbers per physician, intelligent routing to correct BA by clinical setting and code type.</w:t>
      </w:r>
    </w:p>
    <w:p>
      <w:pPr>
        <w:pStyle w:val="ListParagraph"/>
        <w:numPr>
          <w:ilvl w:val="0"/>
          <w:numId w:val="2"/>
        </w:numPr>
        <w:spacing w:after="100"/>
      </w:pPr>
      <w:r>
        <w:rPr>
          <w:rFonts w:ascii="Arial" w:cs="Arial" w:eastAsia="Arial" w:hAnsi="Arial"/>
          <w:color w:val="333333"/>
          <w:sz w:val="22"/>
          <w:szCs w:val="22"/>
        </w:rPr>
        <w:t xml:space="preserve">Validation engine: real-time pre-submission validation including PHN check digit, HSC validity, modifier compatibility, DI code validity, functional centre requirements, governing rules, 90-day window, and duplicate detection.</w:t>
      </w:r>
    </w:p>
    <w:p>
      <w:pPr>
        <w:pStyle w:val="ListParagraph"/>
        <w:numPr>
          <w:ilvl w:val="0"/>
          <w:numId w:val="2"/>
        </w:numPr>
        <w:spacing w:after="100"/>
      </w:pPr>
      <w:r>
        <w:rPr>
          <w:rFonts w:ascii="Arial" w:cs="Arial" w:eastAsia="Arial" w:hAnsi="Arial"/>
          <w:color w:val="333333"/>
          <w:sz w:val="22"/>
          <w:szCs w:val="22"/>
        </w:rPr>
        <w:t xml:space="preserve">Batch submission: assemble READY claims to H-Link format, submit via Meritum’s accredited connection. On-demand and scheduled (weekly pre-Thursday cutoff). Batch status tracking.</w:t>
      </w:r>
    </w:p>
    <w:p>
      <w:pPr>
        <w:pStyle w:val="ListParagraph"/>
        <w:numPr>
          <w:ilvl w:val="0"/>
          <w:numId w:val="2"/>
        </w:numPr>
        <w:spacing w:after="100"/>
      </w:pPr>
      <w:r>
        <w:rPr>
          <w:rFonts w:ascii="Arial" w:cs="Arial" w:eastAsia="Arial" w:hAnsi="Arial"/>
          <w:color w:val="333333"/>
          <w:sz w:val="22"/>
          <w:szCs w:val="22"/>
        </w:rPr>
        <w:t xml:space="preserve">Assessment processing: auto-retrieve and parse AHCIP results, match to submitted claims, update status (PAID/PARTIAL/REJECTED), parse explanatory codes, generate remittance summary.</w:t>
      </w:r>
    </w:p>
    <w:p>
      <w:pPr>
        <w:pStyle w:val="ListParagraph"/>
        <w:numPr>
          <w:ilvl w:val="0"/>
          <w:numId w:val="2"/>
        </w:numPr>
        <w:spacing w:after="100"/>
      </w:pPr>
      <w:r>
        <w:rPr>
          <w:rFonts w:ascii="Arial" w:cs="Arial" w:eastAsia="Arial" w:hAnsi="Arial"/>
          <w:color w:val="333333"/>
          <w:sz w:val="22"/>
          <w:szCs w:val="22"/>
        </w:rPr>
        <w:t xml:space="preserve">Rejection management: dashboard of rejected claims with explanations, AI-suggested corrections, one-click edit and resubmit, rejection trend tracking.</w:t>
      </w:r>
    </w:p>
    <w:p>
      <w:pPr>
        <w:pStyle w:val="ListParagraph"/>
        <w:numPr>
          <w:ilvl w:val="0"/>
          <w:numId w:val="2"/>
        </w:numPr>
        <w:spacing w:after="100"/>
      </w:pPr>
      <w:r>
        <w:rPr>
          <w:rFonts w:ascii="Arial" w:cs="Arial" w:eastAsia="Arial" w:hAnsi="Arial"/>
          <w:color w:val="333333"/>
          <w:sz w:val="22"/>
          <w:szCs w:val="22"/>
        </w:rPr>
        <w:t xml:space="preserve">Reconciliation: submitted vs assessments, outstanding/rejections/partials identified, total revenue by period, CSV export for accounting.</w:t>
      </w:r>
    </w:p>
    <w:p>
      <w:pPr>
        <w:pStyle w:val="Heading3"/>
      </w:pPr>
      <w:r>
        <w:t xml:space="preserve">Phase 2</w:t>
      </w:r>
    </w:p>
    <w:p>
      <w:pPr>
        <w:pStyle w:val="ListParagraph"/>
        <w:numPr>
          <w:ilvl w:val="0"/>
          <w:numId w:val="2"/>
        </w:numPr>
        <w:spacing w:after="100"/>
      </w:pPr>
      <w:r>
        <w:rPr>
          <w:rFonts w:ascii="Arial" w:cs="Arial" w:eastAsia="Arial" w:hAnsi="Arial"/>
          <w:color w:val="333333"/>
          <w:sz w:val="22"/>
          <w:szCs w:val="22"/>
        </w:rPr>
        <w:t xml:space="preserve">Connect Care SCC feed: receive nightly batch from Connect Care, parse charge data, auto-create DRAFT claims, ICD-10→ICD-9 conversion, physician review and submit. Requires AHS integration agreement.</w:t>
      </w:r>
    </w:p>
    <w:p>
      <w:pPr>
        <w:pStyle w:val="Heading2"/>
      </w:pPr>
      <w:r>
        <w:t xml:space="preserve">5.2 Mobile Companion App</w:t>
      </w:r>
    </w:p>
    <w:p>
      <w:pPr>
        <w:pStyle w:val="Heading3"/>
      </w:pPr>
      <w:r>
        <w:t xml:space="preserve">MVP</w:t>
      </w:r>
    </w:p>
    <w:p>
      <w:pPr>
        <w:spacing w:after="200"/>
      </w:pPr>
      <w:r>
        <w:rPr>
          <w:rFonts w:ascii="Arial" w:cs="Arial" w:eastAsia="Arial" w:hAnsi="Arial"/>
          <w:color w:val="333333"/>
          <w:sz w:val="22"/>
          <w:szCs w:val="22"/>
        </w:rPr>
        <w:t xml:space="preserve">Purpose-built native mobile application (iOS and Android) designed for billing between patients, not after-shift paperwork.</w:t>
      </w:r>
    </w:p>
    <w:p>
      <w:pPr>
        <w:spacing w:after="200"/>
      </w:pPr>
      <w:r>
        <w:rPr>
          <w:rFonts w:ascii="Arial" w:cs="Arial" w:eastAsia="Arial" w:hAnsi="Arial"/>
          <w:b/>
          <w:bCs/>
          <w:color w:val="333333"/>
          <w:sz w:val="22"/>
          <w:szCs w:val="22"/>
        </w:rPr>
        <w:t xml:space="preserve">Emergency Department workflow: </w:t>
      </w:r>
      <w:r>
        <w:rPr>
          <w:rFonts w:ascii="Arial" w:cs="Arial" w:eastAsia="Arial" w:hAnsi="Arial"/>
          <w:color w:val="333333"/>
          <w:sz w:val="22"/>
          <w:szCs w:val="22"/>
        </w:rPr>
        <w:t xml:space="preserve">Open shift with one tap (facility, date, start time auto-detected). Between patients, tap to add encounter: patient lookup by PHN, quick-pick HSCs from favourites/recent list, swipe-select DI codes. Real-time after-hours premium tracking as shift progresses. Running shift earnings estimate updates with each encounter. End-of-shift batch review and submit.</w:t>
      </w:r>
    </w:p>
    <w:p>
      <w:pPr>
        <w:spacing w:after="200"/>
      </w:pPr>
      <w:r>
        <w:rPr>
          <w:rFonts w:ascii="Arial" w:cs="Arial" w:eastAsia="Arial" w:hAnsi="Arial"/>
          <w:b/>
          <w:bCs/>
          <w:color w:val="333333"/>
          <w:sz w:val="22"/>
          <w:szCs w:val="22"/>
        </w:rPr>
        <w:t xml:space="preserve">Clinic workflow: </w:t>
      </w:r>
      <w:r>
        <w:rPr>
          <w:rFonts w:ascii="Arial" w:cs="Arial" w:eastAsia="Arial" w:hAnsi="Arial"/>
          <w:color w:val="333333"/>
          <w:sz w:val="22"/>
          <w:szCs w:val="22"/>
        </w:rPr>
        <w:t xml:space="preserve">Quick claim entry between appointments. Patient scanned or looked up, common code combinations saved as templates (e.g., “standard office visit + CMGP”, “well-baby check”). Timer for CMGP that starts when encounter opens. Push notifications for rejections requiring action.</w:t>
      </w:r>
    </w:p>
    <w:p>
      <w:pPr>
        <w:spacing w:after="200"/>
      </w:pPr>
      <w:r>
        <w:rPr>
          <w:rFonts w:ascii="Arial" w:cs="Arial" w:eastAsia="Arial" w:hAnsi="Arial"/>
          <w:b/>
          <w:bCs/>
          <w:color w:val="333333"/>
          <w:sz w:val="22"/>
          <w:szCs w:val="22"/>
        </w:rPr>
        <w:t xml:space="preserve">Hospital workflow: </w:t>
      </w:r>
      <w:r>
        <w:rPr>
          <w:rFonts w:ascii="Arial" w:cs="Arial" w:eastAsia="Arial" w:hAnsi="Arial"/>
          <w:color w:val="333333"/>
          <w:sz w:val="22"/>
          <w:szCs w:val="22"/>
        </w:rPr>
        <w:t xml:space="preserve">Functional centre favourites for regular facilities. Multi-day care tracking. Call-in timestamp capture. TOC flag for patient handoffs between physicians.</w:t>
      </w:r>
    </w:p>
    <w:p>
      <w:pPr>
        <w:spacing w:after="200"/>
      </w:pPr>
      <w:r>
        <w:rPr>
          <w:rFonts w:ascii="Arial" w:cs="Arial" w:eastAsia="Arial" w:hAnsi="Arial"/>
          <w:b/>
          <w:bCs/>
          <w:color w:val="333333"/>
          <w:sz w:val="22"/>
          <w:szCs w:val="22"/>
        </w:rPr>
        <w:t xml:space="preserve">Photo capture fallback: </w:t>
      </w:r>
      <w:r>
        <w:rPr>
          <w:rFonts w:ascii="Arial" w:cs="Arial" w:eastAsia="Arial" w:hAnsi="Arial"/>
          <w:color w:val="333333"/>
          <w:sz w:val="22"/>
          <w:szCs w:val="22"/>
        </w:rPr>
        <w:t xml:space="preserve">Photograph paper day sheets for OCR extraction where electronic entry is impractical (locum shifts without connectivity, paper-heavy transitioning clinics). Physician review and confirmation required before claim creation.</w:t>
      </w:r>
    </w:p>
    <w:p>
      <w:pPr>
        <w:spacing w:after="200"/>
      </w:pPr>
      <w:r>
        <w:rPr>
          <w:rFonts w:ascii="Arial" w:cs="Arial" w:eastAsia="Arial" w:hAnsi="Arial"/>
          <w:b/>
          <w:bCs/>
          <w:color w:val="333333"/>
          <w:sz w:val="22"/>
          <w:szCs w:val="22"/>
        </w:rPr>
        <w:t xml:space="preserve">Offline capability: </w:t>
      </w:r>
      <w:r>
        <w:rPr>
          <w:rFonts w:ascii="Arial" w:cs="Arial" w:eastAsia="Arial" w:hAnsi="Arial"/>
          <w:color w:val="333333"/>
          <w:sz w:val="22"/>
          <w:szCs w:val="22"/>
        </w:rPr>
        <w:t xml:space="preserve">Queue claims when connectivity is limited (common in rural facilities). Auto-sync when connection restored.</w:t>
      </w:r>
    </w:p>
    <w:p>
      <w:pPr>
        <w:pStyle w:val="Heading2"/>
      </w:pPr>
      <w:r>
        <w:t xml:space="preserve">5.3 Intelligence &amp; Analytics</w:t>
      </w:r>
    </w:p>
    <w:p>
      <w:pPr>
        <w:pStyle w:val="Heading3"/>
      </w:pPr>
      <w:r>
        <w:t xml:space="preserve">MVP</w:t>
      </w:r>
    </w:p>
    <w:p>
      <w:pPr>
        <w:pStyle w:val="ListParagraph"/>
        <w:numPr>
          <w:ilvl w:val="0"/>
          <w:numId w:val="2"/>
        </w:numPr>
        <w:spacing w:after="100"/>
      </w:pPr>
      <w:r>
        <w:rPr>
          <w:rFonts w:ascii="Arial" w:cs="Arial" w:eastAsia="Arial" w:hAnsi="Arial"/>
          <w:color w:val="333333"/>
          <w:sz w:val="22"/>
          <w:szCs w:val="22"/>
        </w:rPr>
        <w:t xml:space="preserve">AI Billing Coach: proactive analysis identifying revenue opportunities — underutilised modifiers, missed premium eligibility (RRNP, after-hours, CMGP), code selection optimisation based on setting and demographics, personalised billing recommendations per physician. Operates without patient identity data.</w:t>
      </w:r>
    </w:p>
    <w:p>
      <w:pPr>
        <w:pStyle w:val="ListParagraph"/>
        <w:numPr>
          <w:ilvl w:val="0"/>
          <w:numId w:val="2"/>
        </w:numPr>
        <w:spacing w:after="100"/>
      </w:pPr>
      <w:r>
        <w:rPr>
          <w:rFonts w:ascii="Arial" w:cs="Arial" w:eastAsia="Arial" w:hAnsi="Arial"/>
          <w:color w:val="333333"/>
          <w:sz w:val="22"/>
          <w:szCs w:val="22"/>
        </w:rPr>
        <w:t xml:space="preserve">Code suggestion engine: based on clinical setting, patient demographics, and entered codes, suggests commonly co-billed HSCs and modifiers. Prompts for CMGP when time &gt;15 min, ER surcharge when qualifying DI entered, after-hours when evening encounter detected.</w:t>
      </w:r>
    </w:p>
    <w:p>
      <w:pPr>
        <w:pStyle w:val="ListParagraph"/>
        <w:numPr>
          <w:ilvl w:val="0"/>
          <w:numId w:val="2"/>
        </w:numPr>
        <w:spacing w:after="100"/>
      </w:pPr>
      <w:r>
        <w:rPr>
          <w:rFonts w:ascii="Arial" w:cs="Arial" w:eastAsia="Arial" w:hAnsi="Arial"/>
          <w:color w:val="333333"/>
          <w:sz w:val="22"/>
          <w:szCs w:val="22"/>
        </w:rPr>
        <w:t xml:space="preserve">Revenue dashboard: weekly/monthly/yearly summary. Breakdown by setting, code category, modifier impact, and rejection rate. Estimated vs actual payment comparison. RRNP premium estimation.</w:t>
      </w:r>
    </w:p>
    <w:p>
      <w:pPr>
        <w:pStyle w:val="ListParagraph"/>
        <w:numPr>
          <w:ilvl w:val="0"/>
          <w:numId w:val="2"/>
        </w:numPr>
        <w:spacing w:after="100"/>
      </w:pPr>
      <w:r>
        <w:rPr>
          <w:rFonts w:ascii="Arial" w:cs="Arial" w:eastAsia="Arial" w:hAnsi="Arial"/>
          <w:color w:val="333333"/>
          <w:sz w:val="22"/>
          <w:szCs w:val="22"/>
        </w:rPr>
        <w:t xml:space="preserve">Rejection analytics: rejection rates over time, common reasons categorised, revenue impact of rejections, first-pass accuracy rate.</w:t>
      </w:r>
    </w:p>
    <w:p>
      <w:pPr>
        <w:pStyle w:val="Heading3"/>
      </w:pPr>
      <w:r>
        <w:t xml:space="preserve">Phase 2</w:t>
      </w:r>
    </w:p>
    <w:p>
      <w:pPr>
        <w:pStyle w:val="ListParagraph"/>
        <w:numPr>
          <w:ilvl w:val="0"/>
          <w:numId w:val="2"/>
        </w:numPr>
        <w:spacing w:after="100"/>
      </w:pPr>
      <w:r>
        <w:rPr>
          <w:rFonts w:ascii="Arial" w:cs="Arial" w:eastAsia="Arial" w:hAnsi="Arial"/>
          <w:color w:val="333333"/>
          <w:sz w:val="22"/>
          <w:szCs w:val="22"/>
        </w:rPr>
        <w:t xml:space="preserve">SOMB rate updates: automated ingestion of fee schedule updates from AHCIP bulletins. Notify physicians of rate changes for commonly-billed codes. Update validation engine in real-time.</w:t>
      </w:r>
    </w:p>
    <w:p>
      <w:pPr>
        <w:pStyle w:val="Heading3"/>
      </w:pPr>
      <w:r>
        <w:t xml:space="preserve">Future</w:t>
      </w:r>
    </w:p>
    <w:p>
      <w:pPr>
        <w:pStyle w:val="ListParagraph"/>
        <w:numPr>
          <w:ilvl w:val="0"/>
          <w:numId w:val="2"/>
        </w:numPr>
        <w:spacing w:after="100"/>
      </w:pPr>
      <w:r>
        <w:rPr>
          <w:rFonts w:ascii="Arial" w:cs="Arial" w:eastAsia="Arial" w:hAnsi="Arial"/>
          <w:color w:val="333333"/>
          <w:sz w:val="22"/>
          <w:szCs w:val="22"/>
        </w:rPr>
        <w:t xml:space="preserve">Peer benchmarking: opt-in anonymised comparison (billing volume, code mix, rejection rate, modifier utilisation) by specialty and location. Requires critical mass of users and separate consent.</w:t>
      </w:r>
    </w:p>
    <w:p>
      <w:pPr>
        <w:pStyle w:val="Heading2"/>
      </w:pPr>
      <w:r>
        <w:t xml:space="preserve">5.4 Patient &amp; Provider Management</w:t>
      </w:r>
    </w:p>
    <w:p>
      <w:pPr>
        <w:pStyle w:val="Heading3"/>
      </w:pPr>
      <w:r>
        <w:t xml:space="preserve">MVP</w:t>
      </w:r>
    </w:p>
    <w:p>
      <w:pPr>
        <w:pStyle w:val="ListParagraph"/>
        <w:numPr>
          <w:ilvl w:val="0"/>
          <w:numId w:val="2"/>
        </w:numPr>
        <w:spacing w:after="100"/>
      </w:pPr>
      <w:r>
        <w:rPr>
          <w:rFonts w:ascii="Arial" w:cs="Arial" w:eastAsia="Arial" w:hAnsi="Arial"/>
          <w:color w:val="333333"/>
          <w:sz w:val="22"/>
          <w:szCs w:val="22"/>
        </w:rPr>
        <w:t xml:space="preserve">Patient demographics: searchable database (PHN, name, DOB, sex, postal code, province). Auto-populated on repeat claims. PHN validation (format + check digit). Out-of-province support with per-province health number formats.</w:t>
      </w:r>
    </w:p>
    <w:p>
      <w:pPr>
        <w:pStyle w:val="ListParagraph"/>
        <w:numPr>
          <w:ilvl w:val="0"/>
          <w:numId w:val="2"/>
        </w:numPr>
        <w:spacing w:after="100"/>
      </w:pPr>
      <w:r>
        <w:rPr>
          <w:rFonts w:ascii="Arial" w:cs="Arial" w:eastAsia="Arial" w:hAnsi="Arial"/>
          <w:color w:val="333333"/>
          <w:sz w:val="22"/>
          <w:szCs w:val="22"/>
        </w:rPr>
        <w:t xml:space="preserve">Referring physician directory: searchable Alberta PRAC IDs with auto-complete on referral fields. Frequently-used physicians pinned.</w:t>
      </w:r>
    </w:p>
    <w:p>
      <w:pPr>
        <w:pStyle w:val="ListParagraph"/>
        <w:numPr>
          <w:ilvl w:val="0"/>
          <w:numId w:val="2"/>
        </w:numPr>
        <w:spacing w:after="100"/>
      </w:pPr>
      <w:r>
        <w:rPr>
          <w:rFonts w:ascii="Arial" w:cs="Arial" w:eastAsia="Arial" w:hAnsi="Arial"/>
          <w:color w:val="333333"/>
          <w:sz w:val="22"/>
          <w:szCs w:val="22"/>
        </w:rPr>
        <w:t xml:space="preserve">Facility directory: searchable functional centre codes grouped by health zone and facility type. Favourites for regular facilities.</w:t>
      </w:r>
    </w:p>
    <w:p>
      <w:pPr>
        <w:pStyle w:val="ListParagraph"/>
        <w:numPr>
          <w:ilvl w:val="0"/>
          <w:numId w:val="2"/>
        </w:numPr>
        <w:spacing w:after="100"/>
      </w:pPr>
      <w:r>
        <w:rPr>
          <w:rFonts w:ascii="Arial" w:cs="Arial" w:eastAsia="Arial" w:hAnsi="Arial"/>
          <w:color w:val="333333"/>
          <w:sz w:val="22"/>
          <w:szCs w:val="22"/>
        </w:rPr>
        <w:t xml:space="preserve">Patient import: CSV import from existing billing software or EMR. Facilitates migration from competitors (especially Logic Resources/EZ-Bill, ClinicAid).</w:t>
      </w:r>
    </w:p>
    <w:p>
      <w:pPr>
        <w:pStyle w:val="Heading2"/>
      </w:pPr>
      <w:r>
        <w:t xml:space="preserve">5.5 Platform &amp; Security</w:t>
      </w:r>
    </w:p>
    <w:p>
      <w:pPr>
        <w:pStyle w:val="Heading3"/>
      </w:pPr>
      <w:r>
        <w:t xml:space="preserve">MVP</w:t>
      </w:r>
    </w:p>
    <w:p>
      <w:pPr>
        <w:pStyle w:val="ListParagraph"/>
        <w:numPr>
          <w:ilvl w:val="0"/>
          <w:numId w:val="2"/>
        </w:numPr>
        <w:spacing w:after="100"/>
      </w:pPr>
      <w:r>
        <w:rPr>
          <w:rFonts w:ascii="Arial" w:cs="Arial" w:eastAsia="Arial" w:hAnsi="Arial"/>
          <w:color w:val="333333"/>
          <w:sz w:val="22"/>
          <w:szCs w:val="22"/>
        </w:rPr>
        <w:t xml:space="preserve">Authentication: email/password with mandatory MFA (TOTP or WebAuthn). Session timeout. Secure password requirements per NIST SP 800-63B.</w:t>
      </w:r>
    </w:p>
    <w:p>
      <w:pPr>
        <w:pStyle w:val="ListParagraph"/>
        <w:numPr>
          <w:ilvl w:val="0"/>
          <w:numId w:val="2"/>
        </w:numPr>
        <w:spacing w:after="100"/>
      </w:pPr>
      <w:r>
        <w:rPr>
          <w:rFonts w:ascii="Arial" w:cs="Arial" w:eastAsia="Arial" w:hAnsi="Arial"/>
          <w:color w:val="333333"/>
          <w:sz w:val="22"/>
          <w:szCs w:val="22"/>
        </w:rPr>
        <w:t xml:space="preserve">Audit logging: every PHI access logged (who, what, when, where). Immutable audit trail. Physician can view own access log. HIA compliance by design.</w:t>
      </w:r>
    </w:p>
    <w:p>
      <w:pPr>
        <w:pStyle w:val="ListParagraph"/>
        <w:numPr>
          <w:ilvl w:val="0"/>
          <w:numId w:val="2"/>
        </w:numPr>
        <w:spacing w:after="100"/>
      </w:pPr>
      <w:r>
        <w:rPr>
          <w:rFonts w:ascii="Arial" w:cs="Arial" w:eastAsia="Arial" w:hAnsi="Arial"/>
          <w:color w:val="333333"/>
          <w:sz w:val="22"/>
          <w:szCs w:val="22"/>
        </w:rPr>
        <w:t xml:space="preserve">Role-based access control: Physician (full access to own data), Delegate (configurable — can enter claims but restricted patient data view), Meritum admin (no PHI access by default, requires explicit physician authorisation).</w:t>
      </w:r>
    </w:p>
    <w:p>
      <w:pPr>
        <w:pStyle w:val="ListParagraph"/>
        <w:numPr>
          <w:ilvl w:val="0"/>
          <w:numId w:val="2"/>
        </w:numPr>
        <w:spacing w:after="100"/>
      </w:pPr>
      <w:r>
        <w:rPr>
          <w:rFonts w:ascii="Arial" w:cs="Arial" w:eastAsia="Arial" w:hAnsi="Arial"/>
          <w:color w:val="333333"/>
          <w:sz w:val="22"/>
          <w:szCs w:val="22"/>
        </w:rPr>
        <w:t xml:space="preserve">PIA appendix package: pre-built documentation for physicians to include in their clinic PIA submission to OIPC. Covers all safeguards, data flows, and security controls. Reduces onboarding friction dramatically.</w:t>
      </w:r>
    </w:p>
    <w:p>
      <w:pPr>
        <w:pStyle w:val="ListParagraph"/>
        <w:numPr>
          <w:ilvl w:val="0"/>
          <w:numId w:val="2"/>
        </w:numPr>
        <w:spacing w:after="100"/>
      </w:pPr>
      <w:r>
        <w:rPr>
          <w:rFonts w:ascii="Arial" w:cs="Arial" w:eastAsia="Arial" w:hAnsi="Arial"/>
          <w:color w:val="333333"/>
          <w:sz w:val="22"/>
          <w:szCs w:val="22"/>
        </w:rPr>
        <w:t xml:space="preserve">IMA template: standard Information Manager Agreement per HIA s.66. Digital signature as part of onboarding.</w:t>
      </w:r>
    </w:p>
    <w:p>
      <w:pPr>
        <w:pStyle w:val="ListParagraph"/>
        <w:numPr>
          <w:ilvl w:val="0"/>
          <w:numId w:val="2"/>
        </w:numPr>
        <w:spacing w:after="100"/>
      </w:pPr>
      <w:r>
        <w:rPr>
          <w:rFonts w:ascii="Arial" w:cs="Arial" w:eastAsia="Arial" w:hAnsi="Arial"/>
          <w:color w:val="333333"/>
          <w:sz w:val="22"/>
          <w:szCs w:val="22"/>
        </w:rPr>
        <w:t xml:space="preserve">Breach notification: documented breach response procedure with automated notification to affected physician custodians. Physician responsible for HIA s.60.1 notification to OIPC/Minister.</w:t>
      </w:r>
    </w:p>
    <w:p>
      <w:pPr>
        <w:pStyle w:val="ListParagraph"/>
        <w:numPr>
          <w:ilvl w:val="0"/>
          <w:numId w:val="2"/>
        </w:numPr>
        <w:spacing w:after="100"/>
      </w:pPr>
      <w:r>
        <w:rPr>
          <w:rFonts w:ascii="Arial" w:cs="Arial" w:eastAsia="Arial" w:hAnsi="Arial"/>
          <w:color w:val="333333"/>
          <w:sz w:val="22"/>
          <w:szCs w:val="22"/>
        </w:rPr>
        <w:t xml:space="preserve">Data export and portability: physician can export all data anytime (claims, patients, remittance) in CSV/PDF. No vendor lock-in.</w:t>
      </w:r>
    </w:p>
    <w:p>
      <w:r>
        <w:br w:type="page"/>
      </w:r>
    </w:p>
    <w:p>
      <w:pPr>
        <w:pStyle w:val="Heading1"/>
      </w:pPr>
      <w:r>
        <w:t xml:space="preserve">6. Governing Rules Engine</w:t>
      </w:r>
    </w:p>
    <w:p>
      <w:pPr>
        <w:spacing w:after="100"/>
      </w:pPr>
    </w:p>
    <w:p>
      <w:pPr>
        <w:spacing w:after="200"/>
      </w:pPr>
      <w:r>
        <w:rPr>
          <w:rFonts w:ascii="Arial" w:cs="Arial" w:eastAsia="Arial" w:hAnsi="Arial"/>
          <w:color w:val="333333"/>
          <w:sz w:val="22"/>
          <w:szCs w:val="22"/>
        </w:rPr>
        <w:t xml:space="preserve">The governing rules engine is Meritum’s core technical differentiator. By catching violations before submission, it reduces rejection rates and increases physician revenue. This is the intelligence layer that replaces the human billing specialist found in managed-service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Rule Category</w:t>
            </w:r>
          </w:p>
        </w:tc>
        <w:tc>
          <w:tcPr>
            <w:tcW w:type="dxa" w:w="3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What It Checks</w:t>
            </w:r>
          </w:p>
        </w:tc>
        <w:tc>
          <w:tcPr>
            <w:tcW w:type="dxa" w:w="3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Meritum Enforcement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GR 1 General</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Action codes (N/C/D/A), 90-day filing deadline, valid PHN/PRAC ID/BA</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Hard validation — blocks invalid submissions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GR 3 Visits/Day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Limits by setting (e.g., one office visit per patient/physician/day with exceptions)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Duplicate detection and warning, suggests exceptions where applicable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GR 5 Code Combinations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Certain HSCs cannot be billed together same date/patient/physician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Code conflict matrix — prevents or warns on invalid combinations (most complex rule set)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GR 6 Modifier Rules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Which modifiers apply to which codes, maximum per claim, ordering</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Enforced at claim entry — invalid modifiers blocked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GR 8 Referral Rules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Consultation codes require valid referring PRAC ID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Required field enforced when 03.05x codes selected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GR 11 Facility Rules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Hospital/facility codes require valid functional centre; certain codes only in specific facility types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Facility-code compatibility validation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Surcharge Rules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13.99H/13.99HA require qualifying DI codes from Attachment G, 2+ hour stay or hospitalisation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 code validated against qualifying list, eligibility checker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PCPCM Basket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In-basket vs out-of-basket classification, BA routing, discount application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Maintains current basket code list, auto-routes to correct BA, applies discount logic</w:t>
            </w:r>
          </w:p>
        </w:tc>
      </w:tr>
    </w:tbl>
    <w:p>
      <w:pPr>
        <w:spacing w:after="100"/>
      </w:pPr>
    </w:p>
    <w:p>
      <w:r>
        <w:br w:type="page"/>
      </w:r>
    </w:p>
    <w:p>
      <w:pPr>
        <w:pStyle w:val="Heading1"/>
      </w:pPr>
      <w:r>
        <w:t xml:space="preserve">7. H-Link Integration Specification</w:t>
      </w:r>
    </w:p>
    <w:p>
      <w:pPr>
        <w:spacing w:after="100"/>
      </w:pPr>
    </w:p>
    <w:p>
      <w:pPr>
        <w:pStyle w:val="Heading2"/>
      </w:pPr>
      <w:r>
        <w:t xml:space="preserve">7.1 Accreditation</w:t>
      </w:r>
    </w:p>
    <w:p>
      <w:pPr>
        <w:pStyle w:val="ListParagraph"/>
        <w:numPr>
          <w:ilvl w:val="0"/>
          <w:numId w:val="2"/>
        </w:numPr>
        <w:spacing w:after="100"/>
      </w:pPr>
      <w:r>
        <w:rPr>
          <w:rFonts w:ascii="Arial" w:cs="Arial" w:eastAsia="Arial" w:hAnsi="Arial"/>
          <w:color w:val="333333"/>
          <w:sz w:val="22"/>
          <w:szCs w:val="22"/>
        </w:rPr>
        <w:t xml:space="preserve">Form AHC2210 submitted by Meritum to become accredited H-Link submitter</w:t>
      </w:r>
    </w:p>
    <w:p>
      <w:pPr>
        <w:pStyle w:val="ListParagraph"/>
        <w:numPr>
          <w:ilvl w:val="0"/>
          <w:numId w:val="2"/>
        </w:numPr>
        <w:spacing w:after="100"/>
      </w:pPr>
      <w:r>
        <w:rPr>
          <w:rFonts w:ascii="Arial" w:cs="Arial" w:eastAsia="Arial" w:hAnsi="Arial"/>
          <w:color w:val="333333"/>
          <w:sz w:val="22"/>
          <w:szCs w:val="22"/>
        </w:rPr>
        <w:t xml:space="preserve">Connectivity testing completed with AHCIP</w:t>
      </w:r>
    </w:p>
    <w:p>
      <w:pPr>
        <w:pStyle w:val="ListParagraph"/>
        <w:numPr>
          <w:ilvl w:val="0"/>
          <w:numId w:val="2"/>
        </w:numPr>
        <w:spacing w:after="100"/>
      </w:pPr>
      <w:r>
        <w:rPr>
          <w:rFonts w:ascii="Arial" w:cs="Arial" w:eastAsia="Arial" w:hAnsi="Arial"/>
          <w:color w:val="333333"/>
          <w:sz w:val="22"/>
          <w:szCs w:val="22"/>
        </w:rPr>
        <w:t xml:space="preserve">Assigned unique submitter prefix</w:t>
      </w:r>
    </w:p>
    <w:p>
      <w:pPr>
        <w:pStyle w:val="ListParagraph"/>
        <w:numPr>
          <w:ilvl w:val="0"/>
          <w:numId w:val="2"/>
        </w:numPr>
        <w:spacing w:after="100"/>
      </w:pPr>
      <w:r>
        <w:rPr>
          <w:rFonts w:ascii="Arial" w:cs="Arial" w:eastAsia="Arial" w:hAnsi="Arial"/>
          <w:color w:val="333333"/>
          <w:sz w:val="22"/>
          <w:szCs w:val="22"/>
        </w:rPr>
        <w:t xml:space="preserve">Submitter package: log-on credentials, user manual, key fob if required</w:t>
      </w:r>
    </w:p>
    <w:p>
      <w:pPr>
        <w:pStyle w:val="ListParagraph"/>
        <w:numPr>
          <w:ilvl w:val="0"/>
          <w:numId w:val="2"/>
        </w:numPr>
        <w:spacing w:after="100"/>
      </w:pPr>
      <w:r>
        <w:rPr>
          <w:rFonts w:ascii="Arial" w:cs="Arial" w:eastAsia="Arial" w:hAnsi="Arial"/>
          <w:color w:val="333333"/>
          <w:sz w:val="22"/>
          <w:szCs w:val="22"/>
        </w:rPr>
        <w:t xml:space="preserve">Portal passwords expire every 90 days — automated rotation</w:t>
      </w:r>
    </w:p>
    <w:p>
      <w:pPr>
        <w:pStyle w:val="ListParagraph"/>
        <w:numPr>
          <w:ilvl w:val="0"/>
          <w:numId w:val="2"/>
        </w:numPr>
        <w:spacing w:after="100"/>
      </w:pPr>
      <w:r>
        <w:rPr>
          <w:rFonts w:ascii="Arial" w:cs="Arial" w:eastAsia="Arial" w:hAnsi="Arial"/>
          <w:color w:val="333333"/>
          <w:sz w:val="22"/>
          <w:szCs w:val="22"/>
        </w:rPr>
        <w:t xml:space="preserve">Format compliance verified against Electronic Claims Submission Specifications Manual</w:t>
      </w:r>
    </w:p>
    <w:p>
      <w:pPr>
        <w:pStyle w:val="Heading2"/>
      </w:pPr>
      <w:r>
        <w:t xml:space="preserve">7.2 Physician Linkage</w:t>
      </w:r>
    </w:p>
    <w:p>
      <w:pPr>
        <w:pStyle w:val="ListParagraph"/>
        <w:numPr>
          <w:ilvl w:val="0"/>
          <w:numId w:val="2"/>
        </w:numPr>
        <w:spacing w:after="100"/>
      </w:pPr>
      <w:r>
        <w:rPr>
          <w:rFonts w:ascii="Arial" w:cs="Arial" w:eastAsia="Arial" w:hAnsi="Arial"/>
          <w:color w:val="333333"/>
          <w:sz w:val="22"/>
          <w:szCs w:val="22"/>
        </w:rPr>
        <w:t xml:space="preserve">Each physician completes form AHC11236 linking their BA to Meritum’s submitter prefix</w:t>
      </w:r>
    </w:p>
    <w:p>
      <w:pPr>
        <w:pStyle w:val="ListParagraph"/>
        <w:numPr>
          <w:ilvl w:val="0"/>
          <w:numId w:val="2"/>
        </w:numPr>
        <w:spacing w:after="100"/>
      </w:pPr>
      <w:r>
        <w:rPr>
          <w:rFonts w:ascii="Arial" w:cs="Arial" w:eastAsia="Arial" w:hAnsi="Arial"/>
          <w:color w:val="333333"/>
          <w:sz w:val="22"/>
          <w:szCs w:val="22"/>
        </w:rPr>
        <w:t xml:space="preserve">Meritum pre-fills form AHC11236 from onboarding data — physician signs and submits to AHCIP</w:t>
      </w:r>
    </w:p>
    <w:p>
      <w:pPr>
        <w:pStyle w:val="ListParagraph"/>
        <w:numPr>
          <w:ilvl w:val="0"/>
          <w:numId w:val="2"/>
        </w:numPr>
        <w:spacing w:after="100"/>
      </w:pPr>
      <w:r>
        <w:rPr>
          <w:rFonts w:ascii="Arial" w:cs="Arial" w:eastAsia="Arial" w:hAnsi="Arial"/>
          <w:color w:val="333333"/>
          <w:sz w:val="22"/>
          <w:szCs w:val="22"/>
        </w:rPr>
        <w:t xml:space="preserve">AHCIP confirms BA linkage (2–4 weeks for new physicians, faster for transfers from other submitters)</w:t>
      </w:r>
    </w:p>
    <w:p>
      <w:pPr>
        <w:pStyle w:val="ListParagraph"/>
        <w:numPr>
          <w:ilvl w:val="0"/>
          <w:numId w:val="2"/>
        </w:numPr>
        <w:spacing w:after="100"/>
      </w:pPr>
      <w:r>
        <w:rPr>
          <w:rFonts w:ascii="Arial" w:cs="Arial" w:eastAsia="Arial" w:hAnsi="Arial"/>
          <w:color w:val="333333"/>
          <w:sz w:val="22"/>
          <w:szCs w:val="22"/>
        </w:rPr>
        <w:t xml:space="preserve">System tracks BA linkage status and notifies physician when confirmed</w:t>
      </w:r>
    </w:p>
    <w:p>
      <w:pPr>
        <w:pStyle w:val="Heading2"/>
      </w:pPr>
      <w:r>
        <w:t xml:space="preserve">7.3 Submission Cycle</w:t>
      </w:r>
    </w:p>
    <w:p>
      <w:pPr>
        <w:pStyle w:val="ListParagraph"/>
        <w:numPr>
          <w:ilvl w:val="0"/>
          <w:numId w:val="2"/>
        </w:numPr>
        <w:spacing w:after="100"/>
      </w:pPr>
      <w:r>
        <w:rPr>
          <w:rFonts w:ascii="Arial" w:cs="Arial" w:eastAsia="Arial" w:hAnsi="Arial"/>
          <w:color w:val="333333"/>
          <w:sz w:val="22"/>
          <w:szCs w:val="22"/>
        </w:rPr>
        <w:t xml:space="preserve">Thursday 12 PM: cutoff for current assessment cycle</w:t>
      </w:r>
    </w:p>
    <w:p>
      <w:pPr>
        <w:pStyle w:val="ListParagraph"/>
        <w:numPr>
          <w:ilvl w:val="0"/>
          <w:numId w:val="2"/>
        </w:numPr>
        <w:spacing w:after="100"/>
      </w:pPr>
      <w:r>
        <w:rPr>
          <w:rFonts w:ascii="Arial" w:cs="Arial" w:eastAsia="Arial" w:hAnsi="Arial"/>
          <w:color w:val="333333"/>
          <w:sz w:val="22"/>
          <w:szCs w:val="22"/>
        </w:rPr>
        <w:t xml:space="preserve">Thursday PM through following week: AHCIP processes claims</w:t>
      </w:r>
    </w:p>
    <w:p>
      <w:pPr>
        <w:pStyle w:val="ListParagraph"/>
        <w:numPr>
          <w:ilvl w:val="0"/>
          <w:numId w:val="2"/>
        </w:numPr>
        <w:spacing w:after="100"/>
      </w:pPr>
      <w:r>
        <w:rPr>
          <w:rFonts w:ascii="Arial" w:cs="Arial" w:eastAsia="Arial" w:hAnsi="Arial"/>
          <w:color w:val="333333"/>
          <w:sz w:val="22"/>
          <w:szCs w:val="22"/>
        </w:rPr>
        <w:t xml:space="preserve">Assessment results available via H-Link for retrieval</w:t>
      </w:r>
    </w:p>
    <w:p>
      <w:pPr>
        <w:pStyle w:val="ListParagraph"/>
        <w:numPr>
          <w:ilvl w:val="0"/>
          <w:numId w:val="2"/>
        </w:numPr>
        <w:spacing w:after="100"/>
      </w:pPr>
      <w:r>
        <w:rPr>
          <w:rFonts w:ascii="Arial" w:cs="Arial" w:eastAsia="Arial" w:hAnsi="Arial"/>
          <w:color w:val="333333"/>
          <w:sz w:val="22"/>
          <w:szCs w:val="22"/>
        </w:rPr>
        <w:t xml:space="preserve">Payment: direct deposit to physician on Friday following Thursday assessment (~9 days after cutoff)</w:t>
      </w:r>
    </w:p>
    <w:p>
      <w:pPr>
        <w:pStyle w:val="ListParagraph"/>
        <w:numPr>
          <w:ilvl w:val="0"/>
          <w:numId w:val="2"/>
        </w:numPr>
        <w:spacing w:after="100"/>
      </w:pPr>
      <w:r>
        <w:rPr>
          <w:rFonts w:ascii="Arial" w:cs="Arial" w:eastAsia="Arial" w:hAnsi="Arial"/>
          <w:color w:val="333333"/>
          <w:sz w:val="22"/>
          <w:szCs w:val="22"/>
        </w:rPr>
        <w:t xml:space="preserve">90-day submission window from date of service</w:t>
      </w:r>
    </w:p>
    <w:p>
      <w:pPr>
        <w:pStyle w:val="Heading2"/>
      </w:pPr>
      <w:r>
        <w:t xml:space="preserve">7.4 Claim Data Elements</w:t>
      </w:r>
    </w:p>
    <w:p>
      <w:pPr>
        <w:spacing w:after="200"/>
      </w:pPr>
      <w:r>
        <w:rPr>
          <w:rFonts w:ascii="Arial" w:cs="Arial" w:eastAsia="Arial" w:hAnsi="Arial"/>
          <w:color w:val="333333"/>
          <w:sz w:val="22"/>
          <w:szCs w:val="22"/>
        </w:rPr>
        <w:t xml:space="preserve">Per the Electronic Claims Submission Specifications Manual, each claim includes: action code (N/C/D/A), submitter prefix, BA number, PRAC ID, patient PHN (9-digit Alberta or out-of-province), HSCs (up to 3 per claim line), modifiers (up to 3 explicit, order matters), diagnostic codes (ICD-9 format), date of service, time modifier (conditional), functional centre (conditional), referring PRAC ID (conditional), calls (conditional for unit-based codes), and text field (conditional for WCB notation or special circumstances).</w:t>
      </w:r>
    </w:p>
    <w:p>
      <w:r>
        <w:br w:type="page"/>
      </w:r>
    </w:p>
    <w:p>
      <w:pPr>
        <w:pStyle w:val="Heading1"/>
      </w:pPr>
      <w:r>
        <w:t xml:space="preserve">8. Physician Onboarding Workflow</w:t>
      </w:r>
    </w:p>
    <w:p>
      <w:pPr>
        <w:spacing w:after="100"/>
      </w:pPr>
    </w:p>
    <w:p>
      <w:pPr>
        <w:spacing w:after="200"/>
      </w:pPr>
      <w:r>
        <w:rPr>
          <w:rFonts w:ascii="Arial" w:cs="Arial" w:eastAsia="Arial" w:hAnsi="Arial"/>
          <w:color w:val="333333"/>
          <w:sz w:val="22"/>
          <w:szCs w:val="22"/>
        </w:rPr>
        <w:t xml:space="preserve">Target: under 10 minutes for steps 1–4. Steps 5–6 depend on AHCIP processing.</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2400"/>
        <w:gridCol w:w="2360"/>
      </w:tblGrid>
      <w:tr>
        <w:tc>
          <w:tcPr>
            <w:tcW w:type="dxa" w:w="1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4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4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3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Create account (email, password, MFA setup)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Physician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 minutes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Enter practice details: full name, PRAC ID, specialty, primary practice location(s), BA number(s)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Physician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 minutes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Review and digitally sign Information Manager Agreement (IMA)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Physician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 minutes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Download PIA appendix documentation for clinic records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Physician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minute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Sign and submit pre-filled form AHC11236 to AHCIP linking BA to Meritum prefix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Physician (external)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 minutes + mail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AHCIP confirms BA linkage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AHCIP</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2–4 weeks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System activated: begin entering and submitting claims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Meritum (auto)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Immediate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Optional: import patient demographics from previous software (CSV upload)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Physician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5–10 minutes</w:t>
            </w:r>
          </w:p>
        </w:tc>
      </w:tr>
    </w:tbl>
    <w:p>
      <w:pPr>
        <w:spacing w:after="100"/>
      </w:pPr>
    </w:p>
    <w:p>
      <w:r>
        <w:br w:type="page"/>
      </w:r>
    </w:p>
    <w:p>
      <w:pPr>
        <w:pStyle w:val="Heading1"/>
      </w:pPr>
      <w:r>
        <w:t xml:space="preserve">9. Competitive Differentiation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Differentiator</w:t>
            </w:r>
          </w:p>
        </w:tc>
        <w:tc>
          <w:tcPr>
            <w:tcW w:type="dxa" w:w="35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Market Gap</w:t>
            </w:r>
          </w:p>
        </w:tc>
        <w:tc>
          <w:tcPr>
            <w:tcW w:type="dxa" w:w="35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Meritum Advantage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Self-Serve + AI Intelligence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ClinicAid is self-serve but no AI. ResolvMD has AI but full-service only (0.69–1.19%). Dr.Bill has neither.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Self-serve with AI Billing Coach and governing rules engine. Intelligence of managed service at flat-rate pricing.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Shift-Based ER Billing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self-serve competitor offers shift-based workflows. ER billing is manual per-patient entry everywhere.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Purpose-built ER shift workflow via mobile app. Auto-calculated after-hours premiums, running shift earnings, batch review.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Mobile Companion App</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Competitors offer mobile web at best. No purpose-built native billing app for between-patient entry.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Native iOS/Android app: shift-based ED entry, clinic quick-entry templates, offline queue, push notifications for rejections.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PCPCM Dual-BA Routing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competitor explicitly addresses PCPCM hybrid model with intelligent BA routing.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Auto-routes in-basket, out-of-basket, and facility codes to correct BA. Reduces billing errors for new compensation model.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Privacy/Security Posture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self-serve competitor provides PIA appendix, IMA template, or detailed security documentation.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PIA appendix + IMA template as onboarding. Public /security page. HIA compliance by design. Canadian-hosted (DO Toronto).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Flat-Rate Pricing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Dr.Bill 0.25–1.95%, ResolvMD 0.69–1.19%. Percentage pricing penalises productive physicians.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Flat monthly subscription. Predictable cost. High-volume billers benefit most.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Rural Physician Focus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competitor specifically targets or optimises for rural multi-setting physicians.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RRNP premium visibility, facility favourites for rural hospitals, obstetric billing support, multi-setting workflow (clinic + hospital + 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Migration Ease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Limited patient import in most competitors.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CSV import, pre-filled AHC11236, step-by-step migration guides from each major competitor.</w:t>
            </w:r>
          </w:p>
        </w:tc>
      </w:tr>
    </w:tbl>
    <w:p>
      <w:pPr>
        <w:spacing w:after="100"/>
      </w:pPr>
    </w:p>
    <w:p>
      <w:r>
        <w:br w:type="page"/>
      </w:r>
    </w:p>
    <w:p>
      <w:pPr>
        <w:pStyle w:val="Heading1"/>
      </w:pPr>
      <w:r>
        <w:t xml:space="preserve">10. Privacy &amp; Security Implementation</w:t>
      </w:r>
    </w:p>
    <w:p>
      <w:pPr>
        <w:spacing w:after="100"/>
      </w:pPr>
    </w:p>
    <w:p>
      <w:pPr>
        <w:spacing w:after="200"/>
      </w:pPr>
      <w:r>
        <w:rPr>
          <w:rFonts w:ascii="Arial" w:cs="Arial" w:eastAsia="Arial" w:hAnsi="Arial"/>
          <w:color w:val="333333"/>
          <w:sz w:val="22"/>
          <w:szCs w:val="22"/>
        </w:rPr>
        <w:t xml:space="preserve">Meritum operates under the Health Information Act (HIA). The physician is the HIA custodian; Meritum is the information manager per HIA s.66. Physicians reference Meritum’s safeguards in their PIA submissions to OIPC.</w:t>
      </w:r>
    </w:p>
    <w:p>
      <w:pPr>
        <w:pStyle w:val="Heading2"/>
      </w:pPr>
      <w:r>
        <w:t xml:space="preserve">10.1 Documentation (Zero-Cost, Pre-Launch)</w:t>
      </w:r>
    </w:p>
    <w:p>
      <w:pPr>
        <w:pStyle w:val="ListParagraph"/>
        <w:numPr>
          <w:ilvl w:val="0"/>
          <w:numId w:val="2"/>
        </w:numPr>
        <w:spacing w:after="100"/>
      </w:pPr>
      <w:r>
        <w:rPr>
          <w:rFonts w:ascii="Arial" w:cs="Arial" w:eastAsia="Arial" w:hAnsi="Arial"/>
          <w:color w:val="333333"/>
          <w:sz w:val="22"/>
          <w:szCs w:val="22"/>
        </w:rPr>
        <w:t xml:space="preserve">Information Manager Agreement (IMA) template per HIA s.66</w:t>
      </w:r>
    </w:p>
    <w:p>
      <w:pPr>
        <w:pStyle w:val="ListParagraph"/>
        <w:numPr>
          <w:ilvl w:val="0"/>
          <w:numId w:val="2"/>
        </w:numPr>
        <w:spacing w:after="100"/>
      </w:pPr>
      <w:r>
        <w:rPr>
          <w:rFonts w:ascii="Arial" w:cs="Arial" w:eastAsia="Arial" w:hAnsi="Arial"/>
          <w:color w:val="333333"/>
          <w:sz w:val="22"/>
          <w:szCs w:val="22"/>
        </w:rPr>
        <w:t xml:space="preserve">System-level PIA appendix using OIPC Annotated Template — covers data flows, safeguards, breach response</w:t>
      </w:r>
    </w:p>
    <w:p>
      <w:pPr>
        <w:pStyle w:val="ListParagraph"/>
        <w:numPr>
          <w:ilvl w:val="0"/>
          <w:numId w:val="2"/>
        </w:numPr>
        <w:spacing w:after="100"/>
      </w:pPr>
      <w:r>
        <w:rPr>
          <w:rFonts w:ascii="Arial" w:cs="Arial" w:eastAsia="Arial" w:hAnsi="Arial"/>
          <w:color w:val="333333"/>
          <w:sz w:val="22"/>
          <w:szCs w:val="22"/>
        </w:rPr>
        <w:t xml:space="preserve">Privacy policy and acceptable use policy</w:t>
      </w:r>
    </w:p>
    <w:p>
      <w:pPr>
        <w:pStyle w:val="ListParagraph"/>
        <w:numPr>
          <w:ilvl w:val="0"/>
          <w:numId w:val="2"/>
        </w:numPr>
        <w:spacing w:after="100"/>
      </w:pPr>
      <w:r>
        <w:rPr>
          <w:rFonts w:ascii="Arial" w:cs="Arial" w:eastAsia="Arial" w:hAnsi="Arial"/>
          <w:color w:val="333333"/>
          <w:sz w:val="22"/>
          <w:szCs w:val="22"/>
        </w:rPr>
        <w:t xml:space="preserve">Breach response procedure per HIA s.60.1 mandatory reporting</w:t>
      </w:r>
    </w:p>
    <w:p>
      <w:pPr>
        <w:pStyle w:val="ListParagraph"/>
        <w:numPr>
          <w:ilvl w:val="0"/>
          <w:numId w:val="2"/>
        </w:numPr>
        <w:spacing w:after="100"/>
      </w:pPr>
      <w:r>
        <w:rPr>
          <w:rFonts w:ascii="Arial" w:cs="Arial" w:eastAsia="Arial" w:hAnsi="Arial"/>
          <w:color w:val="333333"/>
          <w:sz w:val="22"/>
          <w:szCs w:val="22"/>
        </w:rPr>
        <w:t xml:space="preserve">Data retention and destruction policy</w:t>
      </w:r>
    </w:p>
    <w:p>
      <w:pPr>
        <w:pStyle w:val="ListParagraph"/>
        <w:numPr>
          <w:ilvl w:val="0"/>
          <w:numId w:val="2"/>
        </w:numPr>
        <w:spacing w:after="100"/>
      </w:pPr>
      <w:r>
        <w:rPr>
          <w:rFonts w:ascii="Arial" w:cs="Arial" w:eastAsia="Arial" w:hAnsi="Arial"/>
          <w:color w:val="333333"/>
          <w:sz w:val="22"/>
          <w:szCs w:val="22"/>
        </w:rPr>
        <w:t xml:space="preserve">Access control policy</w:t>
      </w:r>
    </w:p>
    <w:p>
      <w:pPr>
        <w:pStyle w:val="ListParagraph"/>
        <w:numPr>
          <w:ilvl w:val="0"/>
          <w:numId w:val="2"/>
        </w:numPr>
        <w:spacing w:after="100"/>
      </w:pPr>
      <w:r>
        <w:rPr>
          <w:rFonts w:ascii="Arial" w:cs="Arial" w:eastAsia="Arial" w:hAnsi="Arial"/>
          <w:color w:val="333333"/>
          <w:sz w:val="22"/>
          <w:szCs w:val="22"/>
        </w:rPr>
        <w:t xml:space="preserve">Employee and contractor confidentiality agreements</w:t>
      </w:r>
    </w:p>
    <w:p>
      <w:pPr>
        <w:pStyle w:val="Heading2"/>
      </w:pPr>
      <w:r>
        <w:t xml:space="preserve">10.2 Technical Safeguards</w:t>
      </w:r>
    </w:p>
    <w:p>
      <w:pPr>
        <w:pStyle w:val="ListParagraph"/>
        <w:numPr>
          <w:ilvl w:val="0"/>
          <w:numId w:val="2"/>
        </w:numPr>
        <w:spacing w:after="100"/>
      </w:pPr>
      <w:r>
        <w:rPr>
          <w:rFonts w:ascii="Arial" w:cs="Arial" w:eastAsia="Arial" w:hAnsi="Arial"/>
          <w:color w:val="333333"/>
          <w:sz w:val="22"/>
          <w:szCs w:val="22"/>
        </w:rPr>
        <w:t xml:space="preserve">TLS 1.3 for all data in transit</w:t>
      </w:r>
    </w:p>
    <w:p>
      <w:pPr>
        <w:pStyle w:val="ListParagraph"/>
        <w:numPr>
          <w:ilvl w:val="0"/>
          <w:numId w:val="2"/>
        </w:numPr>
        <w:spacing w:after="100"/>
      </w:pPr>
      <w:r>
        <w:rPr>
          <w:rFonts w:ascii="Arial" w:cs="Arial" w:eastAsia="Arial" w:hAnsi="Arial"/>
          <w:color w:val="333333"/>
          <w:sz w:val="22"/>
          <w:szCs w:val="22"/>
        </w:rPr>
        <w:t xml:space="preserve">AES-256 encryption at rest (DigitalOcean managed encrypted volumes)</w:t>
      </w:r>
    </w:p>
    <w:p>
      <w:pPr>
        <w:pStyle w:val="ListParagraph"/>
        <w:numPr>
          <w:ilvl w:val="0"/>
          <w:numId w:val="2"/>
        </w:numPr>
        <w:spacing w:after="100"/>
      </w:pPr>
      <w:r>
        <w:rPr>
          <w:rFonts w:ascii="Arial" w:cs="Arial" w:eastAsia="Arial" w:hAnsi="Arial"/>
          <w:color w:val="333333"/>
          <w:sz w:val="22"/>
          <w:szCs w:val="22"/>
        </w:rPr>
        <w:t xml:space="preserve">Canadian data residency: DigitalOcean Toronto (TOR1) exclusively</w:t>
      </w:r>
    </w:p>
    <w:p>
      <w:pPr>
        <w:pStyle w:val="ListParagraph"/>
        <w:numPr>
          <w:ilvl w:val="0"/>
          <w:numId w:val="2"/>
        </w:numPr>
        <w:spacing w:after="100"/>
      </w:pPr>
      <w:r>
        <w:rPr>
          <w:rFonts w:ascii="Arial" w:cs="Arial" w:eastAsia="Arial" w:hAnsi="Arial"/>
          <w:color w:val="333333"/>
          <w:sz w:val="22"/>
          <w:szCs w:val="22"/>
        </w:rPr>
        <w:t xml:space="preserve">Role-based access control with principle of least privilege</w:t>
      </w:r>
    </w:p>
    <w:p>
      <w:pPr>
        <w:pStyle w:val="ListParagraph"/>
        <w:numPr>
          <w:ilvl w:val="0"/>
          <w:numId w:val="2"/>
        </w:numPr>
        <w:spacing w:after="100"/>
      </w:pPr>
      <w:r>
        <w:rPr>
          <w:rFonts w:ascii="Arial" w:cs="Arial" w:eastAsia="Arial" w:hAnsi="Arial"/>
          <w:color w:val="333333"/>
          <w:sz w:val="22"/>
          <w:szCs w:val="22"/>
        </w:rPr>
        <w:t xml:space="preserve">Mandatory MFA for all users (TOTP or WebAuthn)</w:t>
      </w:r>
    </w:p>
    <w:p>
      <w:pPr>
        <w:pStyle w:val="ListParagraph"/>
        <w:numPr>
          <w:ilvl w:val="0"/>
          <w:numId w:val="2"/>
        </w:numPr>
        <w:spacing w:after="100"/>
      </w:pPr>
      <w:r>
        <w:rPr>
          <w:rFonts w:ascii="Arial" w:cs="Arial" w:eastAsia="Arial" w:hAnsi="Arial"/>
          <w:color w:val="333333"/>
          <w:sz w:val="22"/>
          <w:szCs w:val="22"/>
        </w:rPr>
        <w:t xml:space="preserve">Comprehensive audit logging (immutable, time-stamped, identity-tagged)</w:t>
      </w:r>
    </w:p>
    <w:p>
      <w:pPr>
        <w:pStyle w:val="ListParagraph"/>
        <w:numPr>
          <w:ilvl w:val="0"/>
          <w:numId w:val="2"/>
        </w:numPr>
        <w:spacing w:after="100"/>
      </w:pPr>
      <w:r>
        <w:rPr>
          <w:rFonts w:ascii="Arial" w:cs="Arial" w:eastAsia="Arial" w:hAnsi="Arial"/>
          <w:color w:val="333333"/>
          <w:sz w:val="22"/>
          <w:szCs w:val="22"/>
        </w:rPr>
        <w:t xml:space="preserve">Automatic session timeout</w:t>
      </w:r>
    </w:p>
    <w:p>
      <w:pPr>
        <w:pStyle w:val="ListParagraph"/>
        <w:numPr>
          <w:ilvl w:val="0"/>
          <w:numId w:val="2"/>
        </w:numPr>
        <w:spacing w:after="100"/>
      </w:pPr>
      <w:r>
        <w:rPr>
          <w:rFonts w:ascii="Arial" w:cs="Arial" w:eastAsia="Arial" w:hAnsi="Arial"/>
          <w:color w:val="333333"/>
          <w:sz w:val="22"/>
          <w:szCs w:val="22"/>
        </w:rPr>
        <w:t xml:space="preserve">Secure credential storage (bcrypt/argon2)</w:t>
      </w:r>
    </w:p>
    <w:p>
      <w:pPr>
        <w:pStyle w:val="ListParagraph"/>
        <w:numPr>
          <w:ilvl w:val="0"/>
          <w:numId w:val="2"/>
        </w:numPr>
        <w:spacing w:after="100"/>
      </w:pPr>
      <w:r>
        <w:rPr>
          <w:rFonts w:ascii="Arial" w:cs="Arial" w:eastAsia="Arial" w:hAnsi="Arial"/>
          <w:color w:val="333333"/>
          <w:sz w:val="22"/>
          <w:szCs w:val="22"/>
        </w:rPr>
        <w:t xml:space="preserve">Input validation and parameterised queries (SQL injection prevention)</w:t>
      </w:r>
    </w:p>
    <w:p>
      <w:pPr>
        <w:pStyle w:val="ListParagraph"/>
        <w:numPr>
          <w:ilvl w:val="0"/>
          <w:numId w:val="2"/>
        </w:numPr>
        <w:spacing w:after="100"/>
      </w:pPr>
      <w:r>
        <w:rPr>
          <w:rFonts w:ascii="Arial" w:cs="Arial" w:eastAsia="Arial" w:hAnsi="Arial"/>
          <w:color w:val="333333"/>
          <w:sz w:val="22"/>
          <w:szCs w:val="22"/>
        </w:rPr>
        <w:t xml:space="preserve">Content Security Policy headers, HSTS, X-Frame-Options, X-Content-Type-Options</w:t>
      </w:r>
    </w:p>
    <w:p>
      <w:pPr>
        <w:pStyle w:val="Heading2"/>
      </w:pPr>
      <w:r>
        <w:t xml:space="preserve">10.3 Security Testing (Self-Directed)</w:t>
      </w:r>
    </w:p>
    <w:p>
      <w:pPr>
        <w:pStyle w:val="ListParagraph"/>
        <w:numPr>
          <w:ilvl w:val="0"/>
          <w:numId w:val="2"/>
        </w:numPr>
        <w:spacing w:after="100"/>
      </w:pPr>
      <w:r>
        <w:rPr>
          <w:rFonts w:ascii="Arial" w:cs="Arial" w:eastAsia="Arial" w:hAnsi="Arial"/>
          <w:color w:val="333333"/>
          <w:sz w:val="22"/>
          <w:szCs w:val="22"/>
        </w:rPr>
        <w:t xml:space="preserve">OWASP ZAP automated scanning</w:t>
      </w:r>
    </w:p>
    <w:p>
      <w:pPr>
        <w:pStyle w:val="ListParagraph"/>
        <w:numPr>
          <w:ilvl w:val="0"/>
          <w:numId w:val="2"/>
        </w:numPr>
        <w:spacing w:after="100"/>
      </w:pPr>
      <w:r>
        <w:rPr>
          <w:rFonts w:ascii="Arial" w:cs="Arial" w:eastAsia="Arial" w:hAnsi="Arial"/>
          <w:color w:val="333333"/>
          <w:sz w:val="22"/>
          <w:szCs w:val="22"/>
        </w:rPr>
        <w:t xml:space="preserve">Dependency scanning (Snyk, npm audit)</w:t>
      </w:r>
    </w:p>
    <w:p>
      <w:pPr>
        <w:pStyle w:val="ListParagraph"/>
        <w:numPr>
          <w:ilvl w:val="0"/>
          <w:numId w:val="2"/>
        </w:numPr>
        <w:spacing w:after="100"/>
      </w:pPr>
      <w:r>
        <w:rPr>
          <w:rFonts w:ascii="Arial" w:cs="Arial" w:eastAsia="Arial" w:hAnsi="Arial"/>
          <w:color w:val="333333"/>
          <w:sz w:val="22"/>
          <w:szCs w:val="22"/>
        </w:rPr>
        <w:t xml:space="preserve">Security header validation (securityheaders.com)</w:t>
      </w:r>
    </w:p>
    <w:p>
      <w:pPr>
        <w:pStyle w:val="ListParagraph"/>
        <w:numPr>
          <w:ilvl w:val="0"/>
          <w:numId w:val="2"/>
        </w:numPr>
        <w:spacing w:after="100"/>
      </w:pPr>
      <w:r>
        <w:rPr>
          <w:rFonts w:ascii="Arial" w:cs="Arial" w:eastAsia="Arial" w:hAnsi="Arial"/>
          <w:color w:val="333333"/>
          <w:sz w:val="22"/>
          <w:szCs w:val="22"/>
        </w:rPr>
        <w:t xml:space="preserve">SSL/TLS monitoring and certificate management</w:t>
      </w:r>
    </w:p>
    <w:p>
      <w:pPr>
        <w:pStyle w:val="ListParagraph"/>
        <w:numPr>
          <w:ilvl w:val="0"/>
          <w:numId w:val="2"/>
        </w:numPr>
        <w:spacing w:after="100"/>
      </w:pPr>
      <w:r>
        <w:rPr>
          <w:rFonts w:ascii="Arial" w:cs="Arial" w:eastAsia="Arial" w:hAnsi="Arial"/>
          <w:color w:val="333333"/>
          <w:sz w:val="22"/>
          <w:szCs w:val="22"/>
        </w:rPr>
        <w:t xml:space="preserve">STRIDE threat modelling per feature</w:t>
      </w:r>
    </w:p>
    <w:p>
      <w:pPr>
        <w:pStyle w:val="Heading2"/>
      </w:pPr>
      <w:r>
        <w:t xml:space="preserve">10.4 Public Security Page (/security)</w:t>
      </w:r>
    </w:p>
    <w:p>
      <w:pPr>
        <w:spacing w:after="200"/>
      </w:pPr>
      <w:r>
        <w:rPr>
          <w:rFonts w:ascii="Arial" w:cs="Arial" w:eastAsia="Arial" w:hAnsi="Arial"/>
          <w:color w:val="333333"/>
          <w:sz w:val="22"/>
          <w:szCs w:val="22"/>
        </w:rPr>
        <w:t xml:space="preserve">Public-facing page at meritum.ca/security stating: Canadian data residency (DigitalOcean Toronto), encryption standards (TLS 1.3 + AES-256), HIA and PIPEDA compliance commitment, breach notification commitment, IMA and PIA documentation provided to every physician, and no Meritum staff PHI access without explicit authorisation.</w:t>
      </w:r>
    </w:p>
    <w:p>
      <w:pPr>
        <w:pStyle w:val="Heading2"/>
      </w:pPr>
      <w:r>
        <w:t xml:space="preserve">10.5 Deferred Until Revenue</w:t>
      </w:r>
    </w:p>
    <w:p>
      <w:pPr>
        <w:pStyle w:val="ListParagraph"/>
        <w:numPr>
          <w:ilvl w:val="0"/>
          <w:numId w:val="2"/>
        </w:numPr>
        <w:spacing w:after="100"/>
      </w:pPr>
      <w:r>
        <w:rPr>
          <w:rFonts w:ascii="Arial" w:cs="Arial" w:eastAsia="Arial" w:hAnsi="Arial"/>
          <w:color w:val="333333"/>
          <w:sz w:val="22"/>
          <w:szCs w:val="22"/>
        </w:rPr>
        <w:t xml:space="preserve">SOC 2 Type II certification ($20–50K)</w:t>
      </w:r>
    </w:p>
    <w:p>
      <w:pPr>
        <w:pStyle w:val="ListParagraph"/>
        <w:numPr>
          <w:ilvl w:val="0"/>
          <w:numId w:val="2"/>
        </w:numPr>
        <w:spacing w:after="100"/>
      </w:pPr>
      <w:r>
        <w:rPr>
          <w:rFonts w:ascii="Arial" w:cs="Arial" w:eastAsia="Arial" w:hAnsi="Arial"/>
          <w:color w:val="333333"/>
          <w:sz w:val="22"/>
          <w:szCs w:val="22"/>
        </w:rPr>
        <w:t xml:space="preserve">Third-party penetration testing ($5–15K)</w:t>
      </w:r>
    </w:p>
    <w:p>
      <w:pPr>
        <w:pStyle w:val="ListParagraph"/>
        <w:numPr>
          <w:ilvl w:val="0"/>
          <w:numId w:val="2"/>
        </w:numPr>
        <w:spacing w:after="100"/>
      </w:pPr>
      <w:r>
        <w:rPr>
          <w:rFonts w:ascii="Arial" w:cs="Arial" w:eastAsia="Arial" w:hAnsi="Arial"/>
          <w:color w:val="333333"/>
          <w:sz w:val="22"/>
          <w:szCs w:val="22"/>
        </w:rPr>
        <w:t xml:space="preserve">Cyber liability insurance</w:t>
      </w:r>
    </w:p>
    <w:p>
      <w:pPr>
        <w:pStyle w:val="ListParagraph"/>
        <w:numPr>
          <w:ilvl w:val="0"/>
          <w:numId w:val="2"/>
        </w:numPr>
        <w:spacing w:after="100"/>
      </w:pPr>
      <w:r>
        <w:rPr>
          <w:rFonts w:ascii="Arial" w:cs="Arial" w:eastAsia="Arial" w:hAnsi="Arial"/>
          <w:color w:val="333333"/>
          <w:sz w:val="22"/>
          <w:szCs w:val="22"/>
        </w:rPr>
        <w:t xml:space="preserve">Formal PIPEDA audit</w:t>
      </w:r>
    </w:p>
    <w:p>
      <w:r>
        <w:br w:type="page"/>
      </w:r>
    </w:p>
    <w:p>
      <w:pPr>
        <w:pStyle w:val="Heading1"/>
      </w:pPr>
      <w:r>
        <w:t xml:space="preserve">11. Infrastructure &amp; Deployment</w:t>
      </w:r>
    </w:p>
    <w:p>
      <w:pPr>
        <w:spacing w:after="100"/>
      </w:pPr>
    </w:p>
    <w:p>
      <w:pPr>
        <w:spacing w:after="200"/>
      </w:pPr>
      <w:r>
        <w:rPr>
          <w:rFonts w:ascii="Arial" w:cs="Arial" w:eastAsia="Arial" w:hAnsi="Arial"/>
          <w:color w:val="333333"/>
          <w:sz w:val="22"/>
          <w:szCs w:val="22"/>
        </w:rPr>
        <w:t xml:space="preserve">Meritum’s infrastructure strategy prioritises Canadian data residency, cost control, and migration path to owned hardware.</w:t>
      </w:r>
    </w:p>
    <w:p>
      <w:pPr>
        <w:pStyle w:val="Heading2"/>
      </w:pPr>
      <w:r>
        <w:t xml:space="preserve">11.1 MVP: DigitalOcean Toronto</w:t>
      </w:r>
    </w:p>
    <w:p>
      <w:pPr>
        <w:pStyle w:val="ListParagraph"/>
        <w:numPr>
          <w:ilvl w:val="0"/>
          <w:numId w:val="2"/>
        </w:numPr>
        <w:spacing w:after="100"/>
      </w:pPr>
      <w:r>
        <w:rPr>
          <w:rFonts w:ascii="Arial" w:cs="Arial" w:eastAsia="Arial" w:hAnsi="Arial"/>
          <w:color w:val="333333"/>
          <w:sz w:val="22"/>
          <w:szCs w:val="22"/>
        </w:rPr>
        <w:t xml:space="preserve">Compute: DigitalOcean Droplets (Toronto TOR1 data centre)</w:t>
      </w:r>
    </w:p>
    <w:p>
      <w:pPr>
        <w:pStyle w:val="ListParagraph"/>
        <w:numPr>
          <w:ilvl w:val="0"/>
          <w:numId w:val="2"/>
        </w:numPr>
        <w:spacing w:after="100"/>
      </w:pPr>
      <w:r>
        <w:rPr>
          <w:rFonts w:ascii="Arial" w:cs="Arial" w:eastAsia="Arial" w:hAnsi="Arial"/>
          <w:color w:val="333333"/>
          <w:sz w:val="22"/>
          <w:szCs w:val="22"/>
        </w:rPr>
        <w:t xml:space="preserve">Database: Managed PostgreSQL on DigitalOcean with encrypted volumes (AES-256 at rest)</w:t>
      </w:r>
    </w:p>
    <w:p>
      <w:pPr>
        <w:pStyle w:val="ListParagraph"/>
        <w:numPr>
          <w:ilvl w:val="0"/>
          <w:numId w:val="2"/>
        </w:numPr>
        <w:spacing w:after="100"/>
      </w:pPr>
      <w:r>
        <w:rPr>
          <w:rFonts w:ascii="Arial" w:cs="Arial" w:eastAsia="Arial" w:hAnsi="Arial"/>
          <w:color w:val="333333"/>
          <w:sz w:val="22"/>
          <w:szCs w:val="22"/>
        </w:rPr>
        <w:t xml:space="preserve">Container orchestration: Docker Compose initially, Kubernetes when scaling requires it</w:t>
      </w:r>
    </w:p>
    <w:p>
      <w:pPr>
        <w:pStyle w:val="ListParagraph"/>
        <w:numPr>
          <w:ilvl w:val="0"/>
          <w:numId w:val="2"/>
        </w:numPr>
        <w:spacing w:after="100"/>
      </w:pPr>
      <w:r>
        <w:rPr>
          <w:rFonts w:ascii="Arial" w:cs="Arial" w:eastAsia="Arial" w:hAnsi="Arial"/>
          <w:color w:val="333333"/>
          <w:sz w:val="22"/>
          <w:szCs w:val="22"/>
        </w:rPr>
        <w:t xml:space="preserve">Load balancing: DigitalOcean Load Balancer with TLS termination</w:t>
      </w:r>
    </w:p>
    <w:p>
      <w:pPr>
        <w:pStyle w:val="ListParagraph"/>
        <w:numPr>
          <w:ilvl w:val="0"/>
          <w:numId w:val="2"/>
        </w:numPr>
        <w:spacing w:after="100"/>
      </w:pPr>
      <w:r>
        <w:rPr>
          <w:rFonts w:ascii="Arial" w:cs="Arial" w:eastAsia="Arial" w:hAnsi="Arial"/>
          <w:color w:val="333333"/>
          <w:sz w:val="22"/>
          <w:szCs w:val="22"/>
        </w:rPr>
        <w:t xml:space="preserve">Backups: automated daily snapshots, point-in-time recovery, cross-region replication within Canada</w:t>
      </w:r>
    </w:p>
    <w:p>
      <w:pPr>
        <w:pStyle w:val="ListParagraph"/>
        <w:numPr>
          <w:ilvl w:val="0"/>
          <w:numId w:val="2"/>
        </w:numPr>
        <w:spacing w:after="100"/>
      </w:pPr>
      <w:r>
        <w:rPr>
          <w:rFonts w:ascii="Arial" w:cs="Arial" w:eastAsia="Arial" w:hAnsi="Arial"/>
          <w:color w:val="333333"/>
          <w:sz w:val="22"/>
          <w:szCs w:val="22"/>
        </w:rPr>
        <w:t xml:space="preserve">Monitoring: uptime monitoring, alerting, log aggregation</w:t>
      </w:r>
    </w:p>
    <w:p>
      <w:pPr>
        <w:pStyle w:val="ListParagraph"/>
        <w:numPr>
          <w:ilvl w:val="0"/>
          <w:numId w:val="2"/>
        </w:numPr>
        <w:spacing w:after="100"/>
      </w:pPr>
      <w:r>
        <w:rPr>
          <w:rFonts w:ascii="Arial" w:cs="Arial" w:eastAsia="Arial" w:hAnsi="Arial"/>
          <w:color w:val="333333"/>
          <w:sz w:val="22"/>
          <w:szCs w:val="22"/>
        </w:rPr>
        <w:t xml:space="preserve">CDN: DigitalOcean Spaces CDN for static assets (Canadian edge nodes)</w:t>
      </w:r>
    </w:p>
    <w:p>
      <w:pPr>
        <w:pStyle w:val="Heading2"/>
      </w:pPr>
      <w:r>
        <w:t xml:space="preserve">11.2 Long-Term: Owned Servers in Canadian DC</w:t>
      </w:r>
    </w:p>
    <w:p>
      <w:pPr>
        <w:spacing w:after="200"/>
      </w:pPr>
      <w:r>
        <w:rPr>
          <w:rFonts w:ascii="Arial" w:cs="Arial" w:eastAsia="Arial" w:hAnsi="Arial"/>
          <w:color w:val="333333"/>
          <w:sz w:val="22"/>
          <w:szCs w:val="22"/>
        </w:rPr>
        <w:t xml:space="preserve">Migration strategy: containerised architecture (Docker/Kubernetes) ensures lift-and-shift capability. When revenue supports it, migrate to owned bare-metal servers in a Canadian colocation data centre. Benefits: full hardware control, reduced long-term costs, enhanced security posture, and complete data sovereignty.</w:t>
      </w:r>
    </w:p>
    <w:p>
      <w:pPr>
        <w:spacing w:after="200"/>
      </w:pPr>
      <w:r>
        <w:rPr>
          <w:rFonts w:ascii="Arial" w:cs="Arial" w:eastAsia="Arial" w:hAnsi="Arial"/>
          <w:b/>
          <w:bCs/>
          <w:color w:val="333333"/>
          <w:sz w:val="22"/>
          <w:szCs w:val="22"/>
        </w:rPr>
        <w:t xml:space="preserve">Migration path: </w:t>
      </w:r>
      <w:r>
        <w:rPr>
          <w:rFonts w:ascii="Arial" w:cs="Arial" w:eastAsia="Arial" w:hAnsi="Arial"/>
          <w:color w:val="333333"/>
          <w:sz w:val="22"/>
          <w:szCs w:val="22"/>
        </w:rPr>
        <w:t xml:space="preserve">DO Managed → DO Droplets with self-managed DB → Owned servers in Canadian DC. Each step is a container migration, not a re-architecture.</w:t>
      </w:r>
    </w:p>
    <w:p>
      <w:pPr>
        <w:pStyle w:val="Heading2"/>
      </w:pPr>
      <w:r>
        <w:t xml:space="preserve">11.3 Why Not AWS/Azure</w:t>
      </w:r>
    </w:p>
    <w:p>
      <w:pPr>
        <w:pStyle w:val="ListParagraph"/>
        <w:numPr>
          <w:ilvl w:val="0"/>
          <w:numId w:val="2"/>
        </w:numPr>
        <w:spacing w:after="100"/>
      </w:pPr>
      <w:r>
        <w:rPr>
          <w:rFonts w:ascii="Arial" w:cs="Arial" w:eastAsia="Arial" w:hAnsi="Arial"/>
          <w:color w:val="333333"/>
          <w:sz w:val="22"/>
          <w:szCs w:val="22"/>
        </w:rPr>
        <w:t xml:space="preserve">Cost predictability: DigitalOcean flat pricing vs AWS complex billing avoids surprise costs during growth</w:t>
      </w:r>
    </w:p>
    <w:p>
      <w:pPr>
        <w:pStyle w:val="ListParagraph"/>
        <w:numPr>
          <w:ilvl w:val="0"/>
          <w:numId w:val="2"/>
        </w:numPr>
        <w:spacing w:after="100"/>
      </w:pPr>
      <w:r>
        <w:rPr>
          <w:rFonts w:ascii="Arial" w:cs="Arial" w:eastAsia="Arial" w:hAnsi="Arial"/>
          <w:color w:val="333333"/>
          <w:sz w:val="22"/>
          <w:szCs w:val="22"/>
        </w:rPr>
        <w:t xml:space="preserve">Simplicity: managed services without enterprise complexity</w:t>
      </w:r>
    </w:p>
    <w:p>
      <w:pPr>
        <w:pStyle w:val="ListParagraph"/>
        <w:numPr>
          <w:ilvl w:val="0"/>
          <w:numId w:val="2"/>
        </w:numPr>
        <w:spacing w:after="100"/>
      </w:pPr>
      <w:r>
        <w:rPr>
          <w:rFonts w:ascii="Arial" w:cs="Arial" w:eastAsia="Arial" w:hAnsi="Arial"/>
          <w:color w:val="333333"/>
          <w:sz w:val="22"/>
          <w:szCs w:val="22"/>
        </w:rPr>
        <w:t xml:space="preserve">Migration path: DO’s simpler infrastructure maps cleanly to self-hosted, whereas deep AWS service integration creates vendor lock-in</w:t>
      </w:r>
    </w:p>
    <w:p>
      <w:pPr>
        <w:pStyle w:val="ListParagraph"/>
        <w:numPr>
          <w:ilvl w:val="0"/>
          <w:numId w:val="2"/>
        </w:numPr>
        <w:spacing w:after="100"/>
      </w:pPr>
      <w:r>
        <w:rPr>
          <w:rFonts w:ascii="Arial" w:cs="Arial" w:eastAsia="Arial" w:hAnsi="Arial"/>
          <w:color w:val="333333"/>
          <w:sz w:val="22"/>
          <w:szCs w:val="22"/>
        </w:rPr>
        <w:t xml:space="preserve">Canadian residency: DO TOR1 satisfies requirement without navigating AWS region complexity</w:t>
      </w:r>
    </w:p>
    <w:p>
      <w:r>
        <w:br w:type="page"/>
      </w:r>
    </w:p>
    <w:p>
      <w:pPr>
        <w:pStyle w:val="Heading1"/>
      </w:pPr>
      <w:r>
        <w:t xml:space="preserve">12. Technical Reference Data</w:t>
      </w:r>
    </w:p>
    <w:p>
      <w:pPr>
        <w:spacing w:after="100"/>
      </w:pPr>
    </w:p>
    <w:p>
      <w:pPr>
        <w:spacing w:after="200"/>
      </w:pPr>
      <w:r>
        <w:rPr>
          <w:rFonts w:ascii="Arial" w:cs="Arial" w:eastAsia="Arial" w:hAnsi="Arial"/>
          <w:color w:val="333333"/>
          <w:sz w:val="22"/>
          <w:szCs w:val="22"/>
        </w:rPr>
        <w:t xml:space="preserve">Meritum must maintain current versions of the following datasets. Update frequency and sources noted.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30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0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Update Frequency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SOMB Fee Schedule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Alberta Health AHCIP Bulletins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Quarterly + ad hoc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ICD-9 Diagnostic Codes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AHCIP DI Code Supplement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Annual + ad hoc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Functional Centre Codes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AHS Facility Listing</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As facilities change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RRNP Community Rate Table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Alberta Health Open Data</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Annual review</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Governing Rules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SOMB Governing Rules Section</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With SOMB updates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Explanatory Codes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AHCIP</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Infrequent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PCPCM Basket Codes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AMA / Alberta Health</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As PCPCM evolves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WCB Fee Schedule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WCB Alberta</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Annual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Alberta Physician Directory</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CPSA / Alberta Health</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Ongoing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ER Surcharge DI Codes (Att. G)</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AHCIP Bulletin Med 141+</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Infrequent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ICD-10 to ICD-9 Mapping</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Connect Care Phase 2</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Stable mapping table</w:t>
            </w:r>
          </w:p>
        </w:tc>
      </w:tr>
    </w:tbl>
    <w:p>
      <w:pPr>
        <w:spacing w:after="100"/>
      </w:pPr>
    </w:p>
    <w:p>
      <w:r>
        <w:br w:type="page"/>
      </w:r>
    </w:p>
    <w:p>
      <w:pPr>
        <w:pStyle w:val="Heading1"/>
      </w:pPr>
      <w:r>
        <w:t xml:space="preserve">13. Connect Care Integration (Phase 2)</w:t>
      </w:r>
    </w:p>
    <w:p>
      <w:pPr>
        <w:spacing w:after="100"/>
      </w:pPr>
    </w:p>
    <w:p>
      <w:pPr>
        <w:spacing w:after="200"/>
      </w:pPr>
      <w:r>
        <w:rPr>
          <w:rFonts w:ascii="Arial" w:cs="Arial" w:eastAsia="Arial" w:hAnsi="Arial"/>
          <w:color w:val="333333"/>
          <w:sz w:val="22"/>
          <w:szCs w:val="22"/>
        </w:rPr>
        <w:t xml:space="preserve">Connect Care is AHS’s Epic-based clinical information system. Integration is Phase 2 because rural family physicians on standalone EMRs benefit more from Meritum’s mobile-first approach. Hospital-based specialists on Connect Care become the Phase 2 target.</w:t>
      </w:r>
    </w:p>
    <w:p>
      <w:pPr>
        <w:pStyle w:val="Heading2"/>
      </w:pPr>
      <w:r>
        <w:t xml:space="preserve">13.1 Three-Layer Architecture</w:t>
      </w:r>
    </w:p>
    <w:p>
      <w:pPr>
        <w:spacing w:after="200"/>
      </w:pPr>
      <w:r>
        <w:rPr>
          <w:rFonts w:ascii="Arial" w:cs="Arial" w:eastAsia="Arial" w:hAnsi="Arial"/>
          <w:b/>
          <w:bCs/>
          <w:color w:val="333333"/>
          <w:sz w:val="22"/>
          <w:szCs w:val="22"/>
        </w:rPr>
        <w:t xml:space="preserve">Layer 1 — Epic Hyperspace Service Code Capture (SCC): </w:t>
      </w:r>
      <w:r>
        <w:rPr>
          <w:rFonts w:ascii="Arial" w:cs="Arial" w:eastAsia="Arial" w:hAnsi="Arial"/>
          <w:color w:val="333333"/>
          <w:sz w:val="22"/>
          <w:szCs w:val="22"/>
        </w:rPr>
        <w:t xml:space="preserve">Physicians enter AHCIP/WCB billing codes alongside clinical documentation within Connect Care.</w:t>
      </w:r>
    </w:p>
    <w:p>
      <w:pPr>
        <w:spacing w:after="200"/>
      </w:pPr>
      <w:r>
        <w:rPr>
          <w:rFonts w:ascii="Arial" w:cs="Arial" w:eastAsia="Arial" w:hAnsi="Arial"/>
          <w:b/>
          <w:bCs/>
          <w:color w:val="333333"/>
          <w:sz w:val="22"/>
          <w:szCs w:val="22"/>
        </w:rPr>
        <w:t xml:space="preserve">Layer 2 — Nightly Batch Export: </w:t>
      </w:r>
      <w:r>
        <w:rPr>
          <w:rFonts w:ascii="Arial" w:cs="Arial" w:eastAsia="Arial" w:hAnsi="Arial"/>
          <w:color w:val="333333"/>
          <w:sz w:val="22"/>
          <w:szCs w:val="22"/>
        </w:rPr>
        <w:t xml:space="preserve">Automated batch export (~2 AM) to designated billing agent. Claims land in “unsubmitted” state. Known limitations: ICD-10→ICD-9 conversion issues, complex surgical/anaesthesia/time-based billings don’t map cleanly.</w:t>
      </w:r>
    </w:p>
    <w:p>
      <w:pPr>
        <w:spacing w:after="200"/>
      </w:pPr>
      <w:r>
        <w:rPr>
          <w:rFonts w:ascii="Arial" w:cs="Arial" w:eastAsia="Arial" w:hAnsi="Arial"/>
          <w:b/>
          <w:bCs/>
          <w:color w:val="333333"/>
          <w:sz w:val="22"/>
          <w:szCs w:val="22"/>
        </w:rPr>
        <w:t xml:space="preserve">Layer 3 — H-Link Submission: </w:t>
      </w:r>
      <w:r>
        <w:rPr>
          <w:rFonts w:ascii="Arial" w:cs="Arial" w:eastAsia="Arial" w:hAnsi="Arial"/>
          <w:color w:val="333333"/>
          <w:sz w:val="22"/>
          <w:szCs w:val="22"/>
        </w:rPr>
        <w:t xml:space="preserve">Meritum receives SCC feed, applies validation and AI coaching, physician reviews, then submits via H-Link.</w:t>
      </w:r>
    </w:p>
    <w:p>
      <w:pPr>
        <w:pStyle w:val="Heading2"/>
      </w:pPr>
      <w:r>
        <w:t xml:space="preserve">13.2 Integration Paths</w:t>
      </w:r>
    </w:p>
    <w:p>
      <w:pPr>
        <w:spacing w:after="200"/>
      </w:pPr>
      <w:r>
        <w:rPr>
          <w:rFonts w:ascii="Arial" w:cs="Arial" w:eastAsia="Arial" w:hAnsi="Arial"/>
          <w:b/>
          <w:bCs/>
          <w:color w:val="333333"/>
          <w:sz w:val="22"/>
          <w:szCs w:val="22"/>
        </w:rPr>
        <w:t xml:space="preserve">Path A (SCC Feed): </w:t>
      </w:r>
      <w:r>
        <w:rPr>
          <w:rFonts w:ascii="Arial" w:cs="Arial" w:eastAsia="Arial" w:hAnsi="Arial"/>
          <w:color w:val="333333"/>
          <w:sz w:val="22"/>
          <w:szCs w:val="22"/>
        </w:rPr>
        <w:t xml:space="preserve">Receive nightly SCC export from AHS. Requires formal arrangement with AHS. Only Medi-Com and ResolvMD currently have this integration among competitors.</w:t>
      </w:r>
    </w:p>
    <w:p>
      <w:pPr>
        <w:spacing w:after="200"/>
      </w:pPr>
      <w:r>
        <w:rPr>
          <w:rFonts w:ascii="Arial" w:cs="Arial" w:eastAsia="Arial" w:hAnsi="Arial"/>
          <w:b/>
          <w:bCs/>
          <w:color w:val="333333"/>
          <w:sz w:val="22"/>
          <w:szCs w:val="22"/>
        </w:rPr>
        <w:t xml:space="preserve">Path B (Independent): </w:t>
      </w:r>
      <w:r>
        <w:rPr>
          <w:rFonts w:ascii="Arial" w:cs="Arial" w:eastAsia="Arial" w:hAnsi="Arial"/>
          <w:color w:val="333333"/>
          <w:sz w:val="22"/>
          <w:szCs w:val="22"/>
        </w:rPr>
        <w:t xml:space="preserve">Operate independently with direct claim entry via Meritum web/mobile. No AHS dependency. This is the MVP approach.</w:t>
      </w:r>
    </w:p>
    <w:p>
      <w:pPr>
        <w:pStyle w:val="Heading2"/>
      </w:pPr>
      <w:r>
        <w:t xml:space="preserve">13.3 Pragmatic MVP Approach</w:t>
      </w:r>
    </w:p>
    <w:p>
      <w:pPr>
        <w:spacing w:after="200"/>
      </w:pPr>
      <w:r>
        <w:rPr>
          <w:rFonts w:ascii="Arial" w:cs="Arial" w:eastAsia="Arial" w:hAnsi="Arial"/>
          <w:color w:val="333333"/>
          <w:sz w:val="22"/>
          <w:szCs w:val="22"/>
        </w:rPr>
        <w:t xml:space="preserve">Launch without Connect Care integration. Rural family physicians on standalone EMRs or paper benefit most from mobile-first entry and AI code suggestions. Add Connect Care SCC feed as Phase 2 when hospital-based specialists become the growth target. This avoids the AHS integration dependency blocking the MVP launch.</w:t>
      </w:r>
    </w:p>
    <w:p>
      <w:r>
        <w:br w:type="page"/>
      </w:r>
    </w:p>
    <w:p>
      <w:pPr>
        <w:pStyle w:val="Heading1"/>
      </w:pPr>
      <w:r>
        <w:t xml:space="preserve">14. Next Steps</w:t>
      </w:r>
    </w:p>
    <w:p>
      <w:pPr>
        <w:spacing w:after="100"/>
      </w:pPr>
    </w:p>
    <w:p>
      <w:pPr>
        <w:pStyle w:val="ListParagraph"/>
        <w:numPr>
          <w:ilvl w:val="0"/>
          <w:numId w:val="2"/>
        </w:numPr>
        <w:spacing w:after="100"/>
      </w:pPr>
      <w:r>
        <w:rPr>
          <w:rFonts w:ascii="Arial" w:cs="Arial" w:eastAsia="Arial" w:hAnsi="Arial"/>
          <w:color w:val="333333"/>
          <w:sz w:val="22"/>
          <w:szCs w:val="22"/>
        </w:rPr>
        <w:t xml:space="preserve">Database schema and data model: claim lifecycle state machine, reference data tables, audit log structure, multi-BA routing logic</w:t>
      </w:r>
    </w:p>
    <w:p>
      <w:pPr>
        <w:pStyle w:val="ListParagraph"/>
        <w:numPr>
          <w:ilvl w:val="0"/>
          <w:numId w:val="2"/>
        </w:numPr>
        <w:spacing w:after="100"/>
      </w:pPr>
      <w:r>
        <w:rPr>
          <w:rFonts w:ascii="Arial" w:cs="Arial" w:eastAsia="Arial" w:hAnsi="Arial"/>
          <w:color w:val="333333"/>
          <w:sz w:val="22"/>
          <w:szCs w:val="22"/>
        </w:rPr>
        <w:t xml:space="preserve">Technology stack decisions: web framework, mobile framework (React Native vs Flutter), database (PostgreSQL confirmed), auth provider, H-Link integration library</w:t>
      </w:r>
    </w:p>
    <w:p>
      <w:pPr>
        <w:pStyle w:val="ListParagraph"/>
        <w:numPr>
          <w:ilvl w:val="0"/>
          <w:numId w:val="2"/>
        </w:numPr>
        <w:spacing w:after="100"/>
      </w:pPr>
      <w:r>
        <w:rPr>
          <w:rFonts w:ascii="Arial" w:cs="Arial" w:eastAsia="Arial" w:hAnsi="Arial"/>
          <w:color w:val="333333"/>
          <w:sz w:val="22"/>
          <w:szCs w:val="22"/>
        </w:rPr>
        <w:t xml:space="preserve">IMA template and PIA appendix drafting: onboarding blockers regardless of development timeline</w:t>
      </w:r>
    </w:p>
    <w:p>
      <w:pPr>
        <w:pStyle w:val="ListParagraph"/>
        <w:numPr>
          <w:ilvl w:val="0"/>
          <w:numId w:val="2"/>
        </w:numPr>
        <w:spacing w:after="100"/>
      </w:pPr>
      <w:r>
        <w:rPr>
          <w:rFonts w:ascii="Arial" w:cs="Arial" w:eastAsia="Arial" w:hAnsi="Arial"/>
          <w:color w:val="333333"/>
          <w:sz w:val="22"/>
          <w:szCs w:val="22"/>
        </w:rPr>
        <w:t xml:space="preserve">Meritum Health Technologies Inc. incorporation and meritum.ca domain registration</w:t>
      </w:r>
    </w:p>
    <w:p>
      <w:pPr>
        <w:pStyle w:val="ListParagraph"/>
        <w:numPr>
          <w:ilvl w:val="0"/>
          <w:numId w:val="2"/>
        </w:numPr>
        <w:spacing w:after="100"/>
      </w:pPr>
      <w:r>
        <w:rPr>
          <w:rFonts w:ascii="Arial" w:cs="Arial" w:eastAsia="Arial" w:hAnsi="Arial"/>
          <w:color w:val="333333"/>
          <w:sz w:val="22"/>
          <w:szCs w:val="22"/>
        </w:rPr>
        <w:t xml:space="preserve">H-Link accreditation: submit form AHC2210, begin connectivity testing with AHCIP</w:t>
      </w:r>
    </w:p>
    <w:p>
      <w:pPr>
        <w:pStyle w:val="ListParagraph"/>
        <w:numPr>
          <w:ilvl w:val="0"/>
          <w:numId w:val="2"/>
        </w:numPr>
        <w:spacing w:after="100"/>
      </w:pPr>
      <w:r>
        <w:rPr>
          <w:rFonts w:ascii="Arial" w:cs="Arial" w:eastAsia="Arial" w:hAnsi="Arial"/>
          <w:color w:val="333333"/>
          <w:sz w:val="22"/>
          <w:szCs w:val="22"/>
        </w:rPr>
        <w:t xml:space="preserve">Mobile companion app architecture: offline-first data model, sync protocol, platform-specific considerations</w:t>
      </w:r>
    </w:p>
    <w:p>
      <w:pPr>
        <w:pStyle w:val="ListParagraph"/>
        <w:numPr>
          <w:ilvl w:val="0"/>
          <w:numId w:val="2"/>
        </w:numPr>
        <w:spacing w:after="100"/>
      </w:pPr>
      <w:r>
        <w:rPr>
          <w:rFonts w:ascii="Arial" w:cs="Arial" w:eastAsia="Arial" w:hAnsi="Arial"/>
          <w:color w:val="333333"/>
          <w:sz w:val="22"/>
          <w:szCs w:val="22"/>
        </w:rPr>
        <w:t xml:space="preserve">AI Billing Coach model: training data sources (SOMB rules, modifier eligibility matrices, historical rejection patterns), inference architecture, privacy-preserving design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Confidential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MERITUM — Technical Specification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5E20"/>
      <w:sz w:val="36"/>
      <w:szCs w:val="36"/>
    </w:rPr>
  </w:style>
  <w:style w:type="paragraph" w:styleId="Heading2">
    <w:name w:val="Heading 2"/>
    <w:basedOn w:val="Normal"/>
    <w:next w:val="Normal"/>
    <w:qFormat/>
    <w:pPr>
      <w:spacing w:before="240" w:after="180"/>
      <w:outlineLvl w:val="1"/>
    </w:pPr>
    <w:rPr>
      <w:rFonts w:ascii="Arial" w:cs="Arial" w:eastAsia="Arial" w:hAnsi="Arial"/>
      <w:b/>
      <w:bCs/>
      <w:color w:val="2E7D3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2026-02-12T22:20:17.515Z</dcterms:created>
  <dcterms:modified xsi:type="dcterms:W3CDTF">2026-02-12T22:20:17.516Z</dcterms:modified>
</cp:coreProperties>
</file>

<file path=docProps/custom.xml><?xml version="1.0" encoding="utf-8"?>
<Properties xmlns="http://schemas.openxmlformats.org/officeDocument/2006/custom-properties" xmlns:vt="http://schemas.openxmlformats.org/officeDocument/2006/docPropsVTypes"/>
</file>