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MERITUM HEALTH TECHNOLOGIES LTD.</w:t>
      </w:r>
    </w:p>
    <w:p>
      <w:pPr>
        <w:pStyle w:val="DocSubtitle"/>
      </w:pPr>
      <w:r>
        <w:t>Information Manager Agreement</w:t>
      </w:r>
    </w:p>
    <w:p>
      <w:pPr>
        <w:pStyle w:val="Meta"/>
      </w:pPr>
      <w:r>
        <w:t>Pursuant to section 66(2) of the Health Information Act, RSA 2000, c H‑5</w:t>
      </w:r>
    </w:p>
    <w:p>
      <w:pPr>
        <w:pStyle w:val="Meta"/>
      </w:pPr>
      <w:r>
        <w:t>Document version: 2.0    Effective date: [insert effective date]</w:t>
      </w:r>
    </w:p>
    <w:p>
      <w:pPr>
        <w:pStyle w:val="Draft"/>
      </w:pPr>
      <w:r>
        <w:t>DRAFT: This document requires review by qualified legal counsel before publication.</w:t>
      </w:r>
    </w:p>
    <w:p>
      <w:pPr>
        <w:pStyle w:val="SectionHead"/>
      </w:pPr>
      <w:r>
        <w:t>Recitals</w:t>
      </w:r>
    </w:p>
    <w:p>
      <w:pPr>
        <w:pStyle w:val="Recital"/>
      </w:pPr>
      <w:r>
        <w:t>WHEREAS the Custodian operates a medical practice in Alberta and is a custodian of health information as defined in section 1(1)(f) of the Health Information Act, RSA 2000, c H‑5 (“HIA”);</w:t>
      </w:r>
    </w:p>
    <w:p>
      <w:pPr>
        <w:pStyle w:val="Recital"/>
      </w:pPr>
      <w:r>
        <w:t>WHEREAS Meritum provides a web-based medical billing platform that processes, stores, and retrieves health information on behalf of custodians for the purposes of billing Alberta Health under the Alberta Health Care Insurance Plan and, where applicable, the Workers’ Compensation Board of Alberta;</w:t>
      </w:r>
    </w:p>
    <w:p>
      <w:pPr>
        <w:pStyle w:val="Recital"/>
      </w:pPr>
      <w:r>
        <w:t>WHEREAS the HIA requires, at section 66(2), that a custodian who provides health information to an information manager must enter into a written agreement with the information manager;</w:t>
      </w:r>
    </w:p>
    <w:p>
      <w:pPr>
        <w:pStyle w:val="Recital"/>
      </w:pPr>
      <w:r>
        <w:t>WHEREAS the parties wish to formalise the information manager relationship and to set out the terms on which Meritum will process Health Information on behalf of the Custodian;</w:t>
      </w:r>
    </w:p>
    <w:p>
      <w:pPr>
        <w:pStyle w:val="Recital"/>
      </w:pPr>
      <w:r>
        <w:t>NOW THEREFORE the parties agree as follows.</w:t>
      </w:r>
    </w:p>
    <w:p>
      <w:pPr>
        <w:pStyle w:val="SectionHead"/>
      </w:pPr>
      <w:r>
        <w:t>Parties</w:t>
      </w:r>
    </w:p>
    <w:p>
      <w:pPr/>
      <w:r>
        <w:t>This Information Manager Agreement (“Agreement”) is entered into between:</w:t>
      </w:r>
    </w:p>
    <w:p>
      <w:pPr/>
      <w:r>
        <w:rPr>
          <w:b/>
          <w:i w:val="0"/>
        </w:rPr>
        <w:t xml:space="preserve">The Custodian: </w:t>
      </w:r>
      <w:r>
        <w:rPr>
          <w:b w:val="0"/>
          <w:i w:val="0"/>
        </w:rPr>
        <w:t>the physician identified during the Meritum platform onboarding process, being a custodian of health information as defined in section 1(1)(f) of the HIA.</w:t>
      </w:r>
    </w:p>
    <w:p>
      <w:pPr/>
      <w:r>
        <w:t>and</w:t>
      </w:r>
    </w:p>
    <w:p>
      <w:pPr/>
      <w:r>
        <w:rPr>
          <w:b/>
          <w:i w:val="0"/>
        </w:rPr>
        <w:t xml:space="preserve">The Information Manager: </w:t>
      </w:r>
      <w:r>
        <w:rPr>
          <w:b w:val="0"/>
          <w:i w:val="0"/>
        </w:rPr>
        <w:t>Meritum Health Technologies Ltd., an Alberta corporation (“Meritum”), with its registered office at 1122 7 Ave W, Beaverlodge, Alberta T0H 0C0, contactable at privacy@meritum.ca.</w:t>
      </w:r>
    </w:p>
    <w:p>
      <w:pPr/>
      <w:r>
        <w:t>This Agreement is made pursuant to section 66(2) of the HIA and section 7.2 of the Health Information Regulation, Alta Reg 70/2001 (“Regulation”). The Custodian’s electronic acceptance of this Agreement during the Platform onboarding process constitutes a “written agreement” for the purposes of section 66(2) of the HIA and the Electronic Transactions Act, SA 2001, c E‑5.5.</w:t>
      </w:r>
    </w:p>
    <w:p>
      <w:pPr>
        <w:pStyle w:val="SectionHead"/>
      </w:pPr>
      <w:r>
        <w:t>1. Definitions</w:t>
      </w:r>
    </w:p>
    <w:p>
      <w:pPr/>
      <w:r>
        <w:t>In this Agreement, unless the context requires otherwise:</w:t>
      </w:r>
    </w:p>
    <w:p>
      <w:pPr/>
      <w:r>
        <w:rPr>
          <w:b/>
        </w:rPr>
        <w:t>“Advice Engine”</w:t>
      </w:r>
      <w:r>
        <w:t xml:space="preserve"> means Meritum’s billing optimisation functionality that identifies codes, modifiers, and revenue recovery opportunities based on the Custodian’s billing patterns and applicable governing rules. The Advice Engine constitutes an automated system for the purposes of the HIA. The Advice Engine provides suggestions only; it does not replace the Custodian’s professional judgment and does not guarantee any particular billing outcome.</w:t>
      </w:r>
    </w:p>
    <w:p>
      <w:pPr/>
      <w:r>
        <w:rPr>
          <w:b/>
        </w:rPr>
        <w:t>“AHCIP”</w:t>
      </w:r>
      <w:r>
        <w:t xml:space="preserve"> means the Alberta Health Care Insurance Plan.</w:t>
      </w:r>
    </w:p>
    <w:p>
      <w:pPr/>
      <w:r>
        <w:rPr>
          <w:b/>
        </w:rPr>
        <w:t>“Breach”</w:t>
      </w:r>
      <w:r>
        <w:t xml:space="preserve"> means a loss of, unauthorised access to, or unauthorised disclosure of Health Information in the custody or control of Meritum.</w:t>
      </w:r>
    </w:p>
    <w:p>
      <w:pPr/>
      <w:r>
        <w:rPr>
          <w:b/>
        </w:rPr>
        <w:t>“Breach Awareness”</w:t>
      </w:r>
      <w:r>
        <w:t xml:space="preserve"> means confirmed knowledge by a senior member of Meritum’s management team that an event constituting a Breach has occurred. Breach Awareness does not include automated detection of anomalous activity, unconfirmed alerts, or preliminary investigation of a suspected incident prior to confirmation.</w:t>
      </w:r>
    </w:p>
    <w:p>
      <w:pPr/>
      <w:r>
        <w:rPr>
          <w:b/>
        </w:rPr>
        <w:t>“Business Day”</w:t>
      </w:r>
      <w:r>
        <w:t xml:space="preserve"> means a day other than a Saturday, Sunday, or statutory holiday in the Province of Alberta.</w:t>
      </w:r>
    </w:p>
    <w:p>
      <w:pPr/>
      <w:r>
        <w:rPr>
          <w:b/>
        </w:rPr>
        <w:t>“Change of Control”</w:t>
      </w:r>
      <w:r>
        <w:t xml:space="preserve"> means a merger, acquisition, amalgamation, or sale of substantially all of Meritum’s assets or shares that results in a change in the effective control of Meritum.</w:t>
      </w:r>
    </w:p>
    <w:p>
      <w:pPr/>
      <w:r>
        <w:rPr>
          <w:b/>
        </w:rPr>
        <w:t>“Custodian”</w:t>
      </w:r>
      <w:r>
        <w:t xml:space="preserve"> has the meaning given in section 1(1)(f) of the HIA. In the context of this Agreement, the Custodian is the physician who has entered into this Agreement with Meritum.</w:t>
      </w:r>
    </w:p>
    <w:p>
      <w:pPr/>
      <w:r>
        <w:rPr>
          <w:b/>
        </w:rPr>
        <w:t>“Delegate”</w:t>
      </w:r>
      <w:r>
        <w:t xml:space="preserve"> means an individual authorised by the Custodian to access specified functionality within the Platform on the Custodian’s behalf, with permissions determined and controlled by the Custodian.</w:t>
      </w:r>
    </w:p>
    <w:p>
      <w:pPr/>
      <w:r>
        <w:rPr>
          <w:b/>
        </w:rPr>
        <w:t>“H‑Link”</w:t>
      </w:r>
      <w:r>
        <w:t xml:space="preserve"> means Alberta Health’s electronic claims submission and assessment retrieval system.</w:t>
      </w:r>
    </w:p>
    <w:p>
      <w:pPr/>
      <w:r>
        <w:rPr>
          <w:b/>
        </w:rPr>
        <w:t>“Health Information”</w:t>
      </w:r>
      <w:r>
        <w:t xml:space="preserve"> has the meaning given in section 1(1)(i) of the HIA.</w:t>
      </w:r>
    </w:p>
    <w:p>
      <w:pPr/>
      <w:r>
        <w:rPr>
          <w:b/>
        </w:rPr>
        <w:t>“Individually Identifying Health Information”</w:t>
      </w:r>
      <w:r>
        <w:t xml:space="preserve"> has the meaning given in section 1(1)(o) of the HIA.</w:t>
      </w:r>
    </w:p>
    <w:p>
      <w:pPr/>
      <w:r>
        <w:rPr>
          <w:b/>
        </w:rPr>
        <w:t>“Information Manager”</w:t>
      </w:r>
      <w:r>
        <w:t xml:space="preserve"> has the meaning given in section 66(1) of the HIA.</w:t>
      </w:r>
    </w:p>
    <w:p>
      <w:pPr/>
      <w:r>
        <w:rPr>
          <w:b/>
        </w:rPr>
        <w:t>“Non‑identifying Health Information”</w:t>
      </w:r>
      <w:r>
        <w:t xml:space="preserve"> means health information from which all direct and indirect identifiers have been removed, stripped, encoded, or otherwise transformed such that it can no longer reasonably be expected, whether alone or in combination with other available information, to identify an individual.</w:t>
      </w:r>
    </w:p>
    <w:p>
      <w:pPr/>
      <w:r>
        <w:rPr>
          <w:b/>
        </w:rPr>
        <w:t>“OIPC”</w:t>
      </w:r>
      <w:r>
        <w:t xml:space="preserve"> means the Office of the Information and Privacy Commissioner of Alberta.</w:t>
      </w:r>
    </w:p>
    <w:p>
      <w:pPr/>
      <w:r>
        <w:rPr>
          <w:b/>
        </w:rPr>
        <w:t>“PIA”</w:t>
      </w:r>
      <w:r>
        <w:t xml:space="preserve"> means a privacy impact assessment as described in section 64 of the HIA.</w:t>
      </w:r>
    </w:p>
    <w:p>
      <w:pPr/>
      <w:r>
        <w:rPr>
          <w:b/>
        </w:rPr>
        <w:t>“Platform”</w:t>
      </w:r>
      <w:r>
        <w:t xml:space="preserve"> means the Meritum web-based and mobile medical billing platform, including all associated software, services, and infrastructure.</w:t>
      </w:r>
    </w:p>
    <w:p>
      <w:pPr/>
      <w:r>
        <w:rPr>
          <w:b/>
        </w:rPr>
        <w:t>“Record”</w:t>
      </w:r>
      <w:r>
        <w:t xml:space="preserve"> has the meaning given in section 1(1)(s) of the HIA.</w:t>
      </w:r>
    </w:p>
    <w:p>
      <w:pPr/>
      <w:r>
        <w:rPr>
          <w:b/>
        </w:rPr>
        <w:t>“Rules Engine”</w:t>
      </w:r>
      <w:r>
        <w:t xml:space="preserve"> means Meritum’s pre-submission validation system that checks claims against applicable AHCIP governing rules before submission. The Rules Engine is maintained based on the current published Schedule of Medical Benefits and AHCIP governing rules and is intended as an aid to claim accuracy; it does not guarantee claim acceptance by Alberta Health and does not replace the Custodian’s responsibility for the accuracy and completeness of all claims submitted.</w:t>
      </w:r>
    </w:p>
    <w:p>
      <w:pPr/>
      <w:r>
        <w:rPr>
          <w:b/>
        </w:rPr>
        <w:t>“WCB”</w:t>
      </w:r>
      <w:r>
        <w:t xml:space="preserve"> means the Workers’ Compensation Board of Alberta.</w:t>
      </w:r>
    </w:p>
    <w:p>
      <w:pPr>
        <w:pStyle w:val="SectionHead"/>
      </w:pPr>
      <w:r>
        <w:t>2. Appointment and Scope</w:t>
      </w:r>
    </w:p>
    <w:p>
      <w:pPr>
        <w:pStyle w:val="SubHead"/>
      </w:pPr>
      <w:r>
        <w:t>2.1 Appointment</w:t>
      </w:r>
    </w:p>
    <w:p>
      <w:pPr/>
      <w:r>
        <w:t>The Custodian appoints Meritum as its Information Manager for the purposes described in this Agreement. Meritum accepts the appointment and agrees to perform its duties in accordance with the HIA, the Regulation, and the terms of this Agreement.</w:t>
      </w:r>
    </w:p>
    <w:p>
      <w:pPr>
        <w:pStyle w:val="SubHead"/>
      </w:pPr>
      <w:r>
        <w:t>2.2 Scope of Processing</w:t>
      </w:r>
    </w:p>
    <w:p>
      <w:pPr/>
      <w:r>
        <w:t>Meritum processes Health Information solely for the following purposes on behalf of the Custodian:</w:t>
      </w:r>
    </w:p>
    <w:p>
      <w:pPr>
        <w:pStyle w:val="Indent"/>
      </w:pPr>
      <w:r>
        <w:t>(a) claim creation, editing, and management within the Platform;</w:t>
      </w:r>
    </w:p>
    <w:p>
      <w:pPr>
        <w:pStyle w:val="Indent"/>
      </w:pPr>
      <w:r>
        <w:t>(b) pre-submission validation of claims through the Rules Engine, including modifier eligibility, time-period requirements, duplicate detection, age-based benefits, and Rural and Remote Northern Program (“RRNP”) premium calculation;</w:t>
      </w:r>
    </w:p>
    <w:p>
      <w:pPr>
        <w:pStyle w:val="Indent"/>
      </w:pPr>
      <w:r>
        <w:t>(c) billing optimisation analysis through the Advice Engine, including identification of eligible codes and modifiers and analysis of billing patterns;</w:t>
      </w:r>
    </w:p>
    <w:p>
      <w:pPr>
        <w:pStyle w:val="Indent"/>
      </w:pPr>
      <w:r>
        <w:t>(d) submission of claims to Alberta Health via H‑Link in accordance with the submission schedule established by Alberta Health (currently the weekly Thursday cycle);</w:t>
      </w:r>
    </w:p>
    <w:p>
      <w:pPr>
        <w:pStyle w:val="Indent"/>
      </w:pPr>
      <w:r>
        <w:t>(e) submission of WCB Alberta claims, where applicable;</w:t>
      </w:r>
    </w:p>
    <w:p>
      <w:pPr>
        <w:pStyle w:val="Indent"/>
      </w:pPr>
      <w:r>
        <w:t>(f) retrieval and matching of assessments returned by Alberta Health;</w:t>
      </w:r>
    </w:p>
    <w:p>
      <w:pPr>
        <w:pStyle w:val="Indent"/>
      </w:pPr>
      <w:r>
        <w:t>(g) rejection tracking, analysis, and reporting;</w:t>
      </w:r>
    </w:p>
    <w:p>
      <w:pPr>
        <w:pStyle w:val="Indent"/>
      </w:pPr>
      <w:r>
        <w:t>(h) Primary Care Panel and Continuity Model (“PCPCM”) panel tracking and payment reconciliation;</w:t>
      </w:r>
    </w:p>
    <w:p>
      <w:pPr>
        <w:pStyle w:val="Indent"/>
      </w:pPr>
      <w:r>
        <w:t>(i) data export as requested by the Custodian; and</w:t>
      </w:r>
    </w:p>
    <w:p>
      <w:pPr>
        <w:pStyle w:val="Indent"/>
      </w:pPr>
      <w:r>
        <w:t>(j) such other processing as is reasonably necessary to provide the Platform services and as expressly authorised by the Custodian.</w:t>
      </w:r>
    </w:p>
    <w:p>
      <w:pPr>
        <w:pStyle w:val="SubHead"/>
      </w:pPr>
      <w:r>
        <w:t>2.3 Limitations on Use and Disclosure</w:t>
      </w:r>
    </w:p>
    <w:p>
      <w:pPr/>
      <w:r>
        <w:t>Meritum will not collect, use, or disclose Health Information except as authorised by this Agreement and the HIA. Without limiting the generality of the foregoing:</w:t>
      </w:r>
    </w:p>
    <w:p>
      <w:pPr>
        <w:pStyle w:val="Indent"/>
      </w:pPr>
      <w:r>
        <w:t>(a) Meritum will not use Health Information for any purpose other than the purposes described in section 2.2;</w:t>
      </w:r>
    </w:p>
    <w:p>
      <w:pPr>
        <w:pStyle w:val="Indent"/>
      </w:pPr>
      <w:r>
        <w:t>(b) Meritum will not disclose Health Information to any person or body except as required to perform the services described in section 2.2, as authorised by the Custodian, or as required by law;</w:t>
      </w:r>
    </w:p>
    <w:p>
      <w:pPr>
        <w:pStyle w:val="Indent"/>
      </w:pPr>
      <w:r>
        <w:t>(c) Meritum will not sell, rent, trade, or otherwise make Health Information available to any third party for marketing, advertising, or data brokerage purposes;</w:t>
      </w:r>
    </w:p>
    <w:p>
      <w:pPr>
        <w:pStyle w:val="Indent"/>
      </w:pPr>
      <w:r>
        <w:t>(d) Meritum will not disclose Health Information to any practice administrator, Delegate, or other individual beyond the specific access permissions established by the Custodian within the Platform; and</w:t>
      </w:r>
    </w:p>
    <w:p>
      <w:pPr>
        <w:pStyle w:val="Indent"/>
      </w:pPr>
      <w:r>
        <w:t>(e) Meritum will not attempt to re-identify any Non-identifying Health Information that has been de-identified in accordance with section 2.4.</w:t>
      </w:r>
    </w:p>
    <w:p>
      <w:pPr>
        <w:pStyle w:val="SubHead"/>
      </w:pPr>
      <w:r>
        <w:t>2.4 Use of Non-identifying Health Information</w:t>
      </w:r>
    </w:p>
    <w:p>
      <w:pPr/>
      <w:r>
        <w:t>Meritum may use Non-identifying Health Information for its own purposes, including product improvement, aggregate analytics, and benchmarking, provided that:</w:t>
      </w:r>
    </w:p>
    <w:p>
      <w:pPr>
        <w:pStyle w:val="Indent"/>
      </w:pPr>
      <w:r>
        <w:t>(a) all direct identifiers (including patient names, personal health numbers, addresses, and dates of birth) and any indirect identifiers that could reasonably be expected to identify an individual, either alone or in combination with other available information, have been removed, stripped, encoded, or otherwise transformed before such use;</w:t>
      </w:r>
    </w:p>
    <w:p>
      <w:pPr>
        <w:pStyle w:val="Indent"/>
      </w:pPr>
      <w:r>
        <w:t>(b) the de-identification is performed in accordance with the HIA, the Regulation, and the methodological framework set out in the De-identification Guidelines for Structured Data published by the Information and Privacy Commissioner of Ontario (2016), or any successor guidance of equivalent or greater rigour;</w:t>
      </w:r>
    </w:p>
    <w:p>
      <w:pPr>
        <w:pStyle w:val="Indent"/>
      </w:pPr>
      <w:r>
        <w:t>(c) Meritum applies a minimum k-anonymity threshold of k=5 to any de-identified dataset, meaning that any combination of quasi-identifiers in the dataset must apply to at least five individuals, with suppression or generalisation applied to any group below the threshold;</w:t>
      </w:r>
    </w:p>
    <w:p>
      <w:pPr>
        <w:pStyle w:val="Indent"/>
      </w:pPr>
      <w:r>
        <w:t>(d) Meritum does not attempt to re-identify any Non-identifying Health Information; and</w:t>
      </w:r>
    </w:p>
    <w:p>
      <w:pPr>
        <w:pStyle w:val="Indent"/>
      </w:pPr>
      <w:r>
        <w:t>(e) the resulting Non-identifying Health Information is not disclosed to any third party in a form that could reasonably be expected to identify any individual or any individual Custodian.</w:t>
      </w:r>
    </w:p>
    <w:p>
      <w:pPr>
        <w:pStyle w:val="SectionHead"/>
      </w:pPr>
      <w:r>
        <w:t>3. Duties of the Information Manager</w:t>
      </w:r>
    </w:p>
    <w:p>
      <w:pPr>
        <w:pStyle w:val="SubHead"/>
      </w:pPr>
      <w:r>
        <w:t>3.1 Compliance with the HIA</w:t>
      </w:r>
    </w:p>
    <w:p>
      <w:pPr/>
      <w:r>
        <w:t>Meritum will comply with the HIA and the Regulation in respect of all Health Information provided to it by the Custodian pursuant to this Agreement, as required by sections 66(3) and 66(5) of the HIA.</w:t>
      </w:r>
    </w:p>
    <w:p>
      <w:pPr>
        <w:pStyle w:val="SubHead"/>
      </w:pPr>
      <w:r>
        <w:t>3.2 Collection Limitation</w:t>
      </w:r>
    </w:p>
    <w:p>
      <w:pPr/>
      <w:r>
        <w:t>Meritum will collect only the minimum Health Information necessary to perform the services described in section 2.2. Meritum will not request or collect Health Information from the Custodian or any other source beyond what is required for the authorised purposes.</w:t>
      </w:r>
    </w:p>
    <w:p>
      <w:pPr>
        <w:pStyle w:val="SubHead"/>
      </w:pPr>
      <w:r>
        <w:t>3.3 Accuracy</w:t>
      </w:r>
    </w:p>
    <w:p>
      <w:pPr/>
      <w:r>
        <w:t>Meritum will take reasonable steps to ensure the accuracy of Health Information in its custody or control, to the extent that accuracy is within Meritum’s ability to verify. The Custodian remains responsible for the clinical accuracy of all Health Information entered into the Platform, including the correctness of diagnosis codes, service codes, patient identifiers, and claim details.</w:t>
      </w:r>
    </w:p>
    <w:p>
      <w:pPr>
        <w:pStyle w:val="SubHead"/>
      </w:pPr>
      <w:r>
        <w:t>3.4 Data Isolation</w:t>
      </w:r>
    </w:p>
    <w:p>
      <w:pPr/>
      <w:r>
        <w:t>Health Information for each Custodian is logically separated within the Platform in accordance with the safeguards described in section 4. No other custodian, physician, practice administrator, or user of the Platform can access the Custodian’s Health Information unless the Custodian has expressly authorised such access through the Platform’s delegate permission system.</w:t>
      </w:r>
    </w:p>
    <w:p>
      <w:pPr>
        <w:pStyle w:val="SubHead"/>
      </w:pPr>
      <w:r>
        <w:t>3.5 Delegate Access</w:t>
      </w:r>
    </w:p>
    <w:p>
      <w:pPr/>
      <w:r>
        <w:t>Where the Custodian authorises a Delegate to access specified Platform functionality, Meritum will restrict the Delegate’s access to the Health Information and functions that the Custodian has explicitly permitted. The Custodian may modify or revoke Delegate access at any time through the Platform.</w:t>
      </w:r>
    </w:p>
    <w:p>
      <w:pPr>
        <w:pStyle w:val="SubHead"/>
      </w:pPr>
      <w:r>
        <w:t>3.6 Practice Administrator Limitations</w:t>
      </w:r>
    </w:p>
    <w:p>
      <w:pPr/>
      <w:r>
        <w:t>Where the Custodian’s subscription is part of a practice or clinic tier account, the practice administrator’s access is limited to the physician seat list and the consolidated practice invoice. The practice administrator does not have access to the Custodian’s individual Health Information, claim data, billing volumes, rejection rates, or revenue figures.</w:t>
      </w:r>
    </w:p>
    <w:p>
      <w:pPr>
        <w:pStyle w:val="SubHead"/>
      </w:pPr>
      <w:r>
        <w:t>3.7 Personnel</w:t>
      </w:r>
    </w:p>
    <w:p>
      <w:pPr/>
      <w:r>
        <w:t>Meritum will ensure that all personnel who have access to Health Information in the course of performing services under this Agreement:</w:t>
      </w:r>
    </w:p>
    <w:p>
      <w:pPr>
        <w:pStyle w:val="Indent"/>
      </w:pPr>
      <w:r>
        <w:t>(a) are made aware of and comply with the confidentiality and security requirements of the HIA, the Regulation, and this Agreement;</w:t>
      </w:r>
    </w:p>
    <w:p>
      <w:pPr>
        <w:pStyle w:val="Indent"/>
      </w:pPr>
      <w:r>
        <w:t>(b) are bound by written confidentiality obligations that survive the termination of their engagement with Meritum;</w:t>
      </w:r>
    </w:p>
    <w:p>
      <w:pPr>
        <w:pStyle w:val="Indent"/>
      </w:pPr>
      <w:r>
        <w:t>(c) have their access to Health Information revoked promptly upon the termination of their engagement with Meritum or upon a change in role that no longer requires such access; and</w:t>
      </w:r>
    </w:p>
    <w:p>
      <w:pPr>
        <w:pStyle w:val="Indent"/>
      </w:pPr>
      <w:r>
        <w:t>(d) access Health Information only from within Canada, unless the Custodian is notified in advance and consents in writing to access from outside Canada.</w:t>
      </w:r>
    </w:p>
    <w:p>
      <w:pPr>
        <w:pStyle w:val="SubHead"/>
      </w:pPr>
      <w:r>
        <w:t>3.8 Canadian Data Residency</w:t>
      </w:r>
    </w:p>
    <w:p>
      <w:pPr/>
      <w:r>
        <w:t>All Health Information processed, stored, or backed up by Meritum under this Agreement is held within Canada. Meritum’s hosting infrastructure for the Platform is provided by DigitalOcean LLC in its Toronto (tor1) data centre region. No Health Information will be transferred to, processed in, stored in, or backed up in any jurisdiction outside Canada at any point in the processing chain. For the purposes of this section, “processing” includes transient processing, remote administrative access, caching, and any other operation performed on or in relation to Health Information.</w:t>
      </w:r>
    </w:p>
    <w:p>
      <w:pPr>
        <w:pStyle w:val="SubHead"/>
      </w:pPr>
      <w:r>
        <w:t>3.9 Assistance with Access Requests</w:t>
      </w:r>
    </w:p>
    <w:p>
      <w:pPr/>
      <w:r>
        <w:t>If the Custodian receives a request from an individual to access their Health Information under Part 2 of the HIA, and the requested Health Information is held by Meritum, Meritum will provide reasonable assistance to the Custodian in responding to the request. This includes making the requested Health Information available to the Custodian in a timely manner, and in any event within a timeframe that allows the Custodian to respond within the periods prescribed by the HIA.</w:t>
      </w:r>
    </w:p>
    <w:p>
      <w:pPr>
        <w:pStyle w:val="SubHead"/>
      </w:pPr>
      <w:r>
        <w:t>3.10 Assistance with Correction Requests</w:t>
      </w:r>
    </w:p>
    <w:p>
      <w:pPr/>
      <w:r>
        <w:t>If the Custodian receives a request from an individual to correct their Health Information under section 13 of the HIA, and the Health Information to be corrected is held by Meritum, Meritum will implement the correction as directed by the Custodian within a reasonable time.</w:t>
      </w:r>
    </w:p>
    <w:p>
      <w:pPr>
        <w:pStyle w:val="SubHead"/>
      </w:pPr>
      <w:r>
        <w:t>3.11 Privacy Impact Assessments</w:t>
      </w:r>
    </w:p>
    <w:p>
      <w:pPr/>
      <w:r>
        <w:t>The Custodian acknowledges that section 64 of the HIA may require the Custodian to submit a PIA to the OIPC in connection with the Custodian’s adoption of the Platform. Meritum will support the Custodian’s PIA process by providing, on request, technical and operational information about the Platform that is reasonably necessary for the Custodian to prepare and submit a PIA. Meritum maintains its own PIA for the Platform, a summary of which is available to the Custodian on request.</w:t>
      </w:r>
    </w:p>
    <w:p>
      <w:pPr>
        <w:pStyle w:val="SubHead"/>
      </w:pPr>
      <w:r>
        <w:t>3.12 Retention</w:t>
      </w:r>
    </w:p>
    <w:p>
      <w:pPr/>
      <w:r>
        <w:t>Meritum will retain Health Information for the duration of the Custodian’s active subscription to the Platform and for the data export period described in section 8.3. The Custodian is responsible for ensuring that their use of the Platform, including data export and external archiving, satisfies the Custodian’s own retention obligations under applicable law and professional standards, including the College of Physicians and Surgeons of Alberta standards of practice.</w:t>
      </w:r>
    </w:p>
    <w:p>
      <w:pPr>
        <w:pStyle w:val="SubHead"/>
      </w:pPr>
      <w:r>
        <w:t>3.13 Rules Engine Maintenance</w:t>
      </w:r>
    </w:p>
    <w:p>
      <w:pPr/>
      <w:r>
        <w:t>Meritum will use reasonable efforts to maintain the Rules Engine based on the current published Schedule of Medical Benefits and AHCIP governing rules, and to update the Rules Engine within 30 days following publication of rule changes by Alberta Health. Notwithstanding the foregoing, Meritum is not liable for:</w:t>
      </w:r>
    </w:p>
    <w:p>
      <w:pPr>
        <w:pStyle w:val="Indent"/>
      </w:pPr>
      <w:r>
        <w:t>(a) claims submitted during the period between Alberta Health publishing a rule change and Meritum updating the Rules Engine to reflect that change;</w:t>
      </w:r>
    </w:p>
    <w:p>
      <w:pPr>
        <w:pStyle w:val="Indent"/>
      </w:pPr>
      <w:r>
        <w:t>(b) edge cases or interpretive ambiguities where Alberta Health’s assessment of a claim differs from the published rules as reasonably understood by Meritum at the time of validation; or</w:t>
      </w:r>
    </w:p>
    <w:p>
      <w:pPr>
        <w:pStyle w:val="Indent"/>
      </w:pPr>
      <w:r>
        <w:t>(c) claim errors arising from inaccurate or incomplete information entered by the Custodian, as the Rules Engine can only validate against the information provided to it.</w:t>
      </w:r>
    </w:p>
    <w:p>
      <w:pPr/>
      <w:r>
        <w:t>The Custodian retains final responsibility for reviewing and authorising each claim before submission. The Rules Engine flags issues and validates against known rules; it does not replace the Custodian’s professional judgment.</w:t>
      </w:r>
    </w:p>
    <w:p>
      <w:pPr>
        <w:pStyle w:val="SubHead"/>
      </w:pPr>
      <w:r>
        <w:t>3.14 Advice Engine Disclaimer</w:t>
      </w:r>
    </w:p>
    <w:p>
      <w:pPr/>
      <w:r>
        <w:t>The Advice Engine provides billing optimisation suggestions based on the Custodian’s billing patterns and applicable governing rules. These suggestions are informational only and do not constitute professional, medical, or legal advice. The Custodian is solely responsible for all billing decisions, including whether to act on any suggestion provided by the Advice Engine. Meritum is not liable for claim outcomes, payment adjustments, clawbacks, penalties, or any other consequences arising from the Custodian’s decision to follow or not follow an Advice Engine suggestion.</w:t>
      </w:r>
    </w:p>
    <w:p>
      <w:pPr>
        <w:pStyle w:val="SectionHead"/>
      </w:pPr>
      <w:r>
        <w:t>4. Safeguards</w:t>
      </w:r>
    </w:p>
    <w:p>
      <w:pPr>
        <w:pStyle w:val="SubHead"/>
      </w:pPr>
      <w:r>
        <w:t>4.1 General Obligation</w:t>
      </w:r>
    </w:p>
    <w:p>
      <w:pPr/>
      <w:r>
        <w:t>Meritum will protect Health Information in its custody or control by making reasonable security arrangements against such risks as unauthorised access, collection, use, disclosure, copying, modification, disposal, or destruction, in accordance with sections 60, 62, 63, and 64 of the HIA.</w:t>
      </w:r>
    </w:p>
    <w:p>
      <w:pPr>
        <w:pStyle w:val="SubHead"/>
      </w:pPr>
      <w:r>
        <w:t>4.2 Administrative Safeguards</w:t>
      </w:r>
    </w:p>
    <w:p>
      <w:pPr/>
      <w:r>
        <w:t>Meritum maintains, at a minimum, the following administrative safeguards:</w:t>
      </w:r>
    </w:p>
    <w:p>
      <w:pPr>
        <w:pStyle w:val="Indent"/>
      </w:pPr>
      <w:r>
        <w:t>(a) written policies and procedures governing the collection, use, disclosure, storage, and destruction of Health Information;</w:t>
      </w:r>
    </w:p>
    <w:p>
      <w:pPr>
        <w:pStyle w:val="Indent"/>
      </w:pPr>
      <w:r>
        <w:t>(b) role-based access controls that restrict access to Health Information to personnel who require access to perform their duties;</w:t>
      </w:r>
    </w:p>
    <w:p>
      <w:pPr>
        <w:pStyle w:val="Indent"/>
      </w:pPr>
      <w:r>
        <w:t>(c) written confidentiality obligations for all personnel with access to Health Information;</w:t>
      </w:r>
    </w:p>
    <w:p>
      <w:pPr>
        <w:pStyle w:val="Indent"/>
      </w:pPr>
      <w:r>
        <w:t>(d) regular review of access permissions and security policies, no less frequently than annually;</w:t>
      </w:r>
    </w:p>
    <w:p>
      <w:pPr>
        <w:pStyle w:val="Indent"/>
      </w:pPr>
      <w:r>
        <w:t>(e) training for personnel on privacy and security obligations under the HIA; and</w:t>
      </w:r>
    </w:p>
    <w:p>
      <w:pPr>
        <w:pStyle w:val="Indent"/>
      </w:pPr>
      <w:r>
        <w:t>(f) a documented incident response plan covering detection, containment, forensic investigation, notification, and post-incident review.</w:t>
      </w:r>
    </w:p>
    <w:p>
      <w:pPr>
        <w:pStyle w:val="SubHead"/>
      </w:pPr>
      <w:r>
        <w:t>4.3 Technical Safeguards</w:t>
      </w:r>
    </w:p>
    <w:p>
      <w:pPr/>
      <w:r>
        <w:t>Meritum maintains, at a minimum, the following technical safeguards:</w:t>
      </w:r>
    </w:p>
    <w:p>
      <w:pPr>
        <w:pStyle w:val="Indent"/>
      </w:pPr>
      <w:r>
        <w:t>(a) industry-standard encryption of Health Information at rest and in transit;</w:t>
      </w:r>
    </w:p>
    <w:p>
      <w:pPr>
        <w:pStyle w:val="Indent"/>
      </w:pPr>
      <w:r>
        <w:t>(b) multi-factor authentication for all administrative and privileged access to systems that process or store Health Information;</w:t>
      </w:r>
    </w:p>
    <w:p>
      <w:pPr>
        <w:pStyle w:val="Indent"/>
      </w:pPr>
      <w:r>
        <w:t>(c) authentication mechanisms for all Platform access by Custodians and Delegates;</w:t>
      </w:r>
    </w:p>
    <w:p>
      <w:pPr>
        <w:pStyle w:val="Indent"/>
      </w:pPr>
      <w:r>
        <w:t>(d) audit logging of access to and actions performed on Health Information;</w:t>
      </w:r>
    </w:p>
    <w:p>
      <w:pPr>
        <w:pStyle w:val="Indent"/>
      </w:pPr>
      <w:r>
        <w:t>(e) intrusion detection and monitoring;</w:t>
      </w:r>
    </w:p>
    <w:p>
      <w:pPr>
        <w:pStyle w:val="Indent"/>
      </w:pPr>
      <w:r>
        <w:t>(f) regular security assessments, including an annual independent third-party security assessment, a summary of which is available to the Custodian on request;</w:t>
      </w:r>
    </w:p>
    <w:p>
      <w:pPr>
        <w:pStyle w:val="Indent"/>
      </w:pPr>
      <w:r>
        <w:t>(g) vulnerability management and timely application of security patches; and</w:t>
      </w:r>
    </w:p>
    <w:p>
      <w:pPr>
        <w:pStyle w:val="Indent"/>
      </w:pPr>
      <w:r>
        <w:t>(h) secure backup and disaster recovery systems located within Canada.</w:t>
      </w:r>
    </w:p>
    <w:p>
      <w:pPr>
        <w:pStyle w:val="SubHead"/>
      </w:pPr>
      <w:r>
        <w:t>4.4 Physical Safeguards</w:t>
      </w:r>
    </w:p>
    <w:p>
      <w:pPr/>
      <w:r>
        <w:t>Meritum’s hosting infrastructure provider (DigitalOcean LLC) maintains physical safeguards at its Toronto data centre, including controlled physical access, environmental controls, and continuous monitoring. Meritum does not maintain physical copies of Health Information outside of its hosted infrastructure.</w:t>
      </w:r>
    </w:p>
    <w:p>
      <w:pPr>
        <w:pStyle w:val="SubHead"/>
      </w:pPr>
      <w:r>
        <w:t>4.5 Insurance</w:t>
      </w:r>
    </w:p>
    <w:p>
      <w:pPr/>
      <w:r>
        <w:t>Meritum maintains cyber liability and errors and omissions insurance coverage that meets or exceeds industry standards for health information processors of comparable nature and volume. Details of Meritum’s insurance coverage are available to the Custodian on request.</w:t>
      </w:r>
    </w:p>
    <w:p>
      <w:pPr>
        <w:pStyle w:val="SectionHead"/>
      </w:pPr>
      <w:r>
        <w:t>5. Sub-processors</w:t>
      </w:r>
    </w:p>
    <w:p>
      <w:pPr>
        <w:pStyle w:val="SubHead"/>
      </w:pPr>
      <w:r>
        <w:t>5.1 Current Sub-processors</w:t>
      </w:r>
    </w:p>
    <w:p>
      <w:pPr/>
      <w:r>
        <w:t>As of the effective date of this Agreement, Meritum uses the following sub-processors that may process, store, or have access to Health Information in the course of providing the Platform services:</w:t>
      </w:r>
    </w:p>
    <w:p>
      <w:pPr/>
      <w:r>
        <w:t>DigitalOcean LLC: hosting infrastructure provider. DigitalOcean processes Health Information as a sub-processor under Meritum’s control. All Health Information hosted by DigitalOcean is stored in its Toronto (tor1) data centre region within Canada. Full details are set out in Schedule A.</w:t>
      </w:r>
    </w:p>
    <w:p>
      <w:pPr/>
      <w:r>
        <w:t>All application services, including email delivery, error monitoring, log aggregation, and DNS resolution, are self-hosted within Meritum’s DigitalOcean infrastructure and do not involve third-party sub-processors with access to Health Information.</w:t>
      </w:r>
    </w:p>
    <w:p>
      <w:pPr>
        <w:pStyle w:val="SubHead"/>
      </w:pPr>
      <w:r>
        <w:t>5.2 Sub-processors That Do Not Process Health Information</w:t>
      </w:r>
    </w:p>
    <w:p>
      <w:pPr/>
      <w:r>
        <w:t>The following service providers are used by Meritum but do not process, access, or store Health Information:</w:t>
      </w:r>
    </w:p>
    <w:p>
      <w:pPr/>
      <w:r>
        <w:t>Stripe, Inc.: payment processing. Stripe processes payment card data for the Custodian’s subscription. Meritum does not transmit Health Information to Stripe, and Stripe does not have access to Health Information held by Meritum.</w:t>
      </w:r>
    </w:p>
    <w:p>
      <w:pPr>
        <w:pStyle w:val="SubHead"/>
      </w:pPr>
      <w:r>
        <w:t>5.3 New Sub-processors</w:t>
      </w:r>
    </w:p>
    <w:p>
      <w:pPr/>
      <w:r>
        <w:t>If Meritum engages a new sub-processor that will process, store, or have access to Health Information, Meritum will provide the Custodian with at least 30 days’ written notice before the new sub-processor begins processing Health Information. The notice will identify the sub-processor, describe the processing to be performed, and confirm the location where Health Information will be processed and stored.</w:t>
      </w:r>
    </w:p>
    <w:p>
      <w:pPr/>
      <w:r>
        <w:t>If the Custodian objects to a new sub-processor within the 30-day notice period, the Custodian may terminate this Agreement in accordance with section 8, without penalty. If the Custodian does not object within the 30-day notice period, the Custodian is deemed to have accepted the new sub-processor.</w:t>
      </w:r>
    </w:p>
    <w:p>
      <w:pPr>
        <w:pStyle w:val="SubHead"/>
      </w:pPr>
      <w:r>
        <w:t>5.4 Sub-processor Obligations</w:t>
      </w:r>
    </w:p>
    <w:p>
      <w:pPr/>
      <w:r>
        <w:t>Meritum will ensure that any sub-processor that processes Health Information is bound by written obligations that are no less protective than the requirements of this Agreement and the HIA, including obligations relating to confidentiality, security safeguards, and Canadian data residency.</w:t>
      </w:r>
    </w:p>
    <w:p>
      <w:pPr>
        <w:pStyle w:val="SectionHead"/>
      </w:pPr>
      <w:r>
        <w:t>6. Breach Notification</w:t>
      </w:r>
    </w:p>
    <w:p>
      <w:pPr>
        <w:pStyle w:val="SubHead"/>
      </w:pPr>
      <w:r>
        <w:t>6.1 Mitigation</w:t>
      </w:r>
    </w:p>
    <w:p>
      <w:pPr/>
      <w:r>
        <w:t>If Meritum becomes aware of a Breach, Meritum will take reasonable steps to contain the Breach, mitigate the risk of harm to affected individuals, and prevent further unauthorised access, disclosure, or loss.</w:t>
      </w:r>
    </w:p>
    <w:p>
      <w:pPr>
        <w:pStyle w:val="SubHead"/>
      </w:pPr>
      <w:r>
        <w:t>6.2 Notification to the Custodian</w:t>
      </w:r>
    </w:p>
    <w:p>
      <w:pPr/>
      <w:r>
        <w:t>Meritum will notify the Custodian of a Breach without unreasonable delay following Breach Awareness. Meritum will use best efforts to provide initial notification within 72 hours of Breach Awareness. Where the full details required by section 6.3 are not available at the time of initial notification, Meritum will provide a preliminary notification with such information as is then known, followed by supplementary notification as additional information becomes available.</w:t>
      </w:r>
    </w:p>
    <w:p>
      <w:pPr>
        <w:pStyle w:val="SubHead"/>
      </w:pPr>
      <w:r>
        <w:t>6.3 Content of Notification</w:t>
      </w:r>
    </w:p>
    <w:p>
      <w:pPr/>
      <w:r>
        <w:t>Meritum’s notification to the Custodian will include, to the extent known at the time of notification:</w:t>
      </w:r>
    </w:p>
    <w:p>
      <w:pPr>
        <w:pStyle w:val="Indent"/>
      </w:pPr>
      <w:r>
        <w:t>(a) a description of the Breach, including the date or estimated date of the Breach;</w:t>
      </w:r>
    </w:p>
    <w:p>
      <w:pPr>
        <w:pStyle w:val="Indent"/>
      </w:pPr>
      <w:r>
        <w:t>(b) a description of the Health Information involved in the Breach, and whether it includes Individually Identifying Health Information;</w:t>
      </w:r>
    </w:p>
    <w:p>
      <w:pPr>
        <w:pStyle w:val="Indent"/>
      </w:pPr>
      <w:r>
        <w:t>(c) the number or estimated number of individuals whose Health Information was involved;</w:t>
      </w:r>
    </w:p>
    <w:p>
      <w:pPr>
        <w:pStyle w:val="Indent"/>
      </w:pPr>
      <w:r>
        <w:t>(d) an assessment of the risk of harm to the individuals whose Health Information was involved;</w:t>
      </w:r>
    </w:p>
    <w:p>
      <w:pPr>
        <w:pStyle w:val="Indent"/>
      </w:pPr>
      <w:r>
        <w:t>(e) a description of the steps Meritum has taken or proposes to take to contain the Breach, mitigate the risk of harm, and prevent recurrence; and</w:t>
      </w:r>
    </w:p>
    <w:p>
      <w:pPr>
        <w:pStyle w:val="Indent"/>
      </w:pPr>
      <w:r>
        <w:t>(f) the name and contact information of a person at Meritum who can provide further information about the Breach.</w:t>
      </w:r>
    </w:p>
    <w:p>
      <w:pPr>
        <w:pStyle w:val="SubHead"/>
      </w:pPr>
      <w:r>
        <w:t>6.4 Custodian’s Obligations</w:t>
      </w:r>
    </w:p>
    <w:p>
      <w:pPr/>
      <w:r>
        <w:t>The Custodian remains responsible for determining whether the Breach creates a risk of harm to an individual and for providing notice to affected individuals, the OIPC, and the Minister of Health in accordance with section 60.1 of the HIA and sections 8.1 and 8.2 of the Regulation. Meritum will cooperate with the Custodian in fulfilling these obligations, including by providing additional information about the Breach as it becomes available.</w:t>
      </w:r>
    </w:p>
    <w:p>
      <w:pPr>
        <w:pStyle w:val="SubHead"/>
      </w:pPr>
      <w:r>
        <w:t>6.5 Restriction on Direct Notification</w:t>
      </w:r>
    </w:p>
    <w:p>
      <w:pPr/>
      <w:r>
        <w:t>Meritum will not notify affected individuals directly about a Breach without the Custodian’s prior written consent. The Custodian retains control of all communications with patients regarding a Breach, consistent with the Custodian’s statutory obligations under the HIA.</w:t>
      </w:r>
    </w:p>
    <w:p>
      <w:pPr>
        <w:pStyle w:val="SubHead"/>
      </w:pPr>
      <w:r>
        <w:t>6.6 Evidence Preservation</w:t>
      </w:r>
    </w:p>
    <w:p>
      <w:pPr/>
      <w:r>
        <w:t>Following a Breach, Meritum will preserve all logs, access records, and other forensic evidence related to the Breach for a minimum of 12 months, or until all related investigations, complaints, or legal proceedings are resolved, whichever is later.</w:t>
      </w:r>
    </w:p>
    <w:p>
      <w:pPr>
        <w:pStyle w:val="SubHead"/>
      </w:pPr>
      <w:r>
        <w:t>6.7 Ongoing Updates</w:t>
      </w:r>
    </w:p>
    <w:p>
      <w:pPr/>
      <w:r>
        <w:t>If Meritum becomes aware of additional information about a Breach after its initial notification, Meritum will provide updated information to the Custodian without unreasonable delay.</w:t>
      </w:r>
    </w:p>
    <w:p>
      <w:pPr>
        <w:pStyle w:val="SectionHead"/>
      </w:pPr>
      <w:r>
        <w:t>7. Compliance and Audit</w:t>
      </w:r>
    </w:p>
    <w:p>
      <w:pPr>
        <w:pStyle w:val="SubHead"/>
      </w:pPr>
      <w:r>
        <w:t>7.1 Compliance Documentation</w:t>
      </w:r>
    </w:p>
    <w:p>
      <w:pPr/>
      <w:r>
        <w:t>Meritum will maintain and make available to the Custodian, on request, the following documentation demonstrating compliance with this Agreement and the HIA:</w:t>
      </w:r>
    </w:p>
    <w:p>
      <w:pPr>
        <w:pStyle w:val="Indent"/>
      </w:pPr>
      <w:r>
        <w:t>(a) an annual compliance summary, confirming the status of the safeguards described in section 4;</w:t>
      </w:r>
    </w:p>
    <w:p>
      <w:pPr>
        <w:pStyle w:val="Indent"/>
      </w:pPr>
      <w:r>
        <w:t>(b) a summary of the most recent independent third-party security assessment conducted under section 4.3(f); and</w:t>
      </w:r>
    </w:p>
    <w:p>
      <w:pPr>
        <w:pStyle w:val="Indent"/>
      </w:pPr>
      <w:r>
        <w:t>(c) a summary of the Platform PIA maintained under section 3.11.</w:t>
      </w:r>
    </w:p>
    <w:p>
      <w:pPr>
        <w:pStyle w:val="SubHead"/>
      </w:pPr>
      <w:r>
        <w:t>7.2 Annual Third-Party Assessment</w:t>
      </w:r>
    </w:p>
    <w:p>
      <w:pPr/>
      <w:r>
        <w:t>Meritum’s primary mechanism for demonstrating compliance is the annual independent third-party security assessment described in section 4.3(f). The summary report of this assessment will be made available to all Custodians and constitutes the standard compliance assurance for the Platform. The Custodian acknowledges that individual audits of Meritum’s systems and operations by each Custodian are not practicable given the multi-tenant nature of the Platform, and that the annual third-party assessment, together with the compliance documentation described in section 7.1, provides reasonable assurance of Meritum’s compliance.</w:t>
      </w:r>
    </w:p>
    <w:p>
      <w:pPr>
        <w:pStyle w:val="SubHead"/>
      </w:pPr>
      <w:r>
        <w:t>7.3 Supplementary Information Requests</w:t>
      </w:r>
    </w:p>
    <w:p>
      <w:pPr/>
      <w:r>
        <w:t>If the Custodian has specific compliance concerns that are not addressed by the documentation described in sections 7.1 and 7.2, the Custodian may submit a written request to Meritum for additional information. Meritum will respond to such requests within 30 Business Days and will provide such additional information as is reasonable in the circumstances, taking into account the confidentiality and security of the Platform, the interests of other Custodians, and the nature of the concern raised.</w:t>
      </w:r>
    </w:p>
    <w:p>
      <w:pPr>
        <w:pStyle w:val="SubHead"/>
      </w:pPr>
      <w:r>
        <w:t>7.4 Audit Following a Breach</w:t>
      </w:r>
    </w:p>
    <w:p>
      <w:pPr/>
      <w:r>
        <w:t>Notwithstanding section 7.2, following a Breach that affects the Custodian’s Health Information, the Custodian may request that Meritum commission an independent third-party audit at Meritum’s cost, limited in scope to the circumstances of the Breach and the adequacy of the safeguards and remediation measures. The audit will be conducted by a qualified independent assessor selected by Meritum, and a summary of the audit findings will be provided to the affected Custodian.</w:t>
      </w:r>
    </w:p>
    <w:p>
      <w:pPr>
        <w:pStyle w:val="SubHead"/>
      </w:pPr>
      <w:r>
        <w:t>7.5 OIPC Audit Rights</w:t>
      </w:r>
    </w:p>
    <w:p>
      <w:pPr/>
      <w:r>
        <w:t>The OIPC may, at any time, conduct an investigation or audit of Meritum’s compliance with the HIA and this Agreement, as authorised by section 66(4) of the HIA. Meritum will cooperate fully with any investigation or audit conducted by the OIPC, and will provide access to records, systems, and personnel as reasonably requested, in a manner that minimises disruption to Meritum’s operations and the availability of the Platform to other Custodians.</w:t>
      </w:r>
    </w:p>
    <w:p>
      <w:pPr>
        <w:pStyle w:val="SubHead"/>
      </w:pPr>
      <w:r>
        <w:t>7.6 Custodian’s Continuing Responsibility</w:t>
      </w:r>
    </w:p>
    <w:p>
      <w:pPr/>
      <w:r>
        <w:t>In accordance with section 66(6) of the HIA, the Custodian continues to be responsible for compliance with the HIA and the Regulation in respect of the Health Information provided to Meritum under this Agreement. Nothing in this Agreement transfers the Custodian’s statutory obligations to Meritum.</w:t>
      </w:r>
    </w:p>
    <w:p>
      <w:pPr>
        <w:pStyle w:val="SectionHead"/>
      </w:pPr>
      <w:r>
        <w:t>8. Term and Termination</w:t>
      </w:r>
    </w:p>
    <w:p>
      <w:pPr>
        <w:pStyle w:val="SubHead"/>
      </w:pPr>
      <w:r>
        <w:t>8.1 Term</w:t>
      </w:r>
    </w:p>
    <w:p>
      <w:pPr/>
      <w:r>
        <w:t>This Agreement commences on the date the Custodian accepts it during the Platform onboarding process and continues for the duration of the Custodian’s active subscription to the Platform, including any data export period following cancellation.</w:t>
      </w:r>
    </w:p>
    <w:p>
      <w:pPr>
        <w:pStyle w:val="SubHead"/>
      </w:pPr>
      <w:r>
        <w:t>8.2 Termination</w:t>
      </w:r>
    </w:p>
    <w:p>
      <w:pPr/>
      <w:r>
        <w:t>This Agreement terminates when:</w:t>
      </w:r>
    </w:p>
    <w:p>
      <w:pPr>
        <w:pStyle w:val="Indent"/>
      </w:pPr>
      <w:r>
        <w:t>(a) the Custodian’s subscription to the Platform ends and the data export period described in section 8.3 has elapsed;</w:t>
      </w:r>
    </w:p>
    <w:p>
      <w:pPr>
        <w:pStyle w:val="Indent"/>
      </w:pPr>
      <w:r>
        <w:t>(b) Meritum ceases to provide the Platform services, subject to the advance notice required by section 8.6; or</w:t>
      </w:r>
    </w:p>
    <w:p>
      <w:pPr>
        <w:pStyle w:val="Indent"/>
      </w:pPr>
      <w:r>
        <w:t>(c) either party terminates the Agreement for cause, including a material breach of the Agreement that is not remedied within the applicable cure period described in section 9.</w:t>
      </w:r>
    </w:p>
    <w:p>
      <w:pPr>
        <w:pStyle w:val="SubHead"/>
      </w:pPr>
      <w:r>
        <w:t>8.3 Effect of Termination: Data Export</w:t>
      </w:r>
    </w:p>
    <w:p>
      <w:pPr/>
      <w:r>
        <w:t>On termination of this Agreement, the Custodian may export a complete copy of all Health Information held by Meritum on the Custodian’s behalf at no charge. The export will be provided in a portable, machine-readable format (including, at a minimum, CSV or equivalent delimited format). Meritum will maintain the Custodian’s access to the Platform’s export functionality for 45 days following the end of the Custodian’s subscription.</w:t>
      </w:r>
    </w:p>
    <w:p>
      <w:pPr>
        <w:pStyle w:val="SubHead"/>
      </w:pPr>
      <w:r>
        <w:t>8.4 Effect of Termination: Destruction</w:t>
      </w:r>
    </w:p>
    <w:p>
      <w:pPr/>
      <w:r>
        <w:t>After the data export period described in section 8.3, Meritum will delete all Health Information held on behalf of the Custodian from its active systems. Meritum will remove Health Information from backup systems within 90 days of the end of the export period. Once deletion from all systems is complete, Meritum will provide written confirmation of destruction to the Custodian within 10 Business Days.</w:t>
      </w:r>
    </w:p>
    <w:p>
      <w:pPr>
        <w:pStyle w:val="SubHead"/>
      </w:pPr>
      <w:r>
        <w:t>8.5 Survival</w:t>
      </w:r>
    </w:p>
    <w:p>
      <w:pPr/>
      <w:r>
        <w:t>Sections 4 (Safeguards), 6 (Breach Notification), 7 (Compliance and Audit), and 9.5 (Indemnification) survive termination of this Agreement to the extent that Meritum retains any Health Information, including in backup systems, pending complete deletion.</w:t>
      </w:r>
    </w:p>
    <w:p>
      <w:pPr>
        <w:pStyle w:val="SubHead"/>
      </w:pPr>
      <w:r>
        <w:t>8.6 Cessation of Business</w:t>
      </w:r>
    </w:p>
    <w:p>
      <w:pPr/>
      <w:r>
        <w:t>If Meritum intends to permanently cease providing the Platform services, Meritum will provide all Custodians with at least 90 days’ advance notice. During this notice period, the data export provisions in section 8.3 apply. If Meritum enters receivership, bankruptcy, or becomes subject to insolvency proceedings, Meritum will use reasonable efforts (or will instruct its receiver or trustee) to notify Custodians and to provide a reasonable opportunity for data export before Health Information is disposed of. Meritum will cooperate with the College of Physicians and Surgeons of Alberta or any other regulatory body that assumes custody of abandoned Health Information.</w:t>
      </w:r>
    </w:p>
    <w:p>
      <w:pPr>
        <w:pStyle w:val="SubHead"/>
      </w:pPr>
      <w:r>
        <w:t>8.7 Custodian Incapacity, Death, or Abandonment</w:t>
      </w:r>
    </w:p>
    <w:p>
      <w:pPr/>
      <w:r>
        <w:t>If the Custodian dies, becomes permanently incapacitated, or abandons their practice, the following provisions apply:</w:t>
      </w:r>
    </w:p>
    <w:p>
      <w:pPr>
        <w:pStyle w:val="Indent"/>
      </w:pPr>
      <w:r>
        <w:t>(a) Meritum will continue to hold the Custodian’s Health Information in accordance with this Agreement for a period of 120 days from the date Meritum becomes aware of the event, or such longer period as may be required by the HIA or directed by the OIPC;</w:t>
      </w:r>
    </w:p>
    <w:p>
      <w:pPr>
        <w:pStyle w:val="Indent"/>
      </w:pPr>
      <w:r>
        <w:t>(b) Meritum will cooperate with the Custodian’s personal representative, estate administrator, or the College of Physicians and Surgeons of Alberta to facilitate the orderly transfer or export of Health Information;</w:t>
      </w:r>
    </w:p>
    <w:p>
      <w:pPr>
        <w:pStyle w:val="Indent"/>
      </w:pPr>
      <w:r>
        <w:t>(c) the data export provisions in section 8.3 apply, with the personal representative, estate administrator, or regulatory body acting in place of the Custodian for export purposes; and</w:t>
      </w:r>
    </w:p>
    <w:p>
      <w:pPr>
        <w:pStyle w:val="Indent"/>
      </w:pPr>
      <w:r>
        <w:t>(d) where the data hold period extends beyond 120 days at the direction of the OIPC or by operation of the HIA, Meritum may recover reasonable hosting, storage, and administrative costs incurred during the extended period from the Custodian’s estate, personal representative, or successor, or may apply to the OIPC for direction on cost recovery.</w:t>
      </w:r>
    </w:p>
    <w:p>
      <w:pPr>
        <w:pStyle w:val="SectionHead"/>
      </w:pPr>
      <w:r>
        <w:t>9. Remedies</w:t>
      </w:r>
    </w:p>
    <w:p>
      <w:pPr>
        <w:pStyle w:val="SubHead"/>
      </w:pPr>
      <w:r>
        <w:t>9.1 Non-compliance</w:t>
      </w:r>
    </w:p>
    <w:p>
      <w:pPr/>
      <w:r>
        <w:t>If either party becomes aware of a breach of or non-compliance with this Agreement, that party will notify the other party promptly in writing.</w:t>
      </w:r>
    </w:p>
    <w:p>
      <w:pPr>
        <w:pStyle w:val="Indent"/>
      </w:pPr>
      <w:r>
        <w:t>(a) Urgent non-compliance. If the non-compliance creates an ongoing risk to the security or confidentiality of Health Information, the non-compliant party will take immediate steps to mitigate the risk and will remedy the non-compliance as soon as practicable.</w:t>
      </w:r>
    </w:p>
    <w:p>
      <w:pPr>
        <w:pStyle w:val="Indent"/>
      </w:pPr>
      <w:r>
        <w:t>(b) Other non-compliance. For non-compliance that does not create an ongoing risk, the non-compliant party will take reasonable steps to remedy the non-compliance within 30 days of receiving notice, or within such other period as the parties agree in writing.</w:t>
      </w:r>
    </w:p>
    <w:p>
      <w:pPr>
        <w:pStyle w:val="SubHead"/>
      </w:pPr>
      <w:r>
        <w:t>9.2 Suspension</w:t>
      </w:r>
    </w:p>
    <w:p>
      <w:pPr/>
      <w:r>
        <w:t>If Meritum determines, acting reasonably, that the Custodian or a Delegate is using the Platform in a manner that creates a material risk to the security or confidentiality of Health Information, Meritum may restrict access to the Platform or specific functionality to the extent necessary to address the risk. Meritum will notify the Custodian as soon as practicable of the nature of the risk and the restriction imposed, will work with the Custodian to resolve the issue and restore full access promptly, and will preserve the Custodian’s ability to export their Health Information during the period of restriction.</w:t>
      </w:r>
    </w:p>
    <w:p>
      <w:pPr>
        <w:pStyle w:val="SubHead"/>
      </w:pPr>
      <w:r>
        <w:t>9.3 Security Remediation</w:t>
      </w:r>
    </w:p>
    <w:p>
      <w:pPr/>
      <w:r>
        <w:t>If Meritum identifies a vulnerability in the Platform that requires taking the Platform or any component of it offline, or restricting functionality, to protect Health Information, Meritum will notify affected Custodians as soon as practicable and will restore full service as quickly as the circumstances allow. Meritum will provide Custodians with an explanation of the issue and a timeline for resolution, and will make reasonable efforts to schedule planned downtime outside of the submission window.</w:t>
      </w:r>
    </w:p>
    <w:p>
      <w:pPr>
        <w:pStyle w:val="SubHead"/>
      </w:pPr>
      <w:r>
        <w:t>9.4 Termination for Cause</w:t>
      </w:r>
    </w:p>
    <w:p>
      <w:pPr/>
      <w:r>
        <w:t>If a breach of this Agreement is not remedied within the applicable period described in section 9.1 (or within such other period as the parties agree), the non-breaching party may terminate this Agreement immediately by written notice. Termination for cause does not affect any rights or obligations that accrued before termination, and the data export provisions in section 8.3 continue to apply.</w:t>
      </w:r>
    </w:p>
    <w:p>
      <w:pPr>
        <w:pStyle w:val="SubHead"/>
      </w:pPr>
      <w:r>
        <w:t>9.5 Indemnification</w:t>
      </w:r>
    </w:p>
    <w:p>
      <w:pPr>
        <w:pStyle w:val="Indent"/>
      </w:pPr>
      <w:r>
        <w:rPr>
          <w:b/>
          <w:i w:val="0"/>
        </w:rPr>
        <w:t xml:space="preserve">(a) Meritum’s indemnity. </w:t>
      </w:r>
      <w:r>
        <w:rPr>
          <w:b w:val="0"/>
          <w:i w:val="0"/>
        </w:rPr>
        <w:t>Meritum will indemnify the Custodian against direct losses, costs, and expenses (including reasonable legal fees) that the Custodian incurs as a direct result of Meritum’s breach of this Agreement or non-compliance with the HIA in respect of Health Information processed under this Agreement, except to the extent that the loss arises from:</w:t>
      </w:r>
    </w:p>
    <w:p>
      <w:pPr>
        <w:pStyle w:val="Indent2"/>
      </w:pPr>
      <w:r>
        <w:t>(i) the Custodian’s own breach of this Agreement or the HIA;</w:t>
      </w:r>
    </w:p>
    <w:p>
      <w:pPr>
        <w:pStyle w:val="Indent2"/>
      </w:pPr>
      <w:r>
        <w:t>(ii) Health Information that was inaccurate when provided by the Custodian to Meritum; or</w:t>
      </w:r>
    </w:p>
    <w:p>
      <w:pPr>
        <w:pStyle w:val="Indent2"/>
      </w:pPr>
      <w:r>
        <w:t>(iii) actions taken by a Delegate within the permissions configured by the Custodian, provided that Meritum implemented the permission controls configured by the Custodian as intended.</w:t>
      </w:r>
    </w:p>
    <w:p>
      <w:pPr>
        <w:pStyle w:val="Indent"/>
      </w:pPr>
      <w:r>
        <w:rPr>
          <w:b/>
          <w:i w:val="0"/>
        </w:rPr>
        <w:t xml:space="preserve">(b) Custodian’s indemnity. </w:t>
      </w:r>
      <w:r>
        <w:rPr>
          <w:b w:val="0"/>
          <w:i w:val="0"/>
        </w:rPr>
        <w:t>The Custodian will indemnify Meritum against direct losses, costs, and expenses (including reasonable legal fees) that Meritum incurs as a direct result of the Custodian’s breach of this Agreement or the HIA, including the Custodian’s collection or input of Health Information that the Custodian was not authorised to collect under the HIA, or the Custodian’s granting of Delegate access in a manner that is inconsistent with the HIA.</w:t>
      </w:r>
    </w:p>
    <w:p>
      <w:pPr>
        <w:pStyle w:val="Indent"/>
      </w:pPr>
      <w:r>
        <w:rPr>
          <w:b/>
          <w:i w:val="0"/>
        </w:rPr>
        <w:t xml:space="preserve">(c) Per-Custodian limitation. </w:t>
      </w:r>
      <w:r>
        <w:rPr>
          <w:b w:val="0"/>
          <w:i w:val="0"/>
        </w:rPr>
        <w:t>Meritum’s total liability to any individual Custodian under this section in respect of all claims arising in any 12-month period will not exceed the total fees paid by that Custodian to Meritum in the 12 months immediately preceding the first event giving rise to a claim.</w:t>
      </w:r>
    </w:p>
    <w:p>
      <w:pPr>
        <w:pStyle w:val="Indent"/>
      </w:pPr>
      <w:r>
        <w:rPr>
          <w:b/>
          <w:i w:val="0"/>
        </w:rPr>
        <w:t xml:space="preserve">(d) Aggregate limitation. </w:t>
      </w:r>
      <w:r>
        <w:rPr>
          <w:b w:val="0"/>
          <w:i w:val="0"/>
        </w:rPr>
        <w:t>Meritum’s total aggregate liability to all Custodians under this section in respect of all claims arising in any 12-month period will not exceed $2,000,000 CAD.</w:t>
      </w:r>
    </w:p>
    <w:p>
      <w:pPr>
        <w:pStyle w:val="Indent"/>
      </w:pPr>
      <w:r>
        <w:rPr>
          <w:b/>
          <w:i w:val="0"/>
        </w:rPr>
        <w:t xml:space="preserve">(e) Statutory floor. </w:t>
      </w:r>
      <w:r>
        <w:rPr>
          <w:b w:val="0"/>
          <w:i w:val="0"/>
        </w:rPr>
        <w:t>Nothing in this section limits either party’s liability for obligations that cannot be limited under applicable law, including obligations under the HIA.</w:t>
      </w:r>
    </w:p>
    <w:p>
      <w:pPr>
        <w:pStyle w:val="SubHead"/>
      </w:pPr>
      <w:r>
        <w:t>9.6 Dispute Escalation</w:t>
      </w:r>
    </w:p>
    <w:p>
      <w:pPr/>
      <w:r>
        <w:t>Before either party initiates legal proceedings in respect of a dispute arising under this Agreement (other than urgent interlocutory relief), the parties will attempt to resolve the dispute through the following process:</w:t>
      </w:r>
    </w:p>
    <w:p>
      <w:pPr>
        <w:pStyle w:val="Indent"/>
      </w:pPr>
      <w:r>
        <w:t>(a) a written statement of the dispute delivered by one party to the other, including the relevant facts and the resolution sought;</w:t>
      </w:r>
    </w:p>
    <w:p>
      <w:pPr>
        <w:pStyle w:val="Indent"/>
      </w:pPr>
      <w:r>
        <w:t>(b) a good-faith discussion between a representative of each party within 14 days of receipt of the statement; and</w:t>
      </w:r>
    </w:p>
    <w:p>
      <w:pPr>
        <w:pStyle w:val="Indent"/>
      </w:pPr>
      <w:r>
        <w:t>(c) if the dispute is not resolved within 30 days of the initial statement, either party may pursue the remedies available under this Agreement or at law.</w:t>
      </w:r>
    </w:p>
    <w:p>
      <w:pPr/>
      <w:r>
        <w:t>This section does not prevent either party from filing a complaint with the OIPC at any time.</w:t>
      </w:r>
    </w:p>
    <w:p>
      <w:pPr>
        <w:pStyle w:val="SectionHead"/>
      </w:pPr>
      <w:r>
        <w:t>10. Representations and Warranties</w:t>
      </w:r>
    </w:p>
    <w:p>
      <w:pPr>
        <w:pStyle w:val="SubHead"/>
      </w:pPr>
      <w:r>
        <w:t>10.1 Meritum’s Representations</w:t>
      </w:r>
    </w:p>
    <w:p>
      <w:pPr/>
      <w:r>
        <w:t>Meritum represents and warrants to the Custodian that:</w:t>
      </w:r>
    </w:p>
    <w:p>
      <w:pPr>
        <w:pStyle w:val="Indent"/>
      </w:pPr>
      <w:r>
        <w:t>(a) Meritum has the technical capability and organisational measures necessary to perform its obligations under this Agreement;</w:t>
      </w:r>
    </w:p>
    <w:p>
      <w:pPr>
        <w:pStyle w:val="Indent"/>
      </w:pPr>
      <w:r>
        <w:t>(b) Meritum has the legal authority to enter into this Agreement and to perform its obligations hereunder;</w:t>
      </w:r>
    </w:p>
    <w:p>
      <w:pPr>
        <w:pStyle w:val="Indent"/>
      </w:pPr>
      <w:r>
        <w:t>(c) the performance of Meritum’s obligations under this Agreement does not conflict with any other agreement or obligation to which Meritum is bound; and</w:t>
      </w:r>
    </w:p>
    <w:p>
      <w:pPr>
        <w:pStyle w:val="Indent"/>
      </w:pPr>
      <w:r>
        <w:t>(d) Meritum maintains the safeguards and insurance coverage described in sections 4 and 4.5.</w:t>
      </w:r>
    </w:p>
    <w:p>
      <w:pPr>
        <w:pStyle w:val="SubHead"/>
      </w:pPr>
      <w:r>
        <w:t>10.2 Custodian’s Representations</w:t>
      </w:r>
    </w:p>
    <w:p>
      <w:pPr/>
      <w:r>
        <w:t>The Custodian represents and warrants to Meritum that:</w:t>
      </w:r>
    </w:p>
    <w:p>
      <w:pPr>
        <w:pStyle w:val="Indent"/>
      </w:pPr>
      <w:r>
        <w:t>(a) the Custodian is a custodian of health information as defined in section 1(1)(f) of the HIA and has the authority to enter into this Agreement;</w:t>
      </w:r>
    </w:p>
    <w:p>
      <w:pPr>
        <w:pStyle w:val="Indent"/>
      </w:pPr>
      <w:r>
        <w:t>(b) all Health Information provided to Meritum has been collected by the Custodian in accordance with the HIA; and</w:t>
      </w:r>
    </w:p>
    <w:p>
      <w:pPr>
        <w:pStyle w:val="Indent"/>
      </w:pPr>
      <w:r>
        <w:t>(c) the Custodian has obtained any consents or authorisations required by the HIA in connection with the provision of Health Information to Meritum under this Agreement.</w:t>
      </w:r>
    </w:p>
    <w:p>
      <w:pPr>
        <w:pStyle w:val="SectionHead"/>
      </w:pPr>
      <w:r>
        <w:t>11. General Provisions</w:t>
      </w:r>
    </w:p>
    <w:p>
      <w:pPr>
        <w:pStyle w:val="SubHead"/>
      </w:pPr>
      <w:r>
        <w:t>11.1 Governing Law</w:t>
      </w:r>
    </w:p>
    <w:p>
      <w:pPr/>
      <w:r>
        <w:t>This Agreement is governed by the laws of the Province of Alberta and the laws of Canada applicable therein. The courts of Alberta have exclusive jurisdiction over any dispute arising under or in connection with this Agreement.</w:t>
      </w:r>
    </w:p>
    <w:p>
      <w:pPr>
        <w:pStyle w:val="SubHead"/>
      </w:pPr>
      <w:r>
        <w:t>11.2 Conflict with Terms of Service</w:t>
      </w:r>
    </w:p>
    <w:p>
      <w:pPr/>
      <w:r>
        <w:t>This Agreement operates alongside the Meritum Terms of Service, Privacy Policy, and Acceptable Use Policy. In the event of any conflict between this Agreement and any other agreement between the parties with respect to the handling of Health Information, this Agreement governs.</w:t>
      </w:r>
    </w:p>
    <w:p>
      <w:pPr>
        <w:pStyle w:val="SubHead"/>
      </w:pPr>
      <w:r>
        <w:t>11.3 Amendments</w:t>
      </w:r>
    </w:p>
    <w:p>
      <w:pPr>
        <w:pStyle w:val="Indent"/>
      </w:pPr>
      <w:r>
        <w:rPr>
          <w:b/>
          <w:i w:val="0"/>
        </w:rPr>
        <w:t xml:space="preserve">(a) Non-material amendments. </w:t>
      </w:r>
      <w:r>
        <w:rPr>
          <w:b w:val="0"/>
          <w:i w:val="0"/>
        </w:rPr>
        <w:t>Meritum may make non-material amendments to this Agreement (such as corrections to contact details, formatting changes, updated section references, or clarifications that do not alter the substance of any obligation) by providing the Custodian with at least 30 days’ written notice. The Custodian will be required to acknowledge the non-material amendment through the Platform before continuing to use the Platform after the effective date of the amendment.</w:t>
      </w:r>
    </w:p>
    <w:p>
      <w:pPr>
        <w:pStyle w:val="Indent"/>
      </w:pPr>
      <w:r>
        <w:rPr>
          <w:b/>
          <w:i w:val="0"/>
        </w:rPr>
        <w:t xml:space="preserve">(b) Material amendments. </w:t>
      </w:r>
      <w:r>
        <w:rPr>
          <w:b w:val="0"/>
          <w:i w:val="0"/>
        </w:rPr>
        <w:t>An amendment is material if it changes the scope of processing described in section 2.2; alters or reduces the safeguards described in section 4; modifies the Canadian data residency commitment in section 3.8; adds a new category of sub-processor under section 5; changes the data export or destruction provisions in section 8; or otherwise materially affects the Custodian’s rights or Meritum’s obligations under this Agreement. In the event of a dispute about whether an amendment is material, the amendment will be treated as material. Material amendments require the Custodian’s affirmative consent, which Meritum will request through the Platform or by email. The Custodian will have at least 60 days from the date of notice to accept or reject the amendment.</w:t>
      </w:r>
    </w:p>
    <w:p>
      <w:pPr>
        <w:pStyle w:val="Indent"/>
      </w:pPr>
      <w:r>
        <w:rPr>
          <w:b/>
          <w:i w:val="0"/>
        </w:rPr>
        <w:t xml:space="preserve">(c) Rejection of material amendments. </w:t>
      </w:r>
      <w:r>
        <w:rPr>
          <w:b w:val="0"/>
          <w:i w:val="0"/>
        </w:rPr>
        <w:t>If the Custodian does not accept a material amendment within the 60-day notice period, the existing terms of this Agreement continue to apply to the Custodian’s subscription. If Meritum determines that it cannot continue to provide the Platform services under the existing terms, Meritum may terminate this Agreement by providing the Custodian with at least 90 days’ further notice. The 45-day data export period described in section 8.3 begins after the 90-day notice period has elapsed.</w:t>
      </w:r>
    </w:p>
    <w:p>
      <w:pPr>
        <w:pStyle w:val="Indent"/>
      </w:pPr>
      <w:r>
        <w:rPr>
          <w:b/>
          <w:i w:val="0"/>
        </w:rPr>
        <w:t xml:space="preserve">(d) Statutory floor. </w:t>
      </w:r>
      <w:r>
        <w:rPr>
          <w:b w:val="0"/>
          <w:i w:val="0"/>
        </w:rPr>
        <w:t>No amendment to this Agreement may reduce the obligations, safeguards, or protections below the minimum requirements of the HIA and the Regulation. Any amendment that purports to do so is void to the extent of the inconsistency.</w:t>
      </w:r>
    </w:p>
    <w:p>
      <w:pPr>
        <w:pStyle w:val="SubHead"/>
      </w:pPr>
      <w:r>
        <w:t>11.4 Assignment and Change of Control</w:t>
      </w:r>
    </w:p>
    <w:p>
      <w:pPr>
        <w:pStyle w:val="Indent"/>
      </w:pPr>
      <w:r>
        <w:rPr>
          <w:b/>
          <w:i w:val="0"/>
        </w:rPr>
        <w:t xml:space="preserve">(a) Assignment by Meritum. </w:t>
      </w:r>
      <w:r>
        <w:rPr>
          <w:b w:val="0"/>
          <w:i w:val="0"/>
        </w:rPr>
        <w:t>Meritum may not assign its obligations under this Agreement to a third party without the Custodian’s written consent.</w:t>
      </w:r>
    </w:p>
    <w:p>
      <w:pPr>
        <w:pStyle w:val="Indent"/>
      </w:pPr>
      <w:r>
        <w:rPr>
          <w:b/>
          <w:i w:val="0"/>
        </w:rPr>
        <w:t xml:space="preserve">(b) Change of Control. </w:t>
      </w:r>
      <w:r>
        <w:rPr>
          <w:b w:val="0"/>
          <w:i w:val="0"/>
        </w:rPr>
        <w:t>In the event of a Change of Control, Meritum will provide the Custodian with written notice at least 30 days before the Change of Control takes effect, or as soon as Meritum is legally permitted to do so if earlier notice is restricted by law or the terms of the transaction. The notice will identify the acquiring entity and confirm whether the acquiring entity will assume the obligations of this Agreement.</w:t>
      </w:r>
    </w:p>
    <w:p>
      <w:pPr>
        <w:pStyle w:val="Indent"/>
      </w:pPr>
      <w:r>
        <w:rPr>
          <w:b/>
          <w:i w:val="0"/>
        </w:rPr>
        <w:t xml:space="preserve">(c) Conditions on Change of Control. </w:t>
      </w:r>
      <w:r>
        <w:rPr>
          <w:b w:val="0"/>
          <w:i w:val="0"/>
        </w:rPr>
        <w:t>On a Change of Control, the acquiring entity must:</w:t>
      </w:r>
    </w:p>
    <w:p>
      <w:pPr>
        <w:pStyle w:val="Indent2"/>
      </w:pPr>
      <w:r>
        <w:t>(i) assume all of Meritum’s obligations under this Agreement in writing;</w:t>
      </w:r>
    </w:p>
    <w:p>
      <w:pPr>
        <w:pStyle w:val="Indent2"/>
      </w:pPr>
      <w:r>
        <w:t>(ii) maintain the Canadian data residency commitment described in section 3.8; and</w:t>
      </w:r>
    </w:p>
    <w:p>
      <w:pPr>
        <w:pStyle w:val="Indent2"/>
      </w:pPr>
      <w:r>
        <w:t>(iii) maintain safeguards that are at least equivalent to those described in section 4.</w:t>
      </w:r>
    </w:p>
    <w:p>
      <w:pPr>
        <w:pStyle w:val="Indent"/>
      </w:pPr>
      <w:r>
        <w:rPr>
          <w:b/>
          <w:i w:val="0"/>
        </w:rPr>
        <w:t xml:space="preserve">(d) Custodian’s right to terminate on Change of Control. </w:t>
      </w:r>
      <w:r>
        <w:rPr>
          <w:b w:val="0"/>
          <w:i w:val="0"/>
        </w:rPr>
        <w:t>If the acquiring entity does not assume all of Meritum’s obligations under this Agreement in accordance with section 11.4(c), or if the acquiring entity fails to maintain the Canadian data residency commitment or equivalent safeguards, the Custodian may terminate this Agreement within 60 days of receiving notice of the Change of Control, without penalty, and the data export provisions in section 8.3 apply from the date of the Custodian’s termination notice.</w:t>
      </w:r>
    </w:p>
    <w:p>
      <w:pPr>
        <w:pStyle w:val="Indent"/>
      </w:pPr>
      <w:r>
        <w:rPr>
          <w:b/>
          <w:i w:val="0"/>
        </w:rPr>
        <w:t xml:space="preserve">(e) Assignment by the Custodian. </w:t>
      </w:r>
      <w:r>
        <w:rPr>
          <w:b w:val="0"/>
          <w:i w:val="0"/>
        </w:rPr>
        <w:t>The Custodian may not assign this Agreement. This Agreement is personal to the Custodian in their capacity as a custodian of health information under the HIA.</w:t>
      </w:r>
    </w:p>
    <w:p>
      <w:pPr>
        <w:pStyle w:val="SubHead"/>
      </w:pPr>
      <w:r>
        <w:t>11.5 Severability</w:t>
      </w:r>
    </w:p>
    <w:p>
      <w:pPr/>
      <w:r>
        <w:t>If any provision of this Agreement is found to be invalid or unenforceable, the remaining provisions continue in full force and effect. The invalid or unenforceable provision will be interpreted or modified to the minimum extent necessary to make it valid and enforceable while preserving the original intent of the parties.</w:t>
      </w:r>
    </w:p>
    <w:p>
      <w:pPr>
        <w:pStyle w:val="SubHead"/>
      </w:pPr>
      <w:r>
        <w:t>11.6 Entire Agreement</w:t>
      </w:r>
    </w:p>
    <w:p>
      <w:pPr/>
      <w:r>
        <w:t>This Agreement, together with the Terms of Service, the Privacy Policy, the Acceptable Use Policy, and any other policies referenced herein, constitutes the entire agreement between the parties with respect to the processing of Health Information by Meritum on behalf of the Custodian. This Agreement supersedes any prior agreements, representations, or understandings relating to the same subject matter.</w:t>
      </w:r>
    </w:p>
    <w:p>
      <w:pPr>
        <w:pStyle w:val="SubHead"/>
      </w:pPr>
      <w:r>
        <w:t>11.7 Notices</w:t>
      </w:r>
    </w:p>
    <w:p>
      <w:pPr/>
      <w:r>
        <w:t>Notices under this Agreement may be given by email. Notices to the Custodian will be sent to the email address associated with the Custodian’s Platform account. Notices to Meritum will be sent to privacy@meritum.ca.</w:t>
      </w:r>
    </w:p>
    <w:p>
      <w:pPr/>
      <w:r>
        <w:t>A notice is deemed received 24 hours after being sent to the email address on record, unless the sender receives a delivery failure notification within that period. Notices of material amendments under section 11.3 and Breach notifications under section 6 will also be sent to any secondary contact email the Custodian has provided in their Platform account, if applicable.</w:t>
      </w:r>
    </w:p>
    <w:p>
      <w:pPr/>
      <w:r>
        <w:t>Each party is responsible for maintaining accurate and current contact information. The Custodian may update their contact information through the Platform at any time.</w:t>
      </w:r>
    </w:p>
    <w:p>
      <w:pPr>
        <w:pStyle w:val="SubHead"/>
      </w:pPr>
      <w:r>
        <w:t>11.8 Legislative Change</w:t>
      </w:r>
    </w:p>
    <w:p>
      <w:pPr/>
      <w:r>
        <w:t>If the HIA or the Regulation is amended in a manner that materially affects the obligations or rights set out in this Agreement, the parties will work in good faith to amend this Agreement to reflect the legislative change. Until such amendment is agreed, this Agreement will be interpreted and applied in a manner consistent with the amended legislation to the extent possible. Where a legislative amendment imposes obligations on the Information Manager that exceed or differ from those in this Agreement, the legislative requirement prevails.</w:t>
      </w:r>
    </w:p>
    <w:p>
      <w:pPr/>
      <w:r>
        <w:t>Without limiting the generality of the foregoing, the Custodian acknowledges that legislative amendments relating to the use of automated systems for decision-making (including provisions relating to the Advice Engine and the Rules Engine) may require Meritum to modify the Platform or this Agreement. Meritum will notify the Custodian of any such changes in accordance with section 11.3.</w:t>
      </w:r>
    </w:p>
    <w:p>
      <w:pPr>
        <w:pStyle w:val="SubHead"/>
      </w:pPr>
      <w:r>
        <w:t>11.9 Interpretation</w:t>
      </w:r>
    </w:p>
    <w:p>
      <w:pPr/>
      <w:r>
        <w:t>In this Agreement:</w:t>
      </w:r>
    </w:p>
    <w:p>
      <w:pPr>
        <w:pStyle w:val="Indent"/>
      </w:pPr>
      <w:r>
        <w:t>(a) “including” means “including without limitation”;</w:t>
      </w:r>
    </w:p>
    <w:p>
      <w:pPr>
        <w:pStyle w:val="Indent"/>
      </w:pPr>
      <w:r>
        <w:t>(b) headings are for convenience of reference only and do not affect the interpretation of this Agreement;</w:t>
      </w:r>
    </w:p>
    <w:p>
      <w:pPr>
        <w:pStyle w:val="Indent"/>
      </w:pPr>
      <w:r>
        <w:t>(c) references to legislation include all regulations, orders, and amendments made under or pursuant to that legislation;</w:t>
      </w:r>
    </w:p>
    <w:p>
      <w:pPr>
        <w:pStyle w:val="Indent"/>
      </w:pPr>
      <w:r>
        <w:t>(d) “written” and “in writing” include electronic communication that produces a durable record;</w:t>
      </w:r>
    </w:p>
    <w:p>
      <w:pPr>
        <w:pStyle w:val="Indent"/>
      </w:pPr>
      <w:r>
        <w:t>(e) the singular includes the plural and vice versa; and</w:t>
      </w:r>
    </w:p>
    <w:p>
      <w:pPr>
        <w:pStyle w:val="Indent"/>
      </w:pPr>
      <w:r>
        <w:t>(f) references to sections are to sections of this Agreement unless otherwise stated.</w:t>
      </w:r>
    </w:p>
    <w:p>
      <w:pPr>
        <w:pStyle w:val="SubHead"/>
      </w:pPr>
      <w:r>
        <w:t>11.10 Waiver</w:t>
      </w:r>
    </w:p>
    <w:p>
      <w:pPr/>
      <w:r>
        <w:t>The failure of either party to enforce any provision of this Agreement does not constitute a waiver of the right to enforce that provision at a later time or to enforce any other provision of this Agreement. A waiver is effective only if it is in writing and signed by the party granting the waiver.</w:t>
      </w:r>
    </w:p>
    <w:p>
      <w:pPr>
        <w:pStyle w:val="SubHead"/>
      </w:pPr>
      <w:r>
        <w:t>11.11 Force Majeure</w:t>
      </w:r>
    </w:p>
    <w:p>
      <w:pPr/>
      <w:r>
        <w:t>Neither party is liable for a failure to perform its obligations under this Agreement (other than confidentiality and security obligations relating to Health Information already in Meritum’s custody) to the extent that the failure is caused by an event beyond the reasonable control of that party, including natural disaster, act of government, pandemic, or major infrastructure failure not attributable to the party’s negligence. The affected party will notify the other party promptly and will use reasonable efforts to resume performance as soon as practicable. Where a force majeure event affects the confidentiality or security of Health Information, Meritum’s obligation during the event is to take all reasonable steps available in the circumstances to protect Health Information. If a force majeure event prevents Meritum from performing its obligations for more than 30 consecutive days, the Custodian may terminate this Agreement, and the data export provisions in section 8.3 apply.</w:t>
      </w:r>
    </w:p>
    <w:p>
      <w:pPr>
        <w:pStyle w:val="SubHead"/>
      </w:pPr>
      <w:r>
        <w:t>11.12 No Third-party Beneficiaries</w:t>
      </w:r>
    </w:p>
    <w:p>
      <w:pPr/>
      <w:r>
        <w:t>This Agreement is for the sole benefit of the parties and does not create any rights in favour of any third party. The rights of individuals in respect of their Health Information arise under the HIA and not under this Agreement.</w:t>
      </w:r>
    </w:p>
    <w:p>
      <w:pPr>
        <w:pStyle w:val="SectionHead"/>
      </w:pPr>
      <w:r>
        <w:t>Acceptance</w:t>
      </w:r>
    </w:p>
    <w:p>
      <w:pPr/>
      <w:r>
        <w:t>By accepting this Agreement during the Meritum platform onboarding process, the Custodian confirms that:</w:t>
      </w:r>
    </w:p>
    <w:p>
      <w:pPr>
        <w:pStyle w:val="Indent"/>
      </w:pPr>
      <w:r>
        <w:t>(a) they are a custodian of health information as defined in section 1(1)(f) of the HIA;</w:t>
      </w:r>
    </w:p>
    <w:p>
      <w:pPr>
        <w:pStyle w:val="Indent"/>
      </w:pPr>
      <w:r>
        <w:t>(b) they have read, understood, and agree to the terms of this Agreement;</w:t>
      </w:r>
    </w:p>
    <w:p>
      <w:pPr>
        <w:pStyle w:val="Indent"/>
      </w:pPr>
      <w:r>
        <w:t>(c) they authorise Meritum to process Health Information on their behalf for the purposes described in section 2.2;</w:t>
      </w:r>
    </w:p>
    <w:p>
      <w:pPr>
        <w:pStyle w:val="Indent"/>
      </w:pPr>
      <w:r>
        <w:t>(d) they understand that, pursuant to section 66(6) of the HIA, they continue to be responsible for compliance with the HIA in respect of the Health Information provided to Meritum; and</w:t>
      </w:r>
    </w:p>
    <w:p>
      <w:pPr>
        <w:pStyle w:val="Indent"/>
      </w:pPr>
      <w:r>
        <w:t>(e) they make the representations and warranties set out in section 10.2.</w:t>
      </w:r>
    </w:p>
    <w:p>
      <w:r>
        <w:br w:type="page"/>
      </w:r>
    </w:p>
    <w:p>
      <w:pPr>
        <w:pStyle w:val="SectionHead"/>
      </w:pPr>
      <w:r>
        <w:t>Schedule A: Sub-processor List</w:t>
      </w:r>
    </w:p>
    <w:p>
      <w:pPr/>
      <w:r>
        <w:t>This schedule will be updated when sub-processors are added or changed, with 30 days’ notice to the Custodian as described in section 5.3.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417"/>
            <w:shd w:fill="1B2A4A" w:val="clear"/>
          </w:tcPr>
          <w:p>
            <w:pPr>
              <w:pStyle w:val="TableHead"/>
            </w:pPr>
            <w:r>
              <w:rPr>
                <w:color w:val="FFFFFF"/>
              </w:rPr>
            </w:r>
            <w:r>
              <w:rPr>
                <w:rFonts w:ascii="Arial" w:hAnsi="Arial"/>
                <w:b/>
                <w:sz w:val="18"/>
              </w:rPr>
              <w:t>Sub-processor</w:t>
            </w:r>
          </w:p>
        </w:tc>
        <w:tc>
          <w:tcPr>
            <w:tcW w:type="dxa" w:w="2268"/>
            <w:shd w:fill="1B2A4A" w:val="clear"/>
          </w:tcPr>
          <w:p>
            <w:pPr>
              <w:pStyle w:val="TableHead"/>
            </w:pPr>
            <w:r>
              <w:rPr>
                <w:color w:val="FFFFFF"/>
              </w:rPr>
            </w:r>
            <w:r>
              <w:rPr>
                <w:rFonts w:ascii="Arial" w:hAnsi="Arial"/>
                <w:b/>
                <w:sz w:val="18"/>
              </w:rPr>
              <w:t>Legal Entity</w:t>
            </w:r>
          </w:p>
        </w:tc>
        <w:tc>
          <w:tcPr>
            <w:tcW w:type="dxa" w:w="2551"/>
            <w:shd w:fill="1B2A4A" w:val="clear"/>
          </w:tcPr>
          <w:p>
            <w:pPr>
              <w:pStyle w:val="TableHead"/>
            </w:pPr>
            <w:r>
              <w:rPr>
                <w:color w:val="FFFFFF"/>
              </w:rPr>
            </w:r>
            <w:r>
              <w:rPr>
                <w:rFonts w:ascii="Arial" w:hAnsi="Arial"/>
                <w:b/>
                <w:sz w:val="18"/>
              </w:rPr>
              <w:t>Processing Role</w:t>
            </w:r>
          </w:p>
        </w:tc>
        <w:tc>
          <w:tcPr>
            <w:tcW w:type="dxa" w:w="1701"/>
            <w:shd w:fill="1B2A4A" w:val="clear"/>
          </w:tcPr>
          <w:p>
            <w:pPr>
              <w:pStyle w:val="TableHead"/>
            </w:pPr>
            <w:r>
              <w:rPr>
                <w:color w:val="FFFFFF"/>
              </w:rPr>
            </w:r>
            <w:r>
              <w:rPr>
                <w:rFonts w:ascii="Arial" w:hAnsi="Arial"/>
                <w:b/>
                <w:sz w:val="18"/>
              </w:rPr>
              <w:t>Data Centre Location</w:t>
            </w:r>
          </w:p>
        </w:tc>
        <w:tc>
          <w:tcPr>
            <w:tcW w:type="dxa" w:w="1984"/>
            <w:shd w:fill="1B2A4A" w:val="clear"/>
          </w:tcPr>
          <w:p>
            <w:pPr>
              <w:pStyle w:val="TableHead"/>
            </w:pPr>
            <w:r>
              <w:rPr>
                <w:color w:val="FFFFFF"/>
              </w:rPr>
            </w:r>
            <w:r>
              <w:rPr>
                <w:rFonts w:ascii="Arial" w:hAnsi="Arial"/>
                <w:b/>
                <w:sz w:val="18"/>
              </w:rPr>
              <w:t>Data Processed</w:t>
            </w:r>
          </w:p>
        </w:tc>
      </w:tr>
      <w:tr>
        <w:tc>
          <w:tcPr>
            <w:tcW w:type="dxa" w:w="1417"/>
          </w:tcPr>
          <w:p>
            <w:pPr>
              <w:pStyle w:val="TableBody"/>
            </w:pPr>
            <w:r/>
            <w:r>
              <w:rPr>
                <w:rFonts w:ascii="Arial" w:hAnsi="Arial"/>
                <w:sz w:val="18"/>
              </w:rPr>
              <w:t>DigitalOcean LLC</w:t>
            </w:r>
          </w:p>
        </w:tc>
        <w:tc>
          <w:tcPr>
            <w:tcW w:type="dxa" w:w="2268"/>
          </w:tcPr>
          <w:p>
            <w:pPr>
              <w:pStyle w:val="TableBody"/>
            </w:pPr>
            <w:r/>
            <w:r>
              <w:rPr>
                <w:rFonts w:ascii="Arial" w:hAnsi="Arial"/>
                <w:sz w:val="18"/>
              </w:rPr>
              <w:t>DigitalOcean, LLC, a Delaware limited liability company (Registration No. 5118787). Wholly owned subsidiary of DigitalOcean Holdings, Inc. (NYSE: DOCN). Headquarters: 105 Edgeview Drive, Suite 425, Broomfield, CO 80021, United States.</w:t>
            </w:r>
          </w:p>
        </w:tc>
        <w:tc>
          <w:tcPr>
            <w:tcW w:type="dxa" w:w="2551"/>
          </w:tcPr>
          <w:p>
            <w:pPr>
              <w:pStyle w:val="TableBody"/>
            </w:pPr>
            <w:r/>
            <w:r>
              <w:rPr>
                <w:rFonts w:ascii="Arial" w:hAnsi="Arial"/>
                <w:sz w:val="18"/>
              </w:rPr>
              <w:t>Infrastructure-as-a-service hosting provider. Provides compute, storage, networking, and managed database services on which the Platform operates. DigitalOcean acts as a sub-processor under Meritum’s control and does not independently access, use, or disclose Health Information.</w:t>
            </w:r>
          </w:p>
        </w:tc>
        <w:tc>
          <w:tcPr>
            <w:tcW w:type="dxa" w:w="1701"/>
          </w:tcPr>
          <w:p>
            <w:pPr>
              <w:pStyle w:val="TableBody"/>
            </w:pPr>
            <w:r/>
            <w:r>
              <w:rPr>
                <w:rFonts w:ascii="Arial" w:hAnsi="Arial"/>
                <w:sz w:val="18"/>
              </w:rPr>
              <w:t>Toronto, Ontario, Canada (tor1 data centre region). 45 Parliament Street, Toronto, Ontario. All Health Information is stored and processed exclusively within this Canadian facility.</w:t>
            </w:r>
          </w:p>
        </w:tc>
        <w:tc>
          <w:tcPr>
            <w:tcW w:type="dxa" w:w="1984"/>
          </w:tcPr>
          <w:p>
            <w:pPr>
              <w:pStyle w:val="TableBody"/>
            </w:pPr>
            <w:r/>
            <w:r>
              <w:rPr>
                <w:rFonts w:ascii="Arial" w:hAnsi="Arial"/>
                <w:sz w:val="18"/>
              </w:rPr>
              <w:t>All Health Information processed by the Platform, including claim data, patient identifiers, billing records, assessment results, and backup data.</w:t>
            </w:r>
          </w:p>
        </w:tc>
      </w:tr>
    </w:tbl>
    <w:p>
      <w:pPr/>
    </w:p>
    <w:p>
      <w:pPr/>
    </w:p>
    <w:p>
      <w:pPr>
        <w:pStyle w:val="Meta"/>
      </w:pPr>
      <w:r>
        <w:t>Meritum Health Technologies Ltd.</w:t>
      </w:r>
    </w:p>
    <w:p>
      <w:pPr>
        <w:pStyle w:val="Meta"/>
      </w:pPr>
      <w:r>
        <w:t>meritum.ca</w:t>
      </w:r>
    </w:p>
    <w:p>
      <w:pPr>
        <w:pStyle w:val="Meta"/>
      </w:pPr>
      <w:r>
        <w:t>For privacy-related inquiries regarding this Agreement, contact privacy@meritum.ca.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80"/>
      <w:jc w:val="center"/>
    </w:pPr>
    <w:rPr>
      <w:rFonts w:ascii="Arial" w:hAnsi="Arial"/>
      <w:b/>
      <w:color w:val="1B2A4A"/>
      <w:sz w:val="28"/>
    </w:rPr>
  </w:style>
  <w:style w:type="paragraph" w:customStyle="1" w:styleId="DocSubtitle">
    <w:name w:val="DocSubtitle"/>
    <w:pPr>
      <w:spacing w:after="80"/>
      <w:jc w:val="center"/>
    </w:pPr>
    <w:rPr>
      <w:rFonts w:ascii="Arial" w:hAnsi="Arial"/>
      <w:b/>
      <w:color w:val="1B2A4A"/>
      <w:sz w:val="24"/>
    </w:rPr>
  </w:style>
  <w:style w:type="paragraph" w:customStyle="1" w:styleId="SectionHead">
    <w:name w:val="SectionHead"/>
    <w:pPr>
      <w:spacing w:before="360" w:after="160"/>
    </w:pPr>
    <w:rPr>
      <w:rFonts w:ascii="Arial" w:hAnsi="Arial"/>
      <w:b/>
      <w:color w:val="1B2A4A"/>
      <w:sz w:val="24"/>
    </w:rPr>
  </w:style>
  <w:style w:type="paragraph" w:customStyle="1" w:styleId="SubHead">
    <w:name w:val="SubHead"/>
    <w:pPr>
      <w:spacing w:before="240" w:after="80"/>
    </w:pPr>
    <w:rPr>
      <w:rFonts w:ascii="Arial" w:hAnsi="Arial"/>
      <w:b/>
      <w:color w:val="1B2A4A"/>
      <w:sz w:val="20"/>
    </w:rPr>
  </w:style>
  <w:style w:type="paragraph" w:customStyle="1" w:styleId="Recital">
    <w:name w:val="Recital"/>
    <w:pPr>
      <w:spacing w:after="120"/>
    </w:pPr>
    <w:rPr>
      <w:rFonts w:ascii="Arial" w:hAnsi="Arial"/>
      <w:i/>
      <w:sz w:val="20"/>
    </w:rPr>
  </w:style>
  <w:style w:type="paragraph" w:customStyle="1" w:styleId="Indent">
    <w:name w:val="Indent"/>
    <w:pPr>
      <w:spacing w:after="80"/>
      <w:ind w:left="720"/>
    </w:pPr>
    <w:rPr>
      <w:rFonts w:ascii="Arial" w:hAnsi="Arial"/>
      <w:sz w:val="20"/>
    </w:rPr>
  </w:style>
  <w:style w:type="paragraph" w:customStyle="1" w:styleId="Indent2">
    <w:name w:val="Indent2"/>
    <w:pPr>
      <w:spacing w:after="80"/>
      <w:ind w:left="1440"/>
    </w:pPr>
    <w:rPr>
      <w:rFonts w:ascii="Arial" w:hAnsi="Arial"/>
      <w:sz w:val="20"/>
    </w:rPr>
  </w:style>
  <w:style w:type="paragraph" w:customStyle="1" w:styleId="Meta">
    <w:name w:val="Meta"/>
    <w:pPr>
      <w:spacing w:after="40"/>
      <w:jc w:val="center"/>
    </w:pPr>
    <w:rPr>
      <w:rFonts w:ascii="Arial" w:hAnsi="Arial"/>
      <w:color w:val="666666"/>
      <w:sz w:val="18"/>
    </w:rPr>
  </w:style>
  <w:style w:type="paragraph" w:customStyle="1" w:styleId="Draft">
    <w:name w:val="Draft"/>
    <w:pPr>
      <w:spacing w:after="240"/>
      <w:jc w:val="center"/>
    </w:pPr>
    <w:rPr>
      <w:rFonts w:ascii="Arial" w:hAnsi="Arial"/>
      <w:i/>
      <w:color w:val="993333"/>
      <w:sz w:val="18"/>
    </w:rPr>
  </w:style>
  <w:style w:type="paragraph" w:customStyle="1" w:styleId="TableHead">
    <w:name w:val="TableHead"/>
    <w:rPr>
      <w:rFonts w:ascii="Arial" w:hAnsi="Arial"/>
      <w:b/>
      <w:sz w:val="18"/>
    </w:rPr>
  </w:style>
  <w:style w:type="paragraph" w:customStyle="1" w:styleId="TableBody">
    <w:name w:val="TableBody"/>
    <w:rPr>
      <w:rFonts w:ascii="Arial" w:hAnsi="Arial"/>
      <w:sz w:val="18"/>
    </w:rPr>
  </w:style>
  <w:style w:type="paragraph" w:customStyle="1" w:styleId="FooterStyle">
    <w:name w:val="FooterStyle"/>
    <w:pPr>
      <w:jc w:val="center"/>
    </w:pPr>
    <w:rPr>
      <w:rFonts w:ascii="Arial" w:hAnsi="Arial"/>
      <w:color w:val="99999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