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left"/>
      </w:pPr>
      <w:r>
        <w:rPr>
          <w:rFonts w:ascii="Arial" w:cs="Arial" w:eastAsia="Arial" w:hAnsi="Arial"/>
          <w:b/>
          <w:bCs/>
          <w:color w:val="2E75B6"/>
          <w:sz w:val="20"/>
          <w:szCs w:val="20"/>
        </w:rPr>
        <w:t xml:space="preserve">MERITUM HEALTH TECHNOLOGIES</w:t>
      </w:r>
    </w:p>
    <w:p>
      <w:pPr>
        <w:spacing w:after="200"/>
        <w:jc w:val="left"/>
      </w:pPr>
      <w:r>
        <w:rPr>
          <w:rFonts w:ascii="Arial" w:cs="Arial" w:eastAsia="Arial" w:hAnsi="Arial"/>
          <w:b/>
          <w:bCs/>
          <w:color w:val="1A1A2E"/>
          <w:sz w:val="48"/>
          <w:szCs w:val="48"/>
        </w:rPr>
        <w:t xml:space="preserve">Pricing Strategy</w:t>
      </w:r>
    </w:p>
    <w:p>
      <w:pPr>
        <w:spacing w:after="100"/>
        <w:jc w:val="left"/>
      </w:pPr>
      <w:r>
        <w:rPr>
          <w:rFonts w:ascii="Arial" w:cs="Arial" w:eastAsia="Arial" w:hAnsi="Arial"/>
          <w:color w:val="666666"/>
          <w:sz w:val="22"/>
          <w:szCs w:val="22"/>
        </w:rPr>
        <w:t xml:space="preserve">February 2026 · Internal Reference Document v2</w:t>
      </w:r>
    </w:p>
    <w:p>
      <w:pPr>
        <w:pBdr>
          <w:bottom w:val="single" w:color="DDDDDD" w:sz="4" w:space="1"/>
        </w:pBdr>
        <w:spacing w:before="300" w:after="300"/>
      </w:pPr>
    </w:p>
    <w:p>
      <w:pPr>
        <w:spacing w:after="200"/>
        <w:jc w:val="left"/>
      </w:pPr>
      <w:r>
        <w:rPr>
          <w:rFonts w:ascii="Arial" w:cs="Arial" w:eastAsia="Arial" w:hAnsi="Arial"/>
          <w:b w:val="false"/>
          <w:bCs w:val="false"/>
          <w:i w:val="false"/>
          <w:iCs w:val="false"/>
          <w:color w:val="666666"/>
          <w:sz w:val="22"/>
          <w:szCs w:val="22"/>
        </w:rPr>
        <w:t xml:space="preserve">Internal reference document defining all pricing tiers, discount structure, referral mechanics, interaction rules, and lifecycle transitions. This is the single source of truth for Meritum’s pricing model.</w:t>
      </w:r>
    </w:p>
    <w:p>
      <w:pPr>
        <w:spacing w:after="200"/>
        <w:jc w:val="left"/>
      </w:pPr>
      <w:r>
        <w:rPr>
          <w:rFonts w:ascii="Arial" w:cs="Arial" w:eastAsia="Arial" w:hAnsi="Arial"/>
          <w:b w:val="false"/>
          <w:bCs w:val="false"/>
          <w:i w:val="false"/>
          <w:iCs w:val="false"/>
          <w:color w:val="666666"/>
          <w:sz w:val="22"/>
          <w:szCs w:val="22"/>
        </w:rPr>
        <w:t xml:space="preserve">v2 changes: Option C discount structure (10% clinic + 5% annual, 15% total ceiling), clinic admin dashboard scope, PCPCM and advice engine scope, SaaS continuous updates principle.</w:t>
      </w:r>
    </w:p>
    <w:p>
      <w:r>
        <w:br w:type="page"/>
      </w:r>
    </w:p>
    <w:p>
      <w:pPr>
        <w:spacing w:before="400" w:after="100"/>
      </w:pPr>
      <w:r>
        <w:rPr>
          <w:rFonts w:ascii="Arial" w:cs="Arial" w:eastAsia="Arial" w:hAnsi="Arial"/>
          <w:b/>
          <w:bCs/>
          <w:color w:val="2E75B6"/>
          <w:sz w:val="18"/>
          <w:szCs w:val="18"/>
        </w:rPr>
        <w:t xml:space="preserve">SECTION 1</w:t>
      </w:r>
    </w:p>
    <w:p>
      <w:pPr>
        <w:pStyle w:val="Heading1"/>
      </w:pPr>
      <w:r>
        <w:t xml:space="preserve">Discount Structure</w:t>
      </w:r>
    </w:p>
    <w:p>
      <w:pPr>
        <w:pStyle w:val="Heading2"/>
      </w:pPr>
      <w:r>
        <w:t xml:space="preserve">1.1 Discount Sources</w:t>
      </w:r>
    </w:p>
    <w:p>
      <w:pPr>
        <w:spacing w:after="200"/>
        <w:jc w:val="left"/>
      </w:pPr>
      <w:r>
        <w:rPr>
          <w:rFonts w:ascii="Arial" w:cs="Arial" w:eastAsia="Arial" w:hAnsi="Arial"/>
          <w:b w:val="false"/>
          <w:bCs w:val="false"/>
          <w:i w:val="false"/>
          <w:iCs w:val="false"/>
          <w:color w:val="1A1A2E"/>
          <w:sz w:val="22"/>
          <w:szCs w:val="22"/>
        </w:rPr>
        <w:t xml:space="preserve">Meritum has two independent discount sources and a hard ceiling on total discount depth.</w:t>
      </w:r>
    </w:p>
    <w:p>
      <w:pPr>
        <w:spacing w:after="40"/>
      </w:pPr>
    </w:p>
    <w:p>
      <w:pPr>
        <w:spacing w:after="200"/>
        <w:jc w:val="left"/>
      </w:pPr>
      <w:r>
        <w:rPr>
          <w:rFonts w:ascii="Arial" w:cs="Arial" w:eastAsia="Arial" w:hAnsi="Arial"/>
          <w:b/>
          <w:bCs/>
          <w:color w:val="1A1A2E"/>
          <w:sz w:val="22"/>
          <w:szCs w:val="22"/>
        </w:rPr>
        <w:t xml:space="preserve">Annual billing discount: 5%. </w:t>
      </w:r>
      <w:r>
        <w:rPr>
          <w:rFonts w:ascii="Arial" w:cs="Arial" w:eastAsia="Arial" w:hAnsi="Arial"/>
          <w:color w:val="1A1A2E"/>
          <w:sz w:val="22"/>
          <w:szCs w:val="22"/>
        </w:rPr>
        <w:t xml:space="preserve">Applies to any subscription (individual or clinic tier) when billed annually rather than monthly. The physician commits to a 12-month billing cycle and receives 5% off the applicable rate.</w:t>
      </w:r>
    </w:p>
    <w:p>
      <w:pPr>
        <w:spacing w:after="200"/>
        <w:jc w:val="left"/>
      </w:pPr>
      <w:r>
        <w:rPr>
          <w:rFonts w:ascii="Arial" w:cs="Arial" w:eastAsia="Arial" w:hAnsi="Arial"/>
          <w:b/>
          <w:bCs/>
          <w:color w:val="1A1A2E"/>
          <w:sz w:val="22"/>
          <w:szCs w:val="22"/>
        </w:rPr>
        <w:t xml:space="preserve">Clinic tier discount: 10%. </w:t>
      </w:r>
      <w:r>
        <w:rPr>
          <w:rFonts w:ascii="Arial" w:cs="Arial" w:eastAsia="Arial" w:hAnsi="Arial"/>
          <w:color w:val="1A1A2E"/>
          <w:sz w:val="22"/>
          <w:szCs w:val="22"/>
        </w:rPr>
        <w:t xml:space="preserve">Applies to practices with five or more physicians. Reduces the per-physician rate by 10% from the standard individual rate.</w:t>
      </w:r>
    </w:p>
    <w:p>
      <w:pPr>
        <w:spacing w:after="200"/>
        <w:jc w:val="left"/>
      </w:pPr>
      <w:r>
        <w:rPr>
          <w:rFonts w:ascii="Arial" w:cs="Arial" w:eastAsia="Arial" w:hAnsi="Arial"/>
          <w:b/>
          <w:bCs/>
          <w:color w:val="1A1A2E"/>
          <w:sz w:val="22"/>
          <w:szCs w:val="22"/>
        </w:rPr>
        <w:t xml:space="preserve">Total discount ceiling: 15%. </w:t>
      </w:r>
      <w:r>
        <w:rPr>
          <w:rFonts w:ascii="Arial" w:cs="Arial" w:eastAsia="Arial" w:hAnsi="Arial"/>
          <w:color w:val="1A1A2E"/>
          <w:sz w:val="22"/>
          <w:szCs w:val="22"/>
        </w:rPr>
        <w:t xml:space="preserve">No physician ever pays less than 85% of the standard list price ($279/month), regardless of how many discount sources apply. The clinic tier (10%) and annual billing (5%) stack to the maximum of 15%. There are no deeper volume discounts, negotiated enterprise rates, or special arrangements.</w:t>
      </w:r>
    </w:p>
    <w:p>
      <w:pPr>
        <w:spacing w:after="40"/>
      </w:pPr>
    </w:p>
    <w:p>
      <w:pPr>
        <w:spacing w:after="200"/>
        <w:jc w:val="left"/>
      </w:pPr>
      <w:r>
        <w:rPr>
          <w:rFonts w:ascii="Arial" w:cs="Arial" w:eastAsia="Arial" w:hAnsi="Arial"/>
          <w:b/>
          <w:bCs/>
          <w:color w:val="1A1A2E"/>
          <w:sz w:val="22"/>
          <w:szCs w:val="22"/>
        </w:rPr>
        <w:t xml:space="preserve">Early bird rate: outside the discount framework. </w:t>
      </w:r>
      <w:r>
        <w:rPr>
          <w:rFonts w:ascii="Arial" w:cs="Arial" w:eastAsia="Arial" w:hAnsi="Arial"/>
          <w:color w:val="1A1A2E"/>
          <w:sz w:val="22"/>
          <w:szCs w:val="22"/>
        </w:rPr>
        <w:t xml:space="preserve">The early bird rate ($199/month, $2,388/year) is a time-limited promotional rate for the first 100 physician signups. It does not receive an additional 5% annual discount because $199/month is already well below the 15% ceiling. The early bird annual rate ($2,388) is simply $199 × 12.</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2</w:t>
      </w:r>
    </w:p>
    <w:p>
      <w:pPr>
        <w:pStyle w:val="Heading1"/>
      </w:pPr>
      <w:r>
        <w:t xml:space="preserve">Pricing Tiers</w:t>
      </w:r>
    </w:p>
    <w:p>
      <w:pPr>
        <w:pStyle w:val="Heading2"/>
      </w:pPr>
      <w:r>
        <w:t xml:space="preserve">2.1 Individual Subscription</w:t>
      </w:r>
    </w:p>
    <w:p>
      <w:pPr>
        <w:spacing w:after="200"/>
        <w:jc w:val="left"/>
      </w:pPr>
      <w:r>
        <w:rPr>
          <w:rFonts w:ascii="Arial" w:cs="Arial" w:eastAsia="Arial" w:hAnsi="Arial"/>
          <w:b w:val="false"/>
          <w:bCs w:val="false"/>
          <w:i w:val="false"/>
          <w:iCs w:val="false"/>
          <w:color w:val="1A1A2E"/>
          <w:sz w:val="22"/>
          <w:szCs w:val="22"/>
        </w:rPr>
        <w:t xml:space="preserve">One physician, one subscription, one dashboard. All features are included at every price point; there are no feature gates, add-ons, or premium tiers. This includes the rules engine, the advice engine, AHCIP fee-for-service claims, WCB Alberta claims, and PCPCM panel tracking and payment reconciliation.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w:r>
          </w:p>
        </w:tc>
        <w:tc>
          <w:tcPr>
            <w:tcW w:type="dxa" w:w="17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Monthly</w:t>
            </w:r>
          </w:p>
        </w:tc>
        <w:tc>
          <w:tcPr>
            <w:tcW w:type="dxa" w:w="17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Annual</w:t>
            </w:r>
          </w:p>
        </w:tc>
        <w:tc>
          <w:tcPr>
            <w:tcW w:type="dxa" w:w="17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Eff. monthly</w:t>
            </w:r>
          </w:p>
        </w:tc>
        <w:tc>
          <w:tcPr>
            <w:tcW w:type="dxa" w:w="16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Discount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Early bird (first 100)</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$199</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$2,388</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$199.00</w:t>
            </w:r>
          </w:p>
        </w:tc>
        <w:tc>
          <w:tcPr>
            <w:tcW w:type="dxa" w:w="1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Promo rate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Standard (monthly)</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$279</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$279.00</w:t>
            </w:r>
          </w:p>
        </w:tc>
        <w:tc>
          <w:tcPr>
            <w:tcW w:type="dxa" w:w="1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None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Standard (annual)</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$3,181</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$265.08</w:t>
            </w:r>
          </w:p>
        </w:tc>
        <w:tc>
          <w:tcPr>
            <w:tcW w:type="dxa" w:w="1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w:t>
            </w:r>
          </w:p>
        </w:tc>
      </w:tr>
    </w:tbl>
    <w:p>
      <w:pPr>
        <w:spacing w:after="100"/>
      </w:pPr>
    </w:p>
    <w:p>
      <w:pPr>
        <w:spacing w:after="200"/>
        <w:jc w:val="left"/>
      </w:pPr>
      <w:r>
        <w:rPr>
          <w:rFonts w:ascii="Arial" w:cs="Arial" w:eastAsia="Arial" w:hAnsi="Arial"/>
          <w:b w:val="false"/>
          <w:bCs w:val="false"/>
          <w:i w:val="false"/>
          <w:iCs w:val="false"/>
          <w:color w:val="1A1A2E"/>
          <w:sz w:val="22"/>
          <w:szCs w:val="22"/>
        </w:rPr>
        <w:t xml:space="preserve">All prices in CAD. 5% GST applied at checkout. Payment via Stripe (Visa, Mastercard, American Express).</w:t>
      </w:r>
    </w:p>
    <w:p>
      <w:pPr>
        <w:spacing w:after="80"/>
      </w:pPr>
    </w:p>
    <w:p>
      <w:pPr>
        <w:pStyle w:val="Heading2"/>
      </w:pPr>
      <w:r>
        <w:t xml:space="preserve">2.2 Early Bird Rate: Rules and Lifecycle</w:t>
      </w:r>
    </w:p>
    <w:p>
      <w:pPr>
        <w:spacing w:after="200"/>
        <w:jc w:val="left"/>
      </w:pPr>
      <w:r>
        <w:rPr>
          <w:rFonts w:ascii="Arial" w:cs="Arial" w:eastAsia="Arial" w:hAnsi="Arial"/>
          <w:b/>
          <w:bCs/>
          <w:color w:val="1A1A2E"/>
          <w:sz w:val="22"/>
          <w:szCs w:val="22"/>
        </w:rPr>
        <w:t xml:space="preserve">Eligibility: </w:t>
      </w:r>
      <w:r>
        <w:rPr>
          <w:rFonts w:ascii="Arial" w:cs="Arial" w:eastAsia="Arial" w:hAnsi="Arial"/>
          <w:color w:val="1A1A2E"/>
          <w:sz w:val="22"/>
          <w:szCs w:val="22"/>
        </w:rPr>
        <w:t xml:space="preserve">Available to the first 100 individual physician signups. Once 100 early bird subscriptions have been activated, the rate is closed to new signups permanently.</w:t>
      </w:r>
    </w:p>
    <w:p>
      <w:pPr>
        <w:spacing w:after="200"/>
        <w:jc w:val="left"/>
      </w:pPr>
      <w:r>
        <w:rPr>
          <w:rFonts w:ascii="Arial" w:cs="Arial" w:eastAsia="Arial" w:hAnsi="Arial"/>
          <w:b/>
          <w:bCs/>
          <w:color w:val="1A1A2E"/>
          <w:sz w:val="22"/>
          <w:szCs w:val="22"/>
        </w:rPr>
        <w:t xml:space="preserve">Rate lock: </w:t>
      </w:r>
      <w:r>
        <w:rPr>
          <w:rFonts w:ascii="Arial" w:cs="Arial" w:eastAsia="Arial" w:hAnsi="Arial"/>
          <w:color w:val="1A1A2E"/>
          <w:sz w:val="22"/>
          <w:szCs w:val="22"/>
        </w:rPr>
        <w:t xml:space="preserve">The early bird rate of $199/month (or $2,388/year) is locked for 12 months from the physician’s signup date, regardless of billing frequency.</w:t>
      </w:r>
    </w:p>
    <w:p>
      <w:pPr>
        <w:spacing w:after="200"/>
        <w:jc w:val="left"/>
      </w:pPr>
      <w:r>
        <w:rPr>
          <w:rFonts w:ascii="Arial" w:cs="Arial" w:eastAsia="Arial" w:hAnsi="Arial"/>
          <w:b/>
          <w:bCs/>
          <w:color w:val="1A1A2E"/>
          <w:sz w:val="22"/>
          <w:szCs w:val="22"/>
        </w:rPr>
        <w:t xml:space="preserve">No annual discount on early bird: </w:t>
      </w:r>
      <w:r>
        <w:rPr>
          <w:rFonts w:ascii="Arial" w:cs="Arial" w:eastAsia="Arial" w:hAnsi="Arial"/>
          <w:color w:val="1A1A2E"/>
          <w:sz w:val="22"/>
          <w:szCs w:val="22"/>
        </w:rPr>
        <w:t xml:space="preserve">The early bird rate is a promotional rate that sits outside the discount framework. Early bird annual is $199 × 12 = $2,388. No additional 5% annual reduction applies.</w:t>
      </w:r>
    </w:p>
    <w:p>
      <w:pPr>
        <w:spacing w:after="200"/>
        <w:jc w:val="left"/>
      </w:pPr>
      <w:r>
        <w:rPr>
          <w:rFonts w:ascii="Arial" w:cs="Arial" w:eastAsia="Arial" w:hAnsi="Arial"/>
          <w:b/>
          <w:bCs/>
          <w:color w:val="1A1A2E"/>
          <w:sz w:val="22"/>
          <w:szCs w:val="22"/>
        </w:rPr>
        <w:t xml:space="preserve">Renewal after 12 months: </w:t>
      </w:r>
      <w:r>
        <w:rPr>
          <w:rFonts w:ascii="Arial" w:cs="Arial" w:eastAsia="Arial" w:hAnsi="Arial"/>
          <w:color w:val="1A1A2E"/>
          <w:sz w:val="22"/>
          <w:szCs w:val="22"/>
        </w:rPr>
        <w:t xml:space="preserve">The subscription renews at the standard rate ($279/month or $3,181/year). The physician receives advance notice before the rate change.</w:t>
      </w:r>
    </w:p>
    <w:p>
      <w:pPr>
        <w:spacing w:after="200"/>
        <w:jc w:val="left"/>
      </w:pPr>
      <w:r>
        <w:rPr>
          <w:rFonts w:ascii="Arial" w:cs="Arial" w:eastAsia="Arial" w:hAnsi="Arial"/>
          <w:b/>
          <w:bCs/>
          <w:color w:val="1A1A2E"/>
          <w:sz w:val="22"/>
          <w:szCs w:val="22"/>
        </w:rPr>
        <w:t xml:space="preserve">Cancellation during early bird period: </w:t>
      </w:r>
      <w:r>
        <w:rPr>
          <w:rFonts w:ascii="Arial" w:cs="Arial" w:eastAsia="Arial" w:hAnsi="Arial"/>
          <w:color w:val="1A1A2E"/>
          <w:sz w:val="22"/>
          <w:szCs w:val="22"/>
        </w:rPr>
        <w:t xml:space="preserve">Monthly subscribers can cancel at any time, effective at the end of the current billing month. Annual subscribers who cancel within the first six months forfeit the remaining balance; cancellations after six months receive a prorated refund for months seven onward.</w:t>
      </w:r>
    </w:p>
    <w:p>
      <w:pPr>
        <w:spacing w:after="200"/>
        <w:jc w:val="left"/>
      </w:pPr>
      <w:r>
        <w:rPr>
          <w:rFonts w:ascii="Arial" w:cs="Arial" w:eastAsia="Arial" w:hAnsi="Arial"/>
          <w:b/>
          <w:bCs/>
          <w:color w:val="1A1A2E"/>
          <w:sz w:val="22"/>
          <w:szCs w:val="22"/>
        </w:rPr>
        <w:t xml:space="preserve">Re-signup: </w:t>
      </w:r>
      <w:r>
        <w:rPr>
          <w:rFonts w:ascii="Arial" w:cs="Arial" w:eastAsia="Arial" w:hAnsi="Arial"/>
          <w:color w:val="1A1A2E"/>
          <w:sz w:val="22"/>
          <w:szCs w:val="22"/>
        </w:rPr>
        <w:t xml:space="preserve">If an early bird physician cancels and later re-signs up, they return at the standard rate. The early bird rate does not survive cancellation.</w:t>
      </w:r>
    </w:p>
    <w:p>
      <w:pPr>
        <w:spacing w:after="80"/>
      </w:pPr>
    </w:p>
    <w:p>
      <w:pPr>
        <w:pStyle w:val="Heading2"/>
      </w:pPr>
      <w:r>
        <w:t xml:space="preserve">2.3 Practice / Clinic Tier</w:t>
      </w:r>
    </w:p>
    <w:p>
      <w:pPr>
        <w:spacing w:after="200"/>
        <w:jc w:val="left"/>
      </w:pPr>
      <w:r>
        <w:rPr>
          <w:rFonts w:ascii="Arial" w:cs="Arial" w:eastAsia="Arial" w:hAnsi="Arial"/>
          <w:b w:val="false"/>
          <w:bCs w:val="false"/>
          <w:i w:val="false"/>
          <w:iCs w:val="false"/>
          <w:color w:val="1A1A2E"/>
          <w:sz w:val="22"/>
          <w:szCs w:val="22"/>
        </w:rPr>
        <w:t xml:space="preserve">For practices with five or more physicians. One billing relationship, one invoice, one administrative account. Each physician retains their own individual dashboard, rules engine configuration, advice engine, and claims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left"/>
            </w:pPr>
            <w:r>
              <w:rPr>
                <w:rFonts w:ascii="Arial" w:cs="Arial" w:eastAsia="Arial" w:hAnsi="Arial"/>
                <w:b/>
                <w:bCs/>
                <w:color w:val="1A1A2E"/>
                <w:sz w:val="20"/>
                <w:szCs w:val="20"/>
              </w:rPr>
              <w:t xml:space="preserve"/>
            </w:r>
          </w:p>
        </w:tc>
        <w:tc>
          <w:tcPr>
            <w:tcW w:type="dxa" w:w="17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Monthly</w:t>
            </w:r>
          </w:p>
        </w:tc>
        <w:tc>
          <w:tcPr>
            <w:tcW w:type="dxa" w:w="17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Annual</w:t>
            </w:r>
          </w:p>
        </w:tc>
        <w:tc>
          <w:tcPr>
            <w:tcW w:type="dxa" w:w="17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Eff. monthly</w:t>
            </w:r>
          </w:p>
        </w:tc>
        <w:tc>
          <w:tcPr>
            <w:tcW w:type="dxa" w:w="16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Total discount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Clinic (monthly)</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$251.10</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$251.10</w:t>
            </w:r>
          </w:p>
        </w:tc>
        <w:tc>
          <w:tcPr>
            <w:tcW w:type="dxa" w:w="1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Clinic (annual)</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$2,863</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$238.58</w:t>
            </w:r>
          </w:p>
        </w:tc>
        <w:tc>
          <w:tcPr>
            <w:tcW w:type="dxa" w:w="1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~15%</w:t>
            </w:r>
          </w:p>
        </w:tc>
      </w:tr>
    </w:tbl>
    <w:p>
      <w:pPr>
        <w:spacing w:after="100"/>
      </w:pPr>
    </w:p>
    <w:p>
      <w:pPr>
        <w:spacing w:after="200"/>
        <w:jc w:val="left"/>
      </w:pPr>
      <w:r>
        <w:rPr>
          <w:rFonts w:ascii="Arial" w:cs="Arial" w:eastAsia="Arial" w:hAnsi="Arial"/>
          <w:b/>
          <w:bCs/>
          <w:color w:val="1A1A2E"/>
          <w:sz w:val="22"/>
          <w:szCs w:val="22"/>
        </w:rPr>
        <w:t xml:space="preserve">Minimum: </w:t>
      </w:r>
      <w:r>
        <w:rPr>
          <w:rFonts w:ascii="Arial" w:cs="Arial" w:eastAsia="Arial" w:hAnsi="Arial"/>
          <w:color w:val="1A1A2E"/>
          <w:sz w:val="22"/>
          <w:szCs w:val="22"/>
        </w:rPr>
        <w:t xml:space="preserve">Five physicians. Below five, each physician subscribes individually.</w:t>
      </w:r>
    </w:p>
    <w:p>
      <w:pPr>
        <w:spacing w:after="200"/>
        <w:jc w:val="left"/>
      </w:pPr>
      <w:r>
        <w:rPr>
          <w:rFonts w:ascii="Arial" w:cs="Arial" w:eastAsia="Arial" w:hAnsi="Arial"/>
          <w:b/>
          <w:bCs/>
          <w:color w:val="1A1A2E"/>
          <w:sz w:val="22"/>
          <w:szCs w:val="22"/>
        </w:rPr>
        <w:t xml:space="preserve">Billing: </w:t>
      </w:r>
      <w:r>
        <w:rPr>
          <w:rFonts w:ascii="Arial" w:cs="Arial" w:eastAsia="Arial" w:hAnsi="Arial"/>
          <w:color w:val="1A1A2E"/>
          <w:sz w:val="22"/>
          <w:szCs w:val="22"/>
        </w:rPr>
        <w:t xml:space="preserve">One invoice for the entire practice. Monthly or annual at the practice level.</w:t>
      </w:r>
    </w:p>
    <w:p>
      <w:pPr>
        <w:spacing w:after="200"/>
        <w:jc w:val="left"/>
      </w:pPr>
      <w:r>
        <w:rPr>
          <w:rFonts w:ascii="Arial" w:cs="Arial" w:eastAsia="Arial" w:hAnsi="Arial"/>
          <w:b/>
          <w:bCs/>
          <w:color w:val="1A1A2E"/>
          <w:sz w:val="22"/>
          <w:szCs w:val="22"/>
        </w:rPr>
        <w:t xml:space="preserve">Adding physicians: </w:t>
      </w:r>
      <w:r>
        <w:rPr>
          <w:rFonts w:ascii="Arial" w:cs="Arial" w:eastAsia="Arial" w:hAnsi="Arial"/>
          <w:color w:val="1A1A2E"/>
          <w:sz w:val="22"/>
          <w:szCs w:val="22"/>
        </w:rPr>
        <w:t xml:space="preserve">New physicians can be added at any time, prorated to the practice’s billing cycle.</w:t>
      </w:r>
    </w:p>
    <w:p>
      <w:pPr>
        <w:spacing w:after="200"/>
        <w:jc w:val="left"/>
      </w:pPr>
      <w:r>
        <w:rPr>
          <w:rFonts w:ascii="Arial" w:cs="Arial" w:eastAsia="Arial" w:hAnsi="Arial"/>
          <w:b/>
          <w:bCs/>
          <w:color w:val="1A1A2E"/>
          <w:sz w:val="22"/>
          <w:szCs w:val="22"/>
        </w:rPr>
        <w:t xml:space="preserve">Removing physicians: </w:t>
      </w:r>
      <w:r>
        <w:rPr>
          <w:rFonts w:ascii="Arial" w:cs="Arial" w:eastAsia="Arial" w:hAnsi="Arial"/>
          <w:color w:val="1A1A2E"/>
          <w:sz w:val="22"/>
          <w:szCs w:val="22"/>
        </w:rPr>
        <w:t xml:space="preserve">Removal is effective at the end of the current calendar month, regardless of the practice’s billing cycle. If the practice drops below five physicians, the clinic tier discount is removed and remaining physicians are billed at the standard individual rate from the next billing cycle.</w:t>
      </w:r>
    </w:p>
    <w:p>
      <w:pPr>
        <w:spacing w:after="80"/>
      </w:pPr>
    </w:p>
    <w:p>
      <w:pPr>
        <w:pStyle w:val="Heading2"/>
      </w:pPr>
      <w:r>
        <w:t xml:space="preserve">2.4 Clinic Administrator Dashboard Scope</w:t>
      </w:r>
    </w:p>
    <w:p>
      <w:pPr>
        <w:spacing w:after="200"/>
        <w:jc w:val="left"/>
      </w:pPr>
      <w:r>
        <w:rPr>
          <w:rFonts w:ascii="Arial" w:cs="Arial" w:eastAsia="Arial" w:hAnsi="Arial"/>
          <w:b w:val="false"/>
          <w:bCs w:val="false"/>
          <w:i w:val="false"/>
          <w:iCs w:val="false"/>
          <w:color w:val="1A1A2E"/>
          <w:sz w:val="22"/>
          <w:szCs w:val="22"/>
        </w:rPr>
        <w:t xml:space="preserve">The practice administrator has access to the following and nothing more:</w:t>
      </w:r>
    </w:p>
    <w:p>
      <w:pPr>
        <w:spacing w:after="40"/>
      </w:pPr>
    </w:p>
    <w:p>
      <w:pPr>
        <w:spacing w:after="200"/>
        <w:jc w:val="left"/>
      </w:pPr>
      <w:r>
        <w:rPr>
          <w:rFonts w:ascii="Arial" w:cs="Arial" w:eastAsia="Arial" w:hAnsi="Arial"/>
          <w:b/>
          <w:bCs/>
          <w:color w:val="1A1A2E"/>
          <w:sz w:val="22"/>
          <w:szCs w:val="22"/>
        </w:rPr>
        <w:t xml:space="preserve">Visible to the practice administrator: </w:t>
      </w:r>
      <w:r>
        <w:rPr>
          <w:rFonts w:ascii="Arial" w:cs="Arial" w:eastAsia="Arial" w:hAnsi="Arial"/>
          <w:color w:val="1A1A2E"/>
          <w:sz w:val="22"/>
          <w:szCs w:val="22"/>
        </w:rPr>
        <w:t xml:space="preserve">which physicians are currently on the practice account, the consolidated practice invoice, and seat management (adding and removing physicians).</w:t>
      </w:r>
    </w:p>
    <w:p>
      <w:pPr>
        <w:spacing w:after="200"/>
        <w:jc w:val="left"/>
      </w:pPr>
      <w:r>
        <w:rPr>
          <w:rFonts w:ascii="Arial" w:cs="Arial" w:eastAsia="Arial" w:hAnsi="Arial"/>
          <w:b/>
          <w:bCs/>
          <w:color w:val="1A1A2E"/>
          <w:sz w:val="22"/>
          <w:szCs w:val="22"/>
        </w:rPr>
        <w:t xml:space="preserve">Not visible to the practice administrator: </w:t>
      </w:r>
      <w:r>
        <w:rPr>
          <w:rFonts w:ascii="Arial" w:cs="Arial" w:eastAsia="Arial" w:hAnsi="Arial"/>
          <w:color w:val="1A1A2E"/>
          <w:sz w:val="22"/>
          <w:szCs w:val="22"/>
        </w:rPr>
        <w:t xml:space="preserve">individual physician claim data, individual billing volumes, rejection rates, revenue figures, or any claim-level detail belonging to another physician on the account.</w:t>
      </w:r>
    </w:p>
    <w:p>
      <w:pPr>
        <w:spacing w:after="200"/>
        <w:jc w:val="left"/>
      </w:pPr>
      <w:r>
        <w:rPr>
          <w:rFonts w:ascii="Arial" w:cs="Arial" w:eastAsia="Arial" w:hAnsi="Arial"/>
          <w:b w:val="false"/>
          <w:bCs w:val="false"/>
          <w:i w:val="false"/>
          <w:iCs w:val="false"/>
          <w:color w:val="1A1A2E"/>
          <w:sz w:val="22"/>
          <w:szCs w:val="22"/>
        </w:rPr>
        <w:t xml:space="preserve">This boundary is non-negotiable. Individual physician billing data is personal professional information, and exposing it to a practice administrator would create a surveillance dynamic that is antithetical to Meritum’s positioning on control and data ownership. It also raises potential concerns under the Health Information Act regarding access to patient-adjacent data. If a practice owner wants visibility into individual physician performance, that is a management conversation, not a dashboard feature.</w:t>
      </w:r>
    </w:p>
    <w:p>
      <w:pPr>
        <w:spacing w:after="80"/>
      </w:pPr>
    </w:p>
    <w:p>
      <w:pPr>
        <w:pStyle w:val="Heading2"/>
      </w:pPr>
      <w:r>
        <w:t xml:space="preserve">2.5 Interaction: Early Bird and Clinic Tier</w:t>
      </w:r>
    </w:p>
    <w:p>
      <w:pPr>
        <w:spacing w:after="200"/>
        <w:jc w:val="left"/>
      </w:pPr>
      <w:r>
        <w:rPr>
          <w:rFonts w:ascii="Arial" w:cs="Arial" w:eastAsia="Arial" w:hAnsi="Arial"/>
          <w:b w:val="false"/>
          <w:bCs w:val="false"/>
          <w:i w:val="false"/>
          <w:iCs w:val="false"/>
          <w:color w:val="1A1A2E"/>
          <w:sz w:val="22"/>
          <w:szCs w:val="22"/>
        </w:rPr>
        <w:t xml:space="preserve">The early bird rate and the clinic tier discount do not stack. A practice signing up during the early bird window should take the early bird rate on each physician’s individual subscription, since $199/month is always more favourable than the clinic tier rate. Each early bird signup counts against the 100-spot cap.</w:t>
      </w:r>
    </w:p>
    <w:p>
      <w:pPr>
        <w:spacing w:after="40"/>
      </w:pPr>
    </w:p>
    <w:p>
      <w:pPr>
        <w:spacing w:after="200"/>
        <w:jc w:val="left"/>
      </w:pPr>
      <w:r>
        <w:rPr>
          <w:rFonts w:ascii="Arial" w:cs="Arial" w:eastAsia="Arial" w:hAnsi="Arial"/>
          <w:b w:val="false"/>
          <w:bCs w:val="false"/>
          <w:i w:val="false"/>
          <w:iCs w:val="false"/>
          <w:color w:val="1A1A2E"/>
          <w:sz w:val="22"/>
          <w:szCs w:val="22"/>
        </w:rPr>
        <w:t xml:space="preserve">After the early bird period expires (12 months from each physician’s signup date), the practice can transition to clinic tier billing if they have five or more active physicians. The practice administrator should be notified proactively before the first physician’s early bird rate expires, with the option to move to clinic tier billing.</w:t>
      </w:r>
    </w:p>
    <w:p>
      <w:r>
        <w:br w:type="page"/>
      </w:r>
    </w:p>
    <w:p>
      <w:pPr>
        <w:spacing w:before="400" w:after="100"/>
      </w:pPr>
      <w:r>
        <w:rPr>
          <w:rFonts w:ascii="Arial" w:cs="Arial" w:eastAsia="Arial" w:hAnsi="Arial"/>
          <w:b/>
          <w:bCs/>
          <w:color w:val="2E75B6"/>
          <w:sz w:val="18"/>
          <w:szCs w:val="18"/>
        </w:rPr>
        <w:t xml:space="preserve">SECTION 3</w:t>
      </w:r>
    </w:p>
    <w:p>
      <w:pPr>
        <w:pStyle w:val="Heading1"/>
      </w:pPr>
      <w:r>
        <w:t xml:space="preserve">Product Scope</w:t>
      </w:r>
    </w:p>
    <w:p>
      <w:pPr>
        <w:spacing w:after="200"/>
        <w:jc w:val="left"/>
      </w:pPr>
      <w:r>
        <w:rPr>
          <w:rFonts w:ascii="Arial" w:cs="Arial" w:eastAsia="Arial" w:hAnsi="Arial"/>
          <w:b w:val="false"/>
          <w:bCs w:val="false"/>
          <w:i w:val="false"/>
          <w:iCs w:val="false"/>
          <w:color w:val="666666"/>
          <w:sz w:val="22"/>
          <w:szCs w:val="22"/>
        </w:rPr>
        <w:t xml:space="preserve">What every subscription includes, regardless of tier. This section defines scope for internal reference and should be reflected consistently in all customer-facing copy.</w:t>
      </w:r>
    </w:p>
    <w:p>
      <w:pPr>
        <w:spacing w:after="80"/>
      </w:pPr>
    </w:p>
    <w:p>
      <w:pPr>
        <w:pStyle w:val="Heading2"/>
      </w:pPr>
      <w:r>
        <w:t xml:space="preserve">3.1 Billing Streams</w:t>
      </w:r>
    </w:p>
    <w:p>
      <w:pPr>
        <w:spacing w:after="200"/>
        <w:jc w:val="left"/>
      </w:pPr>
      <w:r>
        <w:rPr>
          <w:rFonts w:ascii="Arial" w:cs="Arial" w:eastAsia="Arial" w:hAnsi="Arial"/>
          <w:b/>
          <w:bCs/>
          <w:color w:val="1A1A2E"/>
          <w:sz w:val="22"/>
          <w:szCs w:val="22"/>
        </w:rPr>
        <w:t xml:space="preserve">AHCIP fee-for-service claims: </w:t>
      </w:r>
      <w:r>
        <w:rPr>
          <w:rFonts w:ascii="Arial" w:cs="Arial" w:eastAsia="Arial" w:hAnsi="Arial"/>
          <w:color w:val="1A1A2E"/>
          <w:sz w:val="22"/>
          <w:szCs w:val="22"/>
        </w:rPr>
        <w:t xml:space="preserve">Full claim lifecycle from entry through submission via H-Link on the Thursday cycle, assessment matching, and rejection tracking.</w:t>
      </w:r>
    </w:p>
    <w:p>
      <w:pPr>
        <w:spacing w:after="200"/>
        <w:jc w:val="left"/>
      </w:pPr>
      <w:r>
        <w:rPr>
          <w:rFonts w:ascii="Arial" w:cs="Arial" w:eastAsia="Arial" w:hAnsi="Arial"/>
          <w:b/>
          <w:bCs/>
          <w:color w:val="1A1A2E"/>
          <w:sz w:val="22"/>
          <w:szCs w:val="22"/>
        </w:rPr>
        <w:t xml:space="preserve">WCB Alberta claims: </w:t>
      </w:r>
      <w:r>
        <w:rPr>
          <w:rFonts w:ascii="Arial" w:cs="Arial" w:eastAsia="Arial" w:hAnsi="Arial"/>
          <w:color w:val="1A1A2E"/>
          <w:sz w:val="22"/>
          <w:szCs w:val="22"/>
        </w:rPr>
        <w:t xml:space="preserve">Integrated WCB billing within the same platform. Works for every physician regardless of EMR or system configuration.</w:t>
      </w:r>
    </w:p>
    <w:p>
      <w:pPr>
        <w:spacing w:after="200"/>
        <w:jc w:val="left"/>
      </w:pPr>
      <w:r>
        <w:rPr>
          <w:rFonts w:ascii="Arial" w:cs="Arial" w:eastAsia="Arial" w:hAnsi="Arial"/>
          <w:b/>
          <w:bCs/>
          <w:color w:val="1A1A2E"/>
          <w:sz w:val="22"/>
          <w:szCs w:val="22"/>
        </w:rPr>
        <w:t xml:space="preserve">PCPCM (Primary Care Panel and Continuity Model): </w:t>
      </w:r>
      <w:r>
        <w:rPr>
          <w:rFonts w:ascii="Arial" w:cs="Arial" w:eastAsia="Arial" w:hAnsi="Arial"/>
          <w:color w:val="1A1A2E"/>
          <w:sz w:val="22"/>
          <w:szCs w:val="22"/>
        </w:rPr>
        <w:t xml:space="preserve">Panel enrolment tracking and payment reconciliation. PCPCM is a fundamentally different payment model from fee-for-service (capitation-based rather than per-claim), and Meritum treats it as a separate billing stream with its own tracking and reconciliation workflow. This is not an add-on; it is included in every subscription.</w:t>
      </w:r>
    </w:p>
    <w:p>
      <w:pPr>
        <w:spacing w:after="80"/>
      </w:pPr>
    </w:p>
    <w:p>
      <w:pPr>
        <w:pStyle w:val="Heading2"/>
      </w:pPr>
      <w:r>
        <w:t xml:space="preserve">3.2 Rules Engine</w:t>
      </w:r>
    </w:p>
    <w:p>
      <w:pPr>
        <w:spacing w:after="200"/>
        <w:jc w:val="left"/>
      </w:pPr>
      <w:r>
        <w:rPr>
          <w:rFonts w:ascii="Arial" w:cs="Arial" w:eastAsia="Arial" w:hAnsi="Arial"/>
          <w:b w:val="false"/>
          <w:bCs w:val="false"/>
          <w:i w:val="false"/>
          <w:iCs w:val="false"/>
          <w:color w:val="1A1A2E"/>
          <w:sz w:val="22"/>
          <w:szCs w:val="22"/>
        </w:rPr>
        <w:t xml:space="preserve">Pre-submission validation against every applicable AHCIP governing rule. The rules engine checks every claim before it leaves the platform: modifier eligibility, time-period requirements, duplicate detection, age-based benefits, RRNP premiums, and governing rule compliance. This is the primary quality control mechanism and should always be described first in marketing copy.</w:t>
      </w:r>
    </w:p>
    <w:p>
      <w:pPr>
        <w:spacing w:after="80"/>
      </w:pPr>
    </w:p>
    <w:p>
      <w:pPr>
        <w:pStyle w:val="Heading2"/>
      </w:pPr>
      <w:r>
        <w:t xml:space="preserve">3.3 Advice Engine</w:t>
      </w:r>
    </w:p>
    <w:p>
      <w:pPr>
        <w:spacing w:after="200"/>
        <w:jc w:val="left"/>
      </w:pPr>
      <w:r>
        <w:rPr>
          <w:rFonts w:ascii="Arial" w:cs="Arial" w:eastAsia="Arial" w:hAnsi="Arial"/>
          <w:b w:val="false"/>
          <w:bCs w:val="false"/>
          <w:i w:val="false"/>
          <w:iCs w:val="false"/>
          <w:color w:val="1A1A2E"/>
          <w:sz w:val="22"/>
          <w:szCs w:val="22"/>
        </w:rPr>
        <w:t xml:space="preserve">The advice engine operates alongside the rules engine but serves a different function. Where the rules engine validates compliance (catching errors before submission), the advice engine identifies optimisation opportunities: codes or modifiers the physician may have missed, and billing pattern analysis that surfaces trends and potential revenue recovery across the physician’s claim history.</w:t>
      </w:r>
    </w:p>
    <w:p>
      <w:pPr>
        <w:spacing w:after="40"/>
      </w:pPr>
    </w:p>
    <w:p>
      <w:pPr>
        <w:spacing w:after="200"/>
        <w:jc w:val="left"/>
      </w:pPr>
      <w:r>
        <w:rPr>
          <w:rFonts w:ascii="Arial" w:cs="Arial" w:eastAsia="Arial" w:hAnsi="Arial"/>
          <w:b w:val="false"/>
          <w:bCs w:val="false"/>
          <w:i w:val="false"/>
          <w:iCs w:val="false"/>
          <w:color w:val="1A1A2E"/>
          <w:sz w:val="22"/>
          <w:szCs w:val="22"/>
        </w:rPr>
        <w:t xml:space="preserve">In marketing copy, the rules engine should always be described first because compliance and error prevention are the primary trust-building messages. The advice engine is the secondary message: not just catching mistakes, but actively helping physicians bill more effectively. Both are included in every subscription.</w:t>
      </w:r>
    </w:p>
    <w:p>
      <w:pPr>
        <w:spacing w:after="40"/>
      </w:pPr>
    </w:p>
    <w:p>
      <w:pPr>
        <w:spacing w:after="200"/>
        <w:jc w:val="left"/>
      </w:pPr>
      <w:r>
        <w:rPr>
          <w:rFonts w:ascii="Arial" w:cs="Arial" w:eastAsia="Arial" w:hAnsi="Arial"/>
          <w:b w:val="false"/>
          <w:bCs w:val="false"/>
          <w:i w:val="false"/>
          <w:iCs w:val="false"/>
          <w:color w:val="1A1A2E"/>
          <w:sz w:val="22"/>
          <w:szCs w:val="22"/>
        </w:rPr>
        <w:t xml:space="preserve">Critical language note: the advice engine should never be described as “AI” in customer-facing copy. Use: “advice engine,” “billing optimisation,” “pattern analysis,” “revenue recovery suggestions.” The same “rules over AI” framing from the brand context document applies.</w:t>
      </w:r>
    </w:p>
    <w:p>
      <w:pPr>
        <w:spacing w:after="80"/>
      </w:pPr>
    </w:p>
    <w:p>
      <w:pPr>
        <w:pStyle w:val="Heading2"/>
      </w:pPr>
      <w:r>
        <w:t xml:space="preserve">3.4 Continuous Platform Updates</w:t>
      </w:r>
    </w:p>
    <w:p>
      <w:pPr>
        <w:spacing w:after="200"/>
        <w:jc w:val="left"/>
      </w:pPr>
      <w:r>
        <w:rPr>
          <w:rFonts w:ascii="Arial" w:cs="Arial" w:eastAsia="Arial" w:hAnsi="Arial"/>
          <w:b w:val="false"/>
          <w:bCs w:val="false"/>
          <w:i w:val="false"/>
          <w:iCs w:val="false"/>
          <w:color w:val="1A1A2E"/>
          <w:sz w:val="22"/>
          <w:szCs w:val="22"/>
        </w:rPr>
        <w:t xml:space="preserve">Every subscription includes all future platform improvements, feature additions, and rule updates at no additional cost. When AHCIP governing rules change (including the annual April 1 fee schedule update), Meritum’s rules engine is updated and every physician benefits automatically. This is a core SaaS value proposition and should be stated explicitly in customer-facing copy rather than assumed.</w:t>
      </w:r>
    </w:p>
    <w:p>
      <w:r>
        <w:br w:type="page"/>
      </w:r>
    </w:p>
    <w:p>
      <w:pPr>
        <w:spacing w:before="400" w:after="100"/>
      </w:pPr>
      <w:r>
        <w:rPr>
          <w:rFonts w:ascii="Arial" w:cs="Arial" w:eastAsia="Arial" w:hAnsi="Arial"/>
          <w:b/>
          <w:bCs/>
          <w:color w:val="2E75B6"/>
          <w:sz w:val="18"/>
          <w:szCs w:val="18"/>
        </w:rPr>
        <w:t xml:space="preserve">SECTION 4</w:t>
      </w:r>
    </w:p>
    <w:p>
      <w:pPr>
        <w:pStyle w:val="Heading1"/>
      </w:pPr>
      <w:r>
        <w:t xml:space="preserve">Referral Program</w:t>
      </w:r>
    </w:p>
    <w:p>
      <w:pPr>
        <w:pStyle w:val="Heading2"/>
      </w:pPr>
      <w:r>
        <w:t xml:space="preserve">4.1 Core Mechanic</w:t>
      </w:r>
    </w:p>
    <w:p>
      <w:pPr>
        <w:spacing w:after="200"/>
        <w:jc w:val="left"/>
      </w:pPr>
      <w:r>
        <w:rPr>
          <w:rFonts w:ascii="Arial" w:cs="Arial" w:eastAsia="Arial" w:hAnsi="Arial"/>
          <w:b w:val="false"/>
          <w:bCs w:val="false"/>
          <w:i w:val="false"/>
          <w:iCs w:val="false"/>
          <w:color w:val="1A1A2E"/>
          <w:sz w:val="22"/>
          <w:szCs w:val="22"/>
        </w:rPr>
        <w:t xml:space="preserve">Refer a physician who signs up and stays for at least one full billing cycle, and the referring physician receives one month’s subscription credited to their account, applied to the next invoice.</w:t>
      </w:r>
    </w:p>
    <w:p>
      <w:pPr>
        <w:spacing w:after="40"/>
      </w:pPr>
    </w:p>
    <w:p>
      <w:pPr>
        <w:spacing w:after="200"/>
        <w:jc w:val="left"/>
      </w:pPr>
      <w:r>
        <w:rPr>
          <w:rFonts w:ascii="Arial" w:cs="Arial" w:eastAsia="Arial" w:hAnsi="Arial"/>
          <w:b/>
          <w:bCs/>
          <w:color w:val="1A1A2E"/>
          <w:sz w:val="22"/>
          <w:szCs w:val="22"/>
        </w:rPr>
        <w:t xml:space="preserve">Maximum credits: </w:t>
      </w:r>
      <w:r>
        <w:rPr>
          <w:rFonts w:ascii="Arial" w:cs="Arial" w:eastAsia="Arial" w:hAnsi="Arial"/>
          <w:color w:val="1A1A2E"/>
          <w:sz w:val="22"/>
          <w:szCs w:val="22"/>
        </w:rPr>
        <w:t xml:space="preserve">Three per year, counted from the referring physician’s signup anniversary.</w:t>
      </w:r>
    </w:p>
    <w:p>
      <w:pPr>
        <w:spacing w:after="200"/>
        <w:jc w:val="left"/>
      </w:pPr>
      <w:r>
        <w:rPr>
          <w:rFonts w:ascii="Arial" w:cs="Arial" w:eastAsia="Arial" w:hAnsi="Arial"/>
          <w:b/>
          <w:bCs/>
          <w:color w:val="1A1A2E"/>
          <w:sz w:val="22"/>
          <w:szCs w:val="22"/>
        </w:rPr>
        <w:t xml:space="preserve">Credit value: </w:t>
      </w:r>
      <w:r>
        <w:rPr>
          <w:rFonts w:ascii="Arial" w:cs="Arial" w:eastAsia="Arial" w:hAnsi="Arial"/>
          <w:color w:val="1A1A2E"/>
          <w:sz w:val="22"/>
          <w:szCs w:val="22"/>
        </w:rPr>
        <w:t xml:space="preserve">One month at the referring physician’s current rate ($199 early bird, $279 standard, $251.10 clinic, or $265.08/$238.58 for annual subscribers calculated at the monthly equivalent).</w:t>
      </w:r>
    </w:p>
    <w:p>
      <w:pPr>
        <w:spacing w:after="200"/>
        <w:jc w:val="left"/>
      </w:pPr>
      <w:r>
        <w:rPr>
          <w:rFonts w:ascii="Arial" w:cs="Arial" w:eastAsia="Arial" w:hAnsi="Arial"/>
          <w:b/>
          <w:bCs/>
          <w:color w:val="1A1A2E"/>
          <w:sz w:val="22"/>
          <w:szCs w:val="22"/>
        </w:rPr>
        <w:t xml:space="preserve">Credit application: </w:t>
      </w:r>
      <w:r>
        <w:rPr>
          <w:rFonts w:ascii="Arial" w:cs="Arial" w:eastAsia="Arial" w:hAnsi="Arial"/>
          <w:color w:val="1A1A2E"/>
          <w:sz w:val="22"/>
          <w:szCs w:val="22"/>
        </w:rPr>
        <w:t xml:space="preserve">Applied sequentially to future invoices, one per billing period. For annual subscribers, credits are applied as a monetary reduction on the next annual renewal.</w:t>
      </w:r>
    </w:p>
    <w:p>
      <w:pPr>
        <w:spacing w:after="80"/>
      </w:pPr>
    </w:p>
    <w:p>
      <w:pPr>
        <w:pStyle w:val="Heading2"/>
      </w:pPr>
      <w:r>
        <w:t xml:space="preserve">4.2 Eligibility Rules</w:t>
      </w:r>
    </w:p>
    <w:p>
      <w:pPr>
        <w:spacing w:after="200"/>
        <w:jc w:val="left"/>
      </w:pPr>
      <w:r>
        <w:rPr>
          <w:rFonts w:ascii="Arial" w:cs="Arial" w:eastAsia="Arial" w:hAnsi="Arial"/>
          <w:b/>
          <w:bCs/>
          <w:color w:val="1A1A2E"/>
          <w:sz w:val="22"/>
          <w:szCs w:val="22"/>
        </w:rPr>
        <w:t xml:space="preserve">Who can refer: </w:t>
      </w:r>
      <w:r>
        <w:rPr>
          <w:rFonts w:ascii="Arial" w:cs="Arial" w:eastAsia="Arial" w:hAnsi="Arial"/>
          <w:color w:val="1A1A2E"/>
          <w:sz w:val="22"/>
          <w:szCs w:val="22"/>
        </w:rPr>
        <w:t xml:space="preserve">Any physician with an active Meritum subscription.</w:t>
      </w:r>
    </w:p>
    <w:p>
      <w:pPr>
        <w:spacing w:after="200"/>
        <w:jc w:val="left"/>
      </w:pPr>
      <w:r>
        <w:rPr>
          <w:rFonts w:ascii="Arial" w:cs="Arial" w:eastAsia="Arial" w:hAnsi="Arial"/>
          <w:b/>
          <w:bCs/>
          <w:color w:val="1A1A2E"/>
          <w:sz w:val="22"/>
          <w:szCs w:val="22"/>
        </w:rPr>
        <w:t xml:space="preserve">Who can be referred: </w:t>
      </w:r>
      <w:r>
        <w:rPr>
          <w:rFonts w:ascii="Arial" w:cs="Arial" w:eastAsia="Arial" w:hAnsi="Arial"/>
          <w:color w:val="1A1A2E"/>
          <w:sz w:val="22"/>
          <w:szCs w:val="22"/>
        </w:rPr>
        <w:t xml:space="preserve">Any physician who does not currently have and has not previously had a Meritum subscription.</w:t>
      </w:r>
    </w:p>
    <w:p>
      <w:pPr>
        <w:spacing w:after="200"/>
        <w:jc w:val="left"/>
      </w:pPr>
      <w:r>
        <w:rPr>
          <w:rFonts w:ascii="Arial" w:cs="Arial" w:eastAsia="Arial" w:hAnsi="Arial"/>
          <w:b/>
          <w:bCs/>
          <w:color w:val="1A1A2E"/>
          <w:sz w:val="22"/>
          <w:szCs w:val="22"/>
        </w:rPr>
        <w:t xml:space="preserve">Qualifying event: </w:t>
      </w:r>
      <w:r>
        <w:rPr>
          <w:rFonts w:ascii="Arial" w:cs="Arial" w:eastAsia="Arial" w:hAnsi="Arial"/>
          <w:color w:val="1A1A2E"/>
          <w:sz w:val="22"/>
          <w:szCs w:val="22"/>
        </w:rPr>
        <w:t xml:space="preserve">The referred physician must complete at least one full billing cycle before the referral credit is issued.</w:t>
      </w:r>
    </w:p>
    <w:p>
      <w:pPr>
        <w:spacing w:after="80"/>
      </w:pPr>
    </w:p>
    <w:p>
      <w:pPr>
        <w:pStyle w:val="Heading2"/>
      </w:pPr>
      <w:r>
        <w:t xml:space="preserve">4.3 Clinic Tier Interaction</w:t>
      </w:r>
    </w:p>
    <w:p>
      <w:pPr>
        <w:spacing w:after="200"/>
        <w:jc w:val="left"/>
      </w:pPr>
      <w:r>
        <w:rPr>
          <w:rFonts w:ascii="Arial" w:cs="Arial" w:eastAsia="Arial" w:hAnsi="Arial"/>
          <w:b w:val="false"/>
          <w:bCs w:val="false"/>
          <w:i w:val="false"/>
          <w:iCs w:val="false"/>
          <w:color w:val="1A1A2E"/>
          <w:sz w:val="22"/>
          <w:szCs w:val="22"/>
        </w:rPr>
        <w:t xml:space="preserve">Physicians on a clinic tier account can refer physicians outside their own practice. Physicians within the same practice account cannot refer each other; adding a physician to a practice is a seat addition, not a referral.</w:t>
      </w:r>
    </w:p>
    <w:p>
      <w:pPr>
        <w:spacing w:after="40"/>
      </w:pPr>
    </w:p>
    <w:p>
      <w:pPr>
        <w:spacing w:after="200"/>
        <w:jc w:val="left"/>
      </w:pPr>
      <w:r>
        <w:rPr>
          <w:rFonts w:ascii="Arial" w:cs="Arial" w:eastAsia="Arial" w:hAnsi="Arial"/>
          <w:b w:val="false"/>
          <w:bCs w:val="false"/>
          <w:i w:val="false"/>
          <w:iCs w:val="false"/>
          <w:color w:val="1A1A2E"/>
          <w:sz w:val="22"/>
          <w:szCs w:val="22"/>
        </w:rPr>
        <w:t xml:space="preserve">When a clinic tier physician earns a referral credit, they choose where the credit is applied:</w:t>
      </w:r>
    </w:p>
    <w:p>
      <w:pPr>
        <w:spacing w:after="40"/>
      </w:pPr>
    </w:p>
    <w:p>
      <w:pPr>
        <w:spacing w:after="200"/>
        <w:jc w:val="left"/>
      </w:pPr>
      <w:r>
        <w:rPr>
          <w:rFonts w:ascii="Arial" w:cs="Arial" w:eastAsia="Arial" w:hAnsi="Arial"/>
          <w:b/>
          <w:bCs/>
          <w:color w:val="1A1A2E"/>
          <w:sz w:val="22"/>
          <w:szCs w:val="22"/>
        </w:rPr>
        <w:t xml:space="preserve">Option A: Apply to the practice invoice. </w:t>
      </w:r>
      <w:r>
        <w:rPr>
          <w:rFonts w:ascii="Arial" w:cs="Arial" w:eastAsia="Arial" w:hAnsi="Arial"/>
          <w:color w:val="1A1A2E"/>
          <w:sz w:val="22"/>
          <w:szCs w:val="22"/>
        </w:rPr>
        <w:t xml:space="preserve">The credit reduces the practice’s next invoice by the referring physician’s per-seat monthly value. This benefits the practice directly.</w:t>
      </w:r>
    </w:p>
    <w:p>
      <w:pPr>
        <w:spacing w:after="200"/>
        <w:jc w:val="left"/>
      </w:pPr>
      <w:r>
        <w:rPr>
          <w:rFonts w:ascii="Arial" w:cs="Arial" w:eastAsia="Arial" w:hAnsi="Arial"/>
          <w:b/>
          <w:bCs/>
          <w:color w:val="1A1A2E"/>
          <w:sz w:val="22"/>
          <w:szCs w:val="22"/>
        </w:rPr>
        <w:t xml:space="preserve">Option B: Bank against a future individual subscription. </w:t>
      </w:r>
      <w:r>
        <w:rPr>
          <w:rFonts w:ascii="Arial" w:cs="Arial" w:eastAsia="Arial" w:hAnsi="Arial"/>
          <w:color w:val="1A1A2E"/>
          <w:sz w:val="22"/>
          <w:szCs w:val="22"/>
        </w:rPr>
        <w:t xml:space="preserve">The credit is held in the physician’s personal account. If the physician ever moves to an individual Meritum subscription (e.g. leaving the practice), banked credits are applied to their first invoices.</w:t>
      </w:r>
    </w:p>
    <w:p>
      <w:pPr>
        <w:spacing w:after="200"/>
        <w:jc w:val="left"/>
      </w:pPr>
      <w:r>
        <w:rPr>
          <w:rFonts w:ascii="Arial" w:cs="Arial" w:eastAsia="Arial" w:hAnsi="Arial"/>
          <w:b w:val="false"/>
          <w:bCs w:val="false"/>
          <w:i w:val="false"/>
          <w:iCs w:val="false"/>
          <w:color w:val="1A1A2E"/>
          <w:sz w:val="22"/>
          <w:szCs w:val="22"/>
        </w:rPr>
        <w:t xml:space="preserve">This choice is presented to the referring physician when the referral qualifies. The default is Option A (practice invoice), but the physician can select Option B at the time the credit is issued. The choice cannot be changed after the credit is applied.</w:t>
      </w:r>
    </w:p>
    <w:p>
      <w:pPr>
        <w:spacing w:after="40"/>
      </w:pPr>
    </w:p>
    <w:p>
      <w:pPr>
        <w:spacing w:after="200"/>
        <w:jc w:val="left"/>
      </w:pPr>
      <w:r>
        <w:rPr>
          <w:rFonts w:ascii="Arial" w:cs="Arial" w:eastAsia="Arial" w:hAnsi="Arial"/>
          <w:b w:val="false"/>
          <w:bCs w:val="false"/>
          <w:i w:val="false"/>
          <w:iCs w:val="false"/>
          <w:color w:val="1A1A2E"/>
          <w:sz w:val="22"/>
          <w:szCs w:val="22"/>
        </w:rPr>
        <w:t xml:space="preserve">Rationale: clinic tier physicians are often associates or independent contractors who have no stake in the practice’s overhead costs. A referral credit that only reduces someone else’s invoice is not a meaningful incentive. Giving the physician the choice preserves the referral growth channel while respecting the physician’s autonomy, which aligns with the control pillar of the brand positioning.</w:t>
      </w:r>
    </w:p>
    <w:p>
      <w:pPr>
        <w:spacing w:after="80"/>
      </w:pPr>
    </w:p>
    <w:p>
      <w:pPr>
        <w:pStyle w:val="Heading2"/>
      </w:pPr>
      <w:r>
        <w:t xml:space="preserve">4.4 Referee Incentive</w:t>
      </w:r>
    </w:p>
    <w:p>
      <w:pPr>
        <w:spacing w:after="200"/>
        <w:jc w:val="left"/>
      </w:pPr>
      <w:r>
        <w:rPr>
          <w:rFonts w:ascii="Arial" w:cs="Arial" w:eastAsia="Arial" w:hAnsi="Arial"/>
          <w:b/>
          <w:bCs/>
          <w:color w:val="1A1A2E"/>
          <w:sz w:val="22"/>
          <w:szCs w:val="22"/>
        </w:rPr>
        <w:t xml:space="preserve">During early bird window: </w:t>
      </w:r>
      <w:r>
        <w:rPr>
          <w:rFonts w:ascii="Arial" w:cs="Arial" w:eastAsia="Arial" w:hAnsi="Arial"/>
          <w:color w:val="1A1A2E"/>
          <w:sz w:val="22"/>
          <w:szCs w:val="22"/>
        </w:rPr>
        <w:t xml:space="preserve">No incentive for the referred physician beyond accessing the early bird rate (if spots remain).</w:t>
      </w:r>
    </w:p>
    <w:p>
      <w:pPr>
        <w:spacing w:after="200"/>
        <w:jc w:val="left"/>
      </w:pPr>
      <w:r>
        <w:rPr>
          <w:rFonts w:ascii="Arial" w:cs="Arial" w:eastAsia="Arial" w:hAnsi="Arial"/>
          <w:b/>
          <w:bCs/>
          <w:color w:val="1A1A2E"/>
          <w:sz w:val="22"/>
          <w:szCs w:val="22"/>
        </w:rPr>
        <w:t xml:space="preserve">After early bird window closes: </w:t>
      </w:r>
      <w:r>
        <w:rPr>
          <w:rFonts w:ascii="Arial" w:cs="Arial" w:eastAsia="Arial" w:hAnsi="Arial"/>
          <w:color w:val="1A1A2E"/>
          <w:sz w:val="22"/>
          <w:szCs w:val="22"/>
        </w:rPr>
        <w:t xml:space="preserve">Referred physicians receive their first month free at the standard rate. This does not apply to clinic tier signups.</w:t>
      </w:r>
    </w:p>
    <w:p>
      <w:r>
        <w:br w:type="page"/>
      </w:r>
    </w:p>
    <w:p>
      <w:pPr>
        <w:spacing w:before="400" w:after="100"/>
      </w:pPr>
      <w:r>
        <w:rPr>
          <w:rFonts w:ascii="Arial" w:cs="Arial" w:eastAsia="Arial" w:hAnsi="Arial"/>
          <w:b/>
          <w:bCs/>
          <w:color w:val="2E75B6"/>
          <w:sz w:val="18"/>
          <w:szCs w:val="18"/>
        </w:rPr>
        <w:t xml:space="preserve">SECTION 5</w:t>
      </w:r>
    </w:p>
    <w:p>
      <w:pPr>
        <w:pStyle w:val="Heading1"/>
      </w:pPr>
      <w:r>
        <w:t xml:space="preserve">Complete Rate Card</w:t>
      </w:r>
    </w:p>
    <w:p>
      <w:pPr>
        <w:spacing w:after="200"/>
        <w:jc w:val="left"/>
      </w:pPr>
      <w:r>
        <w:rPr>
          <w:rFonts w:ascii="Arial" w:cs="Arial" w:eastAsia="Arial" w:hAnsi="Arial"/>
          <w:b w:val="false"/>
          <w:bCs w:val="false"/>
          <w:i w:val="false"/>
          <w:iCs w:val="false"/>
          <w:color w:val="666666"/>
          <w:sz w:val="22"/>
          <w:szCs w:val="22"/>
        </w:rPr>
        <w:t xml:space="preserve">All rates in CAD, exclusive of 5% GST.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200"/>
        <w:gridCol w:w="1260"/>
      </w:tblGrid>
      <w:tr>
        <w:tc>
          <w:tcPr>
            <w:tcW w:type="dxa" w:w="24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Tier</w:t>
            </w:r>
          </w:p>
        </w:tc>
        <w:tc>
          <w:tcPr>
            <w:tcW w:type="dxa" w:w="15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Monthly</w:t>
            </w:r>
          </w:p>
        </w:tc>
        <w:tc>
          <w:tcPr>
            <w:tcW w:type="dxa" w:w="15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Annual</w:t>
            </w:r>
          </w:p>
        </w:tc>
        <w:tc>
          <w:tcPr>
            <w:tcW w:type="dxa" w:w="15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Eff. /month</w:t>
            </w:r>
          </w:p>
        </w:tc>
        <w:tc>
          <w:tcPr>
            <w:tcW w:type="dxa" w:w="120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Discount</w:t>
            </w:r>
          </w:p>
        </w:tc>
        <w:tc>
          <w:tcPr>
            <w:tcW w:type="dxa" w:w="12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Available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Early bird</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$199</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$2,388</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$199.00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Promo</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First 100</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Individual monthly</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$279</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$279.00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Always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Individual annual</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$3,181</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$265.08</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Always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Clinic monthly</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$251.10</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$251.10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MDs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Clinic annual</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$2,863</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$238.58</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~15%</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MDs</w:t>
            </w:r>
          </w:p>
        </w:tc>
      </w:tr>
    </w:tbl>
    <w:p>
      <w:r>
        <w:br w:type="page"/>
      </w:r>
    </w:p>
    <w:p>
      <w:pPr>
        <w:spacing w:before="400" w:after="100"/>
      </w:pPr>
      <w:r>
        <w:rPr>
          <w:rFonts w:ascii="Arial" w:cs="Arial" w:eastAsia="Arial" w:hAnsi="Arial"/>
          <w:b/>
          <w:bCs/>
          <w:color w:val="2E75B6"/>
          <w:sz w:val="18"/>
          <w:szCs w:val="18"/>
        </w:rPr>
        <w:t xml:space="preserve">SECTION 6</w:t>
      </w:r>
    </w:p>
    <w:p>
      <w:pPr>
        <w:pStyle w:val="Heading1"/>
      </w:pPr>
      <w:r>
        <w:t xml:space="preserve">Interaction Rules Summary</w:t>
      </w:r>
    </w:p>
    <w:p>
      <w:pPr>
        <w:spacing w:after="200"/>
        <w:jc w:val="left"/>
      </w:pPr>
      <w:r>
        <w:rPr>
          <w:rFonts w:ascii="Arial" w:cs="Arial" w:eastAsia="Arial" w:hAnsi="Arial"/>
          <w:b w:val="false"/>
          <w:bCs w:val="false"/>
          <w:i w:val="false"/>
          <w:iCs w:val="false"/>
          <w:color w:val="666666"/>
          <w:sz w:val="22"/>
          <w:szCs w:val="22"/>
        </w:rPr>
        <w:t xml:space="preserve">Quick reference for how pricing tiers, discounts, referrals, and lifecycle transitions interact.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Scenario</w:t>
            </w:r>
          </w:p>
        </w:tc>
        <w:tc>
          <w:tcPr>
            <w:tcW w:type="dxa" w:w="468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jc w:val="left"/>
            </w:pPr>
            <w:r>
              <w:rPr>
                <w:rFonts w:ascii="Arial" w:cs="Arial" w:eastAsia="Arial" w:hAnsi="Arial"/>
                <w:b/>
                <w:bCs/>
                <w:color w:val="1A1A2E"/>
                <w:sz w:val="20"/>
                <w:szCs w:val="20"/>
              </w:rPr>
              <w:t xml:space="preserve">Rule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Annual + clinic tier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Stack: 10% clinic + 5% annual = ~15% total. This is the maximum discount.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Early bird + clinic tier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Do not stack. Physician takes early bird rate ($199). Each counts against 100-spot cap.</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Early bird + annual discount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Do not stack. Early bird annual = $2,388 ($199 × 12). No additional 5%.</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Early bird cancels and re-signs up</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Returns at standard rate. Early bird does not survive cancellation.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Early bird expires, physician in practice with 5+</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Practice can transition to clinic tier. Proactive notification before expiry.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Referral within same practice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Not eligible. Seat addition, not a referral.</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Referral by clinic physician to external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Eligible. Referring physician chooses: apply to practice invoice or bank for future individual subscription.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Referee incentive during early bird window</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None beyond early bird rate access.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Referee incentive after early bird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First month free at standard rate. Not available for clinic tier signups.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Multiple referral credits in one month</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Applied sequentially, one per billing period.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Clinic drops below 5 physicians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Clinic discount removed. Remaining physicians at standard individual rate.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Physician removed from clinic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Effective end of current calendar month, regardless of billing cycle.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Annual cancellation within first 6 months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Remaining balance forfeited. No prorated refund.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Annual cancellation after 6 months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Prorated refund for months 7 onward.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Clinic admin access to individual physician data</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Never. Admin sees seat list and consolidated invoice only.</w:t>
            </w:r>
          </w:p>
        </w:tc>
      </w:tr>
    </w:tbl>
    <w:p>
      <w:r>
        <w:br w:type="page"/>
      </w:r>
    </w:p>
    <w:p>
      <w:pPr>
        <w:spacing w:before="400" w:after="100"/>
      </w:pPr>
      <w:r>
        <w:rPr>
          <w:rFonts w:ascii="Arial" w:cs="Arial" w:eastAsia="Arial" w:hAnsi="Arial"/>
          <w:b/>
          <w:bCs/>
          <w:color w:val="2E75B6"/>
          <w:sz w:val="18"/>
          <w:szCs w:val="18"/>
        </w:rPr>
        <w:t xml:space="preserve">SECTION 7</w:t>
      </w:r>
    </w:p>
    <w:p>
      <w:pPr>
        <w:pStyle w:val="Heading1"/>
      </w:pPr>
      <w:r>
        <w:t xml:space="preserve">Cancellation and Refund Policy</w:t>
      </w:r>
    </w:p>
    <w:p>
      <w:pPr>
        <w:spacing w:after="200"/>
        <w:jc w:val="left"/>
      </w:pPr>
      <w:r>
        <w:rPr>
          <w:rFonts w:ascii="Arial" w:cs="Arial" w:eastAsia="Arial" w:hAnsi="Arial"/>
          <w:b/>
          <w:bCs/>
          <w:color w:val="1A1A2E"/>
          <w:sz w:val="22"/>
          <w:szCs w:val="22"/>
        </w:rPr>
        <w:t xml:space="preserve">Monthly subscribers: </w:t>
      </w:r>
      <w:r>
        <w:rPr>
          <w:rFonts w:ascii="Arial" w:cs="Arial" w:eastAsia="Arial" w:hAnsi="Arial"/>
          <w:color w:val="1A1A2E"/>
          <w:sz w:val="22"/>
          <w:szCs w:val="22"/>
        </w:rPr>
        <w:t xml:space="preserve">Can cancel at any time. Cancellation is effective at the end of the current billing month. No refund for the current month; the physician retains access until the month ends.</w:t>
      </w:r>
    </w:p>
    <w:p>
      <w:pPr>
        <w:spacing w:after="200"/>
        <w:jc w:val="left"/>
      </w:pPr>
      <w:r>
        <w:rPr>
          <w:rFonts w:ascii="Arial" w:cs="Arial" w:eastAsia="Arial" w:hAnsi="Arial"/>
          <w:b/>
          <w:bCs/>
          <w:color w:val="1A1A2E"/>
          <w:sz w:val="22"/>
          <w:szCs w:val="22"/>
        </w:rPr>
        <w:t xml:space="preserve">Annual subscribers: </w:t>
      </w:r>
      <w:r>
        <w:rPr>
          <w:rFonts w:ascii="Arial" w:cs="Arial" w:eastAsia="Arial" w:hAnsi="Arial"/>
          <w:color w:val="1A1A2E"/>
          <w:sz w:val="22"/>
          <w:szCs w:val="22"/>
        </w:rPr>
        <w:t xml:space="preserve">Can cancel at any time. Cancellations within the first six months of the annual term forfeit the remaining balance; the discounted annual rate reflects a commitment, and six months is the minimum. Cancellations after six months receive a prorated refund for unused months from month seven onward.</w:t>
      </w:r>
    </w:p>
    <w:p>
      <w:pPr>
        <w:spacing w:after="200"/>
        <w:jc w:val="left"/>
      </w:pPr>
      <w:r>
        <w:rPr>
          <w:rFonts w:ascii="Arial" w:cs="Arial" w:eastAsia="Arial" w:hAnsi="Arial"/>
          <w:b/>
          <w:bCs/>
          <w:color w:val="1A1A2E"/>
          <w:sz w:val="22"/>
          <w:szCs w:val="22"/>
        </w:rPr>
        <w:t xml:space="preserve">Clinic tier: </w:t>
      </w:r>
      <w:r>
        <w:rPr>
          <w:rFonts w:ascii="Arial" w:cs="Arial" w:eastAsia="Arial" w:hAnsi="Arial"/>
          <w:color w:val="1A1A2E"/>
          <w:sz w:val="22"/>
          <w:szCs w:val="22"/>
        </w:rPr>
        <w:t xml:space="preserve">The practice administrator can cancel the entire account or remove individual physicians. Removed physicians lose access at the end of the current calendar month, regardless of billing cycle. If the practice drops below five physicians, remaining subscriptions revert to individual standard pricing.</w:t>
      </w:r>
    </w:p>
    <w:p>
      <w:pPr>
        <w:spacing w:after="200"/>
        <w:jc w:val="left"/>
      </w:pPr>
      <w:r>
        <w:rPr>
          <w:rFonts w:ascii="Arial" w:cs="Arial" w:eastAsia="Arial" w:hAnsi="Arial"/>
          <w:b/>
          <w:bCs/>
          <w:color w:val="1A1A2E"/>
          <w:sz w:val="22"/>
          <w:szCs w:val="22"/>
        </w:rPr>
        <w:t xml:space="preserve">Data export on cancellation: </w:t>
      </w:r>
      <w:r>
        <w:rPr>
          <w:rFonts w:ascii="Arial" w:cs="Arial" w:eastAsia="Arial" w:hAnsi="Arial"/>
          <w:color w:val="1A1A2E"/>
          <w:sz w:val="22"/>
          <w:szCs w:val="22"/>
        </w:rPr>
        <w:t xml:space="preserve">Every physician receives a full export of their claims, assessments, and analytics at no charge upon cancellation. The export is available for 30 days after the subscription ends. This is a non-negotiable policy commitment.</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8</w:t>
      </w:r>
    </w:p>
    <w:p>
      <w:pPr>
        <w:pStyle w:val="Heading1"/>
      </w:pPr>
      <w:r>
        <w:t xml:space="preserve">Pricing Principles</w:t>
      </w:r>
    </w:p>
    <w:p>
      <w:pPr>
        <w:spacing w:after="200"/>
        <w:jc w:val="left"/>
      </w:pPr>
      <w:r>
        <w:rPr>
          <w:rFonts w:ascii="Arial" w:cs="Arial" w:eastAsia="Arial" w:hAnsi="Arial"/>
          <w:b w:val="false"/>
          <w:bCs w:val="false"/>
          <w:i w:val="false"/>
          <w:iCs w:val="false"/>
          <w:color w:val="666666"/>
          <w:sz w:val="22"/>
          <w:szCs w:val="22"/>
        </w:rPr>
        <w:t xml:space="preserve">These principles guide all pricing decisions. Future changes should be evaluated against them.</w:t>
      </w:r>
    </w:p>
    <w:p>
      <w:pPr>
        <w:spacing w:after="80"/>
      </w:pPr>
    </w:p>
    <w:p>
      <w:pPr>
        <w:spacing w:after="200"/>
        <w:jc w:val="left"/>
      </w:pPr>
      <w:r>
        <w:rPr>
          <w:rFonts w:ascii="Arial" w:cs="Arial" w:eastAsia="Arial" w:hAnsi="Arial"/>
          <w:b/>
          <w:bCs/>
          <w:color w:val="1A1A2E"/>
          <w:sz w:val="22"/>
          <w:szCs w:val="22"/>
        </w:rPr>
        <w:t xml:space="preserve">1. Transparent pricing. </w:t>
      </w:r>
      <w:r>
        <w:rPr>
          <w:rFonts w:ascii="Arial" w:cs="Arial" w:eastAsia="Arial" w:hAnsi="Arial"/>
          <w:color w:val="1A1A2E"/>
          <w:sz w:val="22"/>
          <w:szCs w:val="22"/>
        </w:rPr>
        <w:t xml:space="preserve">Every rate is published. No custom quotes, no “contact us for pricing,” no negotiated rates.</w:t>
      </w:r>
    </w:p>
    <w:p>
      <w:pPr>
        <w:spacing w:after="200"/>
        <w:jc w:val="left"/>
      </w:pPr>
      <w:r>
        <w:rPr>
          <w:rFonts w:ascii="Arial" w:cs="Arial" w:eastAsia="Arial" w:hAnsi="Arial"/>
          <w:b/>
          <w:bCs/>
          <w:color w:val="1A1A2E"/>
          <w:sz w:val="22"/>
          <w:szCs w:val="22"/>
        </w:rPr>
        <w:t xml:space="preserve">2. Flat rate, not percentage-based. </w:t>
      </w:r>
      <w:r>
        <w:rPr>
          <w:rFonts w:ascii="Arial" w:cs="Arial" w:eastAsia="Arial" w:hAnsi="Arial"/>
          <w:color w:val="1A1A2E"/>
          <w:sz w:val="22"/>
          <w:szCs w:val="22"/>
        </w:rPr>
        <w:t xml:space="preserve">Meritum’s pricing does not scale with the physician’s billings. This is the core value proposition.</w:t>
      </w:r>
    </w:p>
    <w:p>
      <w:pPr>
        <w:spacing w:after="200"/>
        <w:jc w:val="left"/>
      </w:pPr>
      <w:r>
        <w:rPr>
          <w:rFonts w:ascii="Arial" w:cs="Arial" w:eastAsia="Arial" w:hAnsi="Arial"/>
          <w:b/>
          <w:bCs/>
          <w:color w:val="1A1A2E"/>
          <w:sz w:val="22"/>
          <w:szCs w:val="22"/>
        </w:rPr>
        <w:t xml:space="preserve">3. No feature gating. </w:t>
      </w:r>
      <w:r>
        <w:rPr>
          <w:rFonts w:ascii="Arial" w:cs="Arial" w:eastAsia="Arial" w:hAnsi="Arial"/>
          <w:color w:val="1A1A2E"/>
          <w:sz w:val="22"/>
          <w:szCs w:val="22"/>
        </w:rPr>
        <w:t xml:space="preserve">Every physician gets every feature, including the rules engine, advice engine, all billing streams (AHCIP, WCB, PCPCM), and all future platform updates.</w:t>
      </w:r>
    </w:p>
    <w:p>
      <w:pPr>
        <w:spacing w:after="200"/>
        <w:jc w:val="left"/>
      </w:pPr>
      <w:r>
        <w:rPr>
          <w:rFonts w:ascii="Arial" w:cs="Arial" w:eastAsia="Arial" w:hAnsi="Arial"/>
          <w:b/>
          <w:bCs/>
          <w:color w:val="1A1A2E"/>
          <w:sz w:val="22"/>
          <w:szCs w:val="22"/>
        </w:rPr>
        <w:t xml:space="preserve">4. Continuous updates included. </w:t>
      </w:r>
      <w:r>
        <w:rPr>
          <w:rFonts w:ascii="Arial" w:cs="Arial" w:eastAsia="Arial" w:hAnsi="Arial"/>
          <w:color w:val="1A1A2E"/>
          <w:sz w:val="22"/>
          <w:szCs w:val="22"/>
        </w:rPr>
        <w:t xml:space="preserve">All platform improvements, feature additions, and governing rule updates are included in the subscription at no additional cost. When AHCIP rules change, the platform updates automatically.</w:t>
      </w:r>
    </w:p>
    <w:p>
      <w:pPr>
        <w:spacing w:after="200"/>
        <w:jc w:val="left"/>
      </w:pPr>
      <w:r>
        <w:rPr>
          <w:rFonts w:ascii="Arial" w:cs="Arial" w:eastAsia="Arial" w:hAnsi="Arial"/>
          <w:b/>
          <w:bCs/>
          <w:color w:val="1A1A2E"/>
          <w:sz w:val="22"/>
          <w:szCs w:val="22"/>
        </w:rPr>
        <w:t xml:space="preserve">5. Data portability is non-negotiable. </w:t>
      </w:r>
      <w:r>
        <w:rPr>
          <w:rFonts w:ascii="Arial" w:cs="Arial" w:eastAsia="Arial" w:hAnsi="Arial"/>
          <w:color w:val="1A1A2E"/>
          <w:sz w:val="22"/>
          <w:szCs w:val="22"/>
        </w:rPr>
        <w:t xml:space="preserve">Full data export, free of charge, at any time.</w:t>
      </w:r>
    </w:p>
    <w:p>
      <w:pPr>
        <w:spacing w:after="200"/>
        <w:jc w:val="left"/>
      </w:pPr>
      <w:r>
        <w:rPr>
          <w:rFonts w:ascii="Arial" w:cs="Arial" w:eastAsia="Arial" w:hAnsi="Arial"/>
          <w:b/>
          <w:bCs/>
          <w:color w:val="1A1A2E"/>
          <w:sz w:val="22"/>
          <w:szCs w:val="22"/>
        </w:rPr>
        <w:t xml:space="preserve">6. Total discount ceiling of 15%. </w:t>
      </w:r>
      <w:r>
        <w:rPr>
          <w:rFonts w:ascii="Arial" w:cs="Arial" w:eastAsia="Arial" w:hAnsi="Arial"/>
          <w:color w:val="1A1A2E"/>
          <w:sz w:val="22"/>
          <w:szCs w:val="22"/>
        </w:rPr>
        <w:t xml:space="preserve">The maximum combined discount from all sources (clinic tier + annual billing) is 15%. There are no deeper volume discounts or special arrangements.</w:t>
      </w:r>
    </w:p>
    <w:p>
      <w:pPr>
        <w:spacing w:after="200"/>
        <w:jc w:val="left"/>
      </w:pPr>
      <w:r>
        <w:rPr>
          <w:rFonts w:ascii="Arial" w:cs="Arial" w:eastAsia="Arial" w:hAnsi="Arial"/>
          <w:b/>
          <w:bCs/>
          <w:color w:val="1A1A2E"/>
          <w:sz w:val="22"/>
          <w:szCs w:val="22"/>
        </w:rPr>
        <w:t xml:space="preserve">7. Charge from day one. </w:t>
      </w:r>
      <w:r>
        <w:rPr>
          <w:rFonts w:ascii="Arial" w:cs="Arial" w:eastAsia="Arial" w:hAnsi="Arial"/>
          <w:color w:val="1A1A2E"/>
          <w:sz w:val="22"/>
          <w:szCs w:val="22"/>
        </w:rPr>
        <w:t xml:space="preserve">No free trial. Medical billing is a professional commitment, not a product you trial.</w:t>
      </w:r>
    </w:p>
    <w:p>
      <w:pPr>
        <w:spacing w:after="200"/>
      </w:pPr>
    </w:p>
    <w:p>
      <w:pPr>
        <w:pBdr>
          <w:bottom w:val="single" w:color="DDDDDD" w:sz="4" w:space="1"/>
        </w:pBdr>
        <w:spacing w:before="300" w:after="300"/>
      </w:pPr>
    </w:p>
    <w:p>
      <w:pPr>
        <w:spacing w:after="200"/>
        <w:jc w:val="left"/>
      </w:pPr>
      <w:r>
        <w:rPr>
          <w:rFonts w:ascii="Arial" w:cs="Arial" w:eastAsia="Arial" w:hAnsi="Arial"/>
          <w:b w:val="false"/>
          <w:bCs w:val="false"/>
          <w:i/>
          <w:iCs/>
          <w:color w:val="666666"/>
          <w:sz w:val="22"/>
          <w:szCs w:val="22"/>
        </w:rPr>
        <w:t xml:space="preserve">End of document. Update this document whenever pricing decisions change. Customer-facing pricing page copy should reflect any changes made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2026-02-19T21:16:17.677Z</dcterms:created>
  <dcterms:modified xsi:type="dcterms:W3CDTF">2026-02-19T21:16:17.678Z</dcterms:modified>
</cp:coreProperties>
</file>

<file path=docProps/custom.xml><?xml version="1.0" encoding="utf-8"?>
<Properties xmlns="http://schemas.openxmlformats.org/officeDocument/2006/custom-properties" xmlns:vt="http://schemas.openxmlformats.org/officeDocument/2006/docPropsVTypes"/>
</file>