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4"/>
          <w:szCs w:val="24"/>
        </w:rPr>
        <w:t xml:space="preserve">MERITUM HEALTH TECHNOLOGIES</w:t>
      </w:r>
    </w:p>
    <w:p>
      <w:pPr>
        <w:spacing w:after="200"/>
      </w:pPr>
      <w:r>
        <w:rPr>
          <w:rFonts w:ascii="Arial" w:cs="Arial" w:eastAsia="Arial" w:hAnsi="Arial"/>
          <w:b/>
          <w:bCs/>
          <w:sz w:val="24"/>
          <w:szCs w:val="24"/>
        </w:rPr>
        <w:t xml:space="preserve">Website Build: Claude Code Implementation Prompt</w:t>
      </w:r>
    </w:p>
    <w:p>
      <w:pPr>
        <w:spacing w:after="200"/>
      </w:pPr>
      <w:r>
        <w:rPr>
          <w:rFonts w:ascii="Arial" w:cs="Arial" w:eastAsia="Arial" w:hAnsi="Arial"/>
          <w:sz w:val="24"/>
          <w:szCs w:val="24"/>
        </w:rPr>
        <w:t xml:space="preserve">February 2026</w:t>
      </w:r>
    </w:p>
    <w:p>
      <w:pPr>
        <w:spacing w:after="100"/>
      </w:pPr>
    </w:p>
    <w:p>
      <w:pPr>
        <w:pStyle w:val="Heading1"/>
        <w:spacing w:before="360" w:after="200"/>
      </w:pPr>
      <w:r>
        <w:rPr>
          <w:rFonts w:ascii="Arial" w:cs="Arial" w:eastAsia="Arial" w:hAnsi="Arial"/>
          <w:b/>
          <w:bCs/>
          <w:sz w:val="32"/>
          <w:szCs w:val="32"/>
        </w:rPr>
        <w:t xml:space="preserve">1. Project Overview</w:t>
      </w:r>
    </w:p>
    <w:p>
      <w:pPr>
        <w:spacing w:after="100"/>
      </w:pPr>
    </w:p>
    <w:p>
      <w:pPr>
        <w:spacing w:after="200"/>
      </w:pPr>
      <w:r>
        <w:rPr>
          <w:rFonts w:ascii="Arial" w:cs="Arial" w:eastAsia="Arial" w:hAnsi="Arial"/>
          <w:sz w:val="24"/>
          <w:szCs w:val="24"/>
        </w:rPr>
        <w:t xml:space="preserve">Meritum Health Technologies (meritum.ca) is a self-serve medical billing platform for Alberta physicians. This document is a prompt for a Claude Code session to build the marketing website. The website is a five-page marketing site; it is not the application itself.</w:t>
      </w:r>
    </w:p>
    <w:p>
      <w:pPr>
        <w:spacing w:after="100"/>
      </w:pPr>
    </w:p>
    <w:p>
      <w:pPr>
        <w:spacing w:after="200"/>
      </w:pPr>
      <w:r>
        <w:rPr>
          <w:rFonts w:ascii="Arial" w:cs="Arial" w:eastAsia="Arial" w:hAnsi="Arial"/>
          <w:sz w:val="24"/>
          <w:szCs w:val="24"/>
        </w:rPr>
        <w:t xml:space="preserve">The website’s job is to convert Alberta physicians from awareness to signup. The primary conversion mechanism is an interactive calculator that shows the cost difference between a billing agent and Meritum. The secondary mechanism is the early bird scarcity counter (first 100 physicians at $199/month).</w:t>
      </w:r>
    </w:p>
    <w:p>
      <w:pPr>
        <w:spacing w:after="100"/>
      </w:pPr>
    </w:p>
    <w:p>
      <w:pPr>
        <w:spacing w:after="200"/>
      </w:pPr>
      <w:r>
        <w:rPr>
          <w:rFonts w:ascii="Arial" w:cs="Arial" w:eastAsia="Arial" w:hAnsi="Arial"/>
          <w:sz w:val="24"/>
          <w:szCs w:val="24"/>
        </w:rPr>
        <w:t xml:space="preserve">The founder is technically proficient and will be reviewing and deploying the output. Code quality, semantic HTML, accessibility, and performance matter. This is a professional product for a physician audience; the site must feel as credible as the copy.</w:t>
      </w:r>
    </w:p>
    <w:p>
      <w:pPr>
        <w:pStyle w:val="Heading1"/>
        <w:spacing w:before="360" w:after="200"/>
      </w:pPr>
      <w:r>
        <w:rPr>
          <w:rFonts w:ascii="Arial" w:cs="Arial" w:eastAsia="Arial" w:hAnsi="Arial"/>
          <w:b/>
          <w:bCs/>
          <w:sz w:val="32"/>
          <w:szCs w:val="32"/>
        </w:rPr>
        <w:t xml:space="preserve">2. Site Structure</w:t>
      </w:r>
    </w:p>
    <w:p>
      <w:pPr>
        <w:spacing w:after="100"/>
      </w:pPr>
    </w:p>
    <w:p>
      <w:pPr>
        <w:spacing w:after="200"/>
      </w:pPr>
      <w:r>
        <w:rPr>
          <w:rFonts w:ascii="Arial" w:cs="Arial" w:eastAsia="Arial" w:hAnsi="Arial"/>
          <w:sz w:val="24"/>
          <w:szCs w:val="24"/>
        </w:rPr>
        <w:t xml:space="preserve">Five pages at launch. No features page, no integrations page, no case studies page.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Page</w:t>
            </w:r>
          </w:p>
        </w:tc>
        <w:tc>
          <w:tcPr>
            <w:tcW w:type="dxa" w:w="358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Primary purpose</w:t>
            </w:r>
          </w:p>
        </w:tc>
        <w:tc>
          <w:tcPr>
            <w:tcW w:type="dxa" w:w="358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Copy 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Home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Full pitch: hero, calculator, three pillars, Thursday cycle, objection busters, social proof, CTA</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meritum-homepage-copy-v5.docx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How It Works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Onboarding flow, daily workflow, Thursday cycle detail, post-submission tracking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meritum-how-it-works-v1.docx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Pricing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Rate cards, comparisons, worked examples, FAQ</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meritum-pricing-page-v3.docx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About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Founder story, first person, trust-building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meritum-homepage-copy-v5.docx (About Page section)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Blog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Index + individual posts. Launch with placeholder structure; posts will be added.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Blog post drafts (forthcoming)</w:t>
            </w:r>
          </w:p>
        </w:tc>
      </w:tr>
    </w:tbl>
    <w:p>
      <w:pPr>
        <w:spacing w:after="100"/>
      </w:pPr>
    </w:p>
    <w:p>
      <w:pPr>
        <w:pStyle w:val="Heading2"/>
        <w:spacing w:before="300" w:after="160"/>
      </w:pPr>
      <w:r>
        <w:rPr>
          <w:rFonts w:ascii="Arial" w:cs="Arial" w:eastAsia="Arial" w:hAnsi="Arial"/>
          <w:b/>
          <w:bCs/>
          <w:sz w:val="28"/>
          <w:szCs w:val="28"/>
        </w:rPr>
        <w:t xml:space="preserve">2.1 Navigation</w:t>
      </w:r>
    </w:p>
    <w:p>
      <w:pPr>
        <w:spacing w:after="200"/>
      </w:pPr>
      <w:r>
        <w:rPr>
          <w:rFonts w:ascii="Arial" w:cs="Arial" w:eastAsia="Arial" w:hAnsi="Arial"/>
          <w:sz w:val="24"/>
          <w:szCs w:val="24"/>
        </w:rPr>
        <w:t xml:space="preserve">Left: Meritum wordmark (links to home). Centre/right: How It Works, Pricing, About, Blog. Far right: CTA button.</w:t>
      </w:r>
    </w:p>
    <w:p>
      <w:pPr>
        <w:spacing w:after="100"/>
      </w:pPr>
    </w:p>
    <w:p>
      <w:pPr>
        <w:spacing w:after="200"/>
      </w:pPr>
      <w:r>
        <w:rPr>
          <w:rFonts w:ascii="Arial" w:cs="Arial" w:eastAsia="Arial" w:hAnsi="Arial"/>
          <w:sz w:val="24"/>
          <w:szCs w:val="24"/>
        </w:rPr>
        <w:t xml:space="preserve">CTA button text is dynamic. During early bird window: “Start Today — $199/month.” After early bird window closes: “Start Today — $279/month.” The rate should be driven by a single configuration value, not hardcoded in multiple places.</w:t>
      </w:r>
    </w:p>
    <w:p>
      <w:pPr>
        <w:spacing w:after="100"/>
      </w:pPr>
    </w:p>
    <w:p>
      <w:pPr>
        <w:spacing w:after="200"/>
      </w:pPr>
      <w:r>
        <w:rPr>
          <w:rFonts w:ascii="Arial" w:cs="Arial" w:eastAsia="Arial" w:hAnsi="Arial"/>
          <w:sz w:val="24"/>
          <w:szCs w:val="24"/>
        </w:rPr>
        <w:t xml:space="preserve">Mobile: hamburger menu. CTA button remains visible outside the menu at all viewport sizes.</w:t>
      </w:r>
    </w:p>
    <w:p>
      <w:pPr>
        <w:pStyle w:val="Heading1"/>
        <w:spacing w:before="360" w:after="200"/>
      </w:pPr>
      <w:r>
        <w:rPr>
          <w:rFonts w:ascii="Arial" w:cs="Arial" w:eastAsia="Arial" w:hAnsi="Arial"/>
          <w:b/>
          <w:bCs/>
          <w:sz w:val="32"/>
          <w:szCs w:val="32"/>
        </w:rPr>
        <w:t xml:space="preserve">3. Visual Identity</w:t>
      </w:r>
    </w:p>
    <w:p>
      <w:pPr>
        <w:spacing w:after="100"/>
      </w:pPr>
    </w:p>
    <w:p>
      <w:pPr>
        <w:spacing w:after="200"/>
      </w:pPr>
      <w:r>
        <w:rPr>
          <w:rFonts w:ascii="Arial" w:cs="Arial" w:eastAsia="Arial" w:hAnsi="Arial"/>
          <w:sz w:val="24"/>
          <w:szCs w:val="24"/>
        </w:rPr>
        <w:t xml:space="preserve">All values below are approved and final. Do not deviate.</w:t>
      </w:r>
    </w:p>
    <w:p>
      <w:pPr>
        <w:spacing w:after="100"/>
      </w:pPr>
    </w:p>
    <w:p>
      <w:pPr>
        <w:pStyle w:val="Heading2"/>
        <w:spacing w:before="300" w:after="160"/>
      </w:pPr>
      <w:r>
        <w:rPr>
          <w:rFonts w:ascii="Arial" w:cs="Arial" w:eastAsia="Arial" w:hAnsi="Arial"/>
          <w:b/>
          <w:bCs/>
          <w:sz w:val="28"/>
          <w:szCs w:val="28"/>
        </w:rPr>
        <w:t xml:space="preserve">3.1 Colour Palette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Role</w:t>
            </w:r>
          </w:p>
        </w:tc>
        <w:tc>
          <w:tcPr>
            <w:tcW w:type="dxa" w:w="180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Value</w:t>
            </w:r>
          </w:p>
        </w:tc>
        <w:tc>
          <w:tcPr>
            <w:tcW w:type="dxa" w:w="536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Primary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#1B2A4A</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Headers, primary UI surfaces, nav background, text on light backgrounds. Deep navy.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Accent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#C2973E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CTA buttons, highlights, wordmark accent, interactive elements. Warm brass/amber. Use sparingly.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Background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#FAFAF8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Page background. Warm off-white, not clinical white.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Surface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#F0EFEC</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Cards, calculator background, input fields, pricing cards. Light warm grey.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#1A1A2E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Primary body text. Near-black; not pure #000.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Status: success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Forest green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Positive status indicators. Muted, not traffic-light bright. Pair with icon/label for colourblind accessibility.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2"/>
                <w:szCs w:val="22"/>
              </w:rPr>
              <w:t xml:space="preserve">Status: error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Warm red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Error/refusal status indicators. Same accessibility rule as success.</w:t>
            </w:r>
          </w:p>
        </w:tc>
      </w:tr>
    </w:tbl>
    <w:p>
      <w:pPr>
        <w:spacing w:after="100"/>
      </w:pPr>
    </w:p>
    <w:p>
      <w:pPr>
        <w:spacing w:after="200"/>
      </w:pPr>
      <w:r>
        <w:rPr>
          <w:rFonts w:ascii="Arial" w:cs="Arial" w:eastAsia="Arial" w:hAnsi="Arial"/>
          <w:i/>
          <w:iCs/>
          <w:sz w:val="24"/>
          <w:szCs w:val="24"/>
        </w:rPr>
        <w:t xml:space="preserve">Status colours: select specific hex values that meet WCAG AA contrast against both #FAFAF8 and #F0EFEC backgrounds. Confirm with a contrast checker before committing.</w:t>
      </w:r>
    </w:p>
    <w:p>
      <w:pPr>
        <w:spacing w:after="100"/>
      </w:pPr>
    </w:p>
    <w:p>
      <w:pPr>
        <w:pStyle w:val="Heading2"/>
        <w:spacing w:before="300" w:after="160"/>
      </w:pPr>
      <w:r>
        <w:rPr>
          <w:rFonts w:ascii="Arial" w:cs="Arial" w:eastAsia="Arial" w:hAnsi="Arial"/>
          <w:b/>
          <w:bCs/>
          <w:sz w:val="28"/>
          <w:szCs w:val="28"/>
        </w:rPr>
        <w:t xml:space="preserve">3.2 Typography</w:t>
      </w:r>
    </w:p>
    <w:p>
      <w:pPr>
        <w:spacing w:after="100"/>
      </w:pPr>
    </w:p>
    <w:p>
      <w:pPr>
        <w:spacing w:after="200"/>
      </w:pPr>
      <w:r>
        <w:rPr>
          <w:rFonts w:ascii="Arial" w:cs="Arial" w:eastAsia="Arial" w:hAnsi="Arial"/>
          <w:sz w:val="24"/>
          <w:szCs w:val="24"/>
        </w:rPr>
        <w:t xml:space="preserve">Two typefaces. No more.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Role</w:t>
            </w:r>
          </w:p>
        </w:tc>
        <w:tc>
          <w:tcPr>
            <w:tcW w:type="dxa" w:w="358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Typeface</w:t>
            </w:r>
          </w:p>
        </w:tc>
        <w:tc>
          <w:tcPr>
            <w:tcW w:type="dxa" w:w="358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Display / headlines / wordmark</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Satoshi</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Source: Fontshare (free for commercial use). Used for page titles, section headlines, the wordmark, and any display-weight text. Medium or Bold weight for headlines.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Body / UI / secondary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IBM Plex Sans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Source: Google Fonts. Used for body copy, navigation, buttons, form labels, captions, and all UI text. Regular weight for body; Medium for labels and nav.</w:t>
            </w:r>
          </w:p>
        </w:tc>
      </w:tr>
    </w:tbl>
    <w:p>
      <w:pPr>
        <w:spacing w:after="100"/>
      </w:pPr>
    </w:p>
    <w:p>
      <w:pPr>
        <w:spacing w:after="200"/>
      </w:pPr>
      <w:r>
        <w:rPr>
          <w:rFonts w:ascii="Arial" w:cs="Arial" w:eastAsia="Arial" w:hAnsi="Arial"/>
          <w:sz w:val="24"/>
          <w:szCs w:val="24"/>
        </w:rPr>
        <w:t xml:space="preserve">Font loading: self-host both typefaces. Do not load from third-party CDNs. Use font-display: swap for performance. Subset to Latin if the tooling supports it.</w:t>
      </w:r>
    </w:p>
    <w:p>
      <w:pPr>
        <w:spacing w:after="100"/>
      </w:pPr>
    </w:p>
    <w:p>
      <w:pPr>
        <w:pStyle w:val="Heading2"/>
        <w:spacing w:before="300" w:after="160"/>
      </w:pPr>
      <w:r>
        <w:rPr>
          <w:rFonts w:ascii="Arial" w:cs="Arial" w:eastAsia="Arial" w:hAnsi="Arial"/>
          <w:b/>
          <w:bCs/>
          <w:sz w:val="28"/>
          <w:szCs w:val="28"/>
        </w:rPr>
        <w:t xml:space="preserve">3.3 Wordmark</w:t>
      </w:r>
    </w:p>
    <w:p>
      <w:pPr>
        <w:spacing w:after="200"/>
      </w:pPr>
      <w:r>
        <w:rPr>
          <w:rFonts w:ascii="Arial" w:cs="Arial" w:eastAsia="Arial" w:hAnsi="Arial"/>
          <w:sz w:val="24"/>
          <w:szCs w:val="24"/>
        </w:rPr>
        <w:t xml:space="preserve">The Meritum wordmark is Satoshi-based, clean, with a subtle custom typographic detail: either a custom ligature or a modified M. No separate logomark or icon. The wordmark is the brand.</w:t>
      </w:r>
    </w:p>
    <w:p>
      <w:pPr>
        <w:spacing w:after="100"/>
      </w:pPr>
    </w:p>
    <w:p>
      <w:pPr>
        <w:spacing w:after="200"/>
      </w:pPr>
      <w:r>
        <w:rPr>
          <w:rFonts w:ascii="Arial" w:cs="Arial" w:eastAsia="Arial" w:hAnsi="Arial"/>
          <w:sz w:val="24"/>
          <w:szCs w:val="24"/>
        </w:rPr>
        <w:t xml:space="preserve">For the initial build, set the wordmark as Satoshi Bold at the appropriate display size with slightly wide letter-spacing. The custom typographic detail will be refined separately and swapped in as an SVG or web font glyph override. Build the layout to accommodate an SVG wordmark replacement.</w:t>
      </w:r>
    </w:p>
    <w:p>
      <w:pPr>
        <w:spacing w:after="100"/>
      </w:pPr>
    </w:p>
    <w:p>
      <w:pPr>
        <w:pStyle w:val="Heading2"/>
        <w:spacing w:before="300" w:after="160"/>
      </w:pPr>
      <w:r>
        <w:rPr>
          <w:rFonts w:ascii="Arial" w:cs="Arial" w:eastAsia="Arial" w:hAnsi="Arial"/>
          <w:b/>
          <w:bCs/>
          <w:sz w:val="28"/>
          <w:szCs w:val="28"/>
        </w:rPr>
        <w:t xml:space="preserve">3.4 Photography and Imagery</w:t>
      </w:r>
    </w:p>
    <w:p>
      <w:pPr>
        <w:spacing w:after="100"/>
      </w:pPr>
    </w:p>
    <w:p>
      <w:pPr>
        <w:spacing w:after="200"/>
      </w:pPr>
      <w:r>
        <w:rPr>
          <w:rFonts w:ascii="Arial" w:cs="Arial" w:eastAsia="Arial" w:hAnsi="Arial"/>
          <w:b/>
          <w:bCs/>
          <w:sz w:val="24"/>
          <w:szCs w:val="24"/>
        </w:rPr>
        <w:t xml:space="preserve">No photography at launch. </w:t>
      </w:r>
      <w:r>
        <w:rPr>
          <w:rFonts w:ascii="Arial" w:cs="Arial" w:eastAsia="Arial" w:hAnsi="Arial"/>
          <w:sz w:val="24"/>
          <w:szCs w:val="24"/>
        </w:rPr>
        <w:t xml:space="preserve">No stock images of physicians, no generated images, no placeholder photos. The copy, the calculator, and the visual design carry the homepage.</w:t>
      </w:r>
    </w:p>
    <w:p>
      <w:pPr>
        <w:spacing w:after="100"/>
      </w:pPr>
    </w:p>
    <w:p>
      <w:pPr>
        <w:spacing w:after="200"/>
      </w:pPr>
      <w:r>
        <w:rPr>
          <w:rFonts w:ascii="Arial" w:cs="Arial" w:eastAsia="Arial" w:hAnsi="Arial"/>
          <w:b/>
          <w:bCs/>
          <w:sz w:val="24"/>
          <w:szCs w:val="24"/>
        </w:rPr>
        <w:t xml:space="preserve">Abstract visual elements: </w:t>
      </w:r>
      <w:r>
        <w:rPr>
          <w:rFonts w:ascii="Arial" w:cs="Arial" w:eastAsia="Arial" w:hAnsi="Arial"/>
          <w:sz w:val="24"/>
          <w:szCs w:val="24"/>
        </w:rPr>
        <w:t xml:space="preserve">Subtle topographic contour patterns or fine grid textures only. These can be used as section backgrounds, dividers, or decorative accents. No blob gradients, no mesh patterns, no AI-generated visuals. Keep them understated; they should add texture, not compete with the copy.</w:t>
      </w:r>
    </w:p>
    <w:p>
      <w:pPr>
        <w:spacing w:after="100"/>
      </w:pPr>
    </w:p>
    <w:p>
      <w:pPr>
        <w:spacing w:after="200"/>
      </w:pPr>
      <w:r>
        <w:rPr>
          <w:rFonts w:ascii="Arial" w:cs="Arial" w:eastAsia="Arial" w:hAnsi="Arial"/>
          <w:sz w:val="24"/>
          <w:szCs w:val="24"/>
        </w:rPr>
        <w:t xml:space="preserve">Build the topographic/grid patterns as SVG or CSS so they’re resolution-independent and lightweight. They should tile or scale gracefully across viewport sizes.</w:t>
      </w:r>
    </w:p>
    <w:p>
      <w:pPr>
        <w:pStyle w:val="Heading1"/>
        <w:spacing w:before="360" w:after="200"/>
      </w:pPr>
      <w:r>
        <w:rPr>
          <w:rFonts w:ascii="Arial" w:cs="Arial" w:eastAsia="Arial" w:hAnsi="Arial"/>
          <w:b/>
          <w:bCs/>
          <w:sz w:val="32"/>
          <w:szCs w:val="32"/>
        </w:rPr>
        <w:t xml:space="preserve">4. Interactive Components</w:t>
      </w:r>
    </w:p>
    <w:p>
      <w:pPr>
        <w:spacing w:after="100"/>
      </w:pPr>
    </w:p>
    <w:p>
      <w:pPr>
        <w:pStyle w:val="Heading2"/>
        <w:spacing w:before="300" w:after="160"/>
      </w:pPr>
      <w:r>
        <w:rPr>
          <w:rFonts w:ascii="Arial" w:cs="Arial" w:eastAsia="Arial" w:hAnsi="Arial"/>
          <w:b/>
          <w:bCs/>
          <w:sz w:val="28"/>
          <w:szCs w:val="28"/>
        </w:rPr>
        <w:t xml:space="preserve">4.1 Calculator (Homepage)</w:t>
      </w:r>
    </w:p>
    <w:p>
      <w:pPr>
        <w:spacing w:after="200"/>
      </w:pPr>
      <w:r>
        <w:rPr>
          <w:rFonts w:ascii="Arial" w:cs="Arial" w:eastAsia="Arial" w:hAnsi="Arial"/>
          <w:sz w:val="24"/>
          <w:szCs w:val="24"/>
        </w:rPr>
        <w:t xml:space="preserve">Two-tab interactive component. Tab A (billing agent comparison) is the primary conversion tool. Tab B (self-serve software comparison) is editorial content with a CTA.</w:t>
      </w:r>
    </w:p>
    <w:p>
      <w:pPr>
        <w:spacing w:after="100"/>
      </w:pPr>
    </w:p>
    <w:p>
      <w:pPr>
        <w:spacing w:before="240" w:after="120"/>
      </w:pPr>
      <w:r>
        <w:rPr>
          <w:rFonts w:ascii="Arial" w:cs="Arial" w:eastAsia="Arial" w:hAnsi="Arial"/>
          <w:b/>
          <w:bCs/>
          <w:sz w:val="26"/>
          <w:szCs w:val="26"/>
        </w:rPr>
        <w:t xml:space="preserve">Tab A: Billing Agent Comparison</w:t>
      </w:r>
    </w:p>
    <w:p>
      <w:pPr>
        <w:spacing w:after="200"/>
      </w:pPr>
      <w:r>
        <w:rPr>
          <w:rFonts w:ascii="Arial" w:cs="Arial" w:eastAsia="Arial" w:hAnsi="Arial"/>
          <w:sz w:val="24"/>
          <w:szCs w:val="24"/>
        </w:rPr>
        <w:t xml:space="preserve">Inputs: estimated annual AHCIP billings (slider or numeric field, default $400,000, range $100,000–$2,000,000); agent’s percentage fee (default 4%, range 3–5%, step 0.5%).</w:t>
      </w:r>
    </w:p>
    <w:p>
      <w:pPr>
        <w:spacing w:after="100"/>
      </w:pPr>
    </w:p>
    <w:p>
      <w:pPr>
        <w:spacing w:after="200"/>
      </w:pPr>
      <w:r>
        <w:rPr>
          <w:rFonts w:ascii="Arial" w:cs="Arial" w:eastAsia="Arial" w:hAnsi="Arial"/>
          <w:sz w:val="24"/>
          <w:szCs w:val="24"/>
        </w:rPr>
        <w:t xml:space="preserve">Outputs (calculated in real time as inputs change): annual agent cost (billings × percentage); Meritum annual cost (use the current applicable rate: $2,388 during early bird, $3,181 after); annual saving (agent cost minus Meritum cost).</w:t>
      </w:r>
    </w:p>
    <w:p>
      <w:pPr>
        <w:spacing w:after="100"/>
      </w:pPr>
    </w:p>
    <w:p>
      <w:pPr>
        <w:spacing w:after="200"/>
      </w:pPr>
      <w:r>
        <w:rPr>
          <w:rFonts w:ascii="Arial" w:cs="Arial" w:eastAsia="Arial" w:hAnsi="Arial"/>
          <w:sz w:val="24"/>
          <w:szCs w:val="24"/>
        </w:rPr>
        <w:t xml:space="preserve">Display the saving prominently. The math is the message. Below the output: “That’s what you’re paying for someone to submit claims you could submit yourself, with a platform that checks every governing rule before anything goes out.”</w:t>
      </w:r>
    </w:p>
    <w:p>
      <w:pPr>
        <w:spacing w:after="100"/>
      </w:pPr>
    </w:p>
    <w:p>
      <w:pPr>
        <w:spacing w:after="200"/>
      </w:pPr>
      <w:r>
        <w:rPr>
          <w:rFonts w:ascii="Arial" w:cs="Arial" w:eastAsia="Arial" w:hAnsi="Arial"/>
          <w:sz w:val="24"/>
          <w:szCs w:val="24"/>
        </w:rPr>
        <w:t xml:space="preserve">CTA below the calculator: “Start today” with the current rate.</w:t>
      </w:r>
    </w:p>
    <w:p>
      <w:pPr>
        <w:spacing w:after="100"/>
      </w:pPr>
    </w:p>
    <w:p>
      <w:pPr>
        <w:spacing w:before="240" w:after="120"/>
      </w:pPr>
      <w:r>
        <w:rPr>
          <w:rFonts w:ascii="Arial" w:cs="Arial" w:eastAsia="Arial" w:hAnsi="Arial"/>
          <w:b/>
          <w:bCs/>
          <w:sz w:val="26"/>
          <w:szCs w:val="26"/>
        </w:rPr>
        <w:t xml:space="preserve">Tab B: Self-Serve Software Comparison</w:t>
      </w:r>
    </w:p>
    <w:p>
      <w:pPr>
        <w:spacing w:after="200"/>
      </w:pPr>
      <w:r>
        <w:rPr>
          <w:rFonts w:ascii="Arial" w:cs="Arial" w:eastAsia="Arial" w:hAnsi="Arial"/>
          <w:sz w:val="24"/>
          <w:szCs w:val="24"/>
        </w:rPr>
        <w:t xml:space="preserve">No calculator. This tab renders as editorial content: three billing examples (03.01AA after-hours modifier, volume specialty scale, RRNP auto-calculation) followed by a closing paragraph and CTA. Full copy is in the brand context document, Section 6, Path B. Render as styled prose, not a card or widget.</w:t>
      </w:r>
    </w:p>
    <w:p>
      <w:pPr>
        <w:spacing w:after="100"/>
      </w:pPr>
    </w:p>
    <w:p>
      <w:pPr>
        <w:pStyle w:val="Heading2"/>
        <w:spacing w:before="300" w:after="160"/>
      </w:pPr>
      <w:r>
        <w:rPr>
          <w:rFonts w:ascii="Arial" w:cs="Arial" w:eastAsia="Arial" w:hAnsi="Arial"/>
          <w:b/>
          <w:bCs/>
          <w:sz w:val="28"/>
          <w:szCs w:val="28"/>
        </w:rPr>
        <w:t xml:space="preserve">4.2 Early Bird Counter</w:t>
      </w:r>
    </w:p>
    <w:p>
      <w:pPr>
        <w:spacing w:after="200"/>
      </w:pPr>
      <w:r>
        <w:rPr>
          <w:rFonts w:ascii="Arial" w:cs="Arial" w:eastAsia="Arial" w:hAnsi="Arial"/>
          <w:sz w:val="24"/>
          <w:szCs w:val="24"/>
        </w:rPr>
        <w:t xml:space="preserve">Displays the number of early bird spots remaining out of 100. Must update in real time (or near real time). The counter appears in three locations: the homepage social proof section (Section 6), the pricing page (Section 2), and optionally in the nav CTA tooltip or badge.</w:t>
      </w:r>
    </w:p>
    <w:p>
      <w:pPr>
        <w:spacing w:after="100"/>
      </w:pPr>
    </w:p>
    <w:p>
      <w:pPr>
        <w:spacing w:after="200"/>
      </w:pPr>
      <w:r>
        <w:rPr>
          <w:rFonts w:ascii="Arial" w:cs="Arial" w:eastAsia="Arial" w:hAnsi="Arial"/>
          <w:sz w:val="24"/>
          <w:szCs w:val="24"/>
        </w:rPr>
        <w:t xml:space="preserve">The counter needs a backend data source. Options: a simple API endpoint on the Meritum application backend, or a lightweight standalone endpoint. The implementation should pull the current count rather than hardcoding it. Placeholder for now: default to 100 spots remaining, with the component wired to accept a dynamic value.</w:t>
      </w:r>
    </w:p>
    <w:p>
      <w:pPr>
        <w:spacing w:after="100"/>
      </w:pPr>
    </w:p>
    <w:p>
      <w:pPr>
        <w:spacing w:after="200"/>
      </w:pPr>
      <w:r>
        <w:rPr>
          <w:rFonts w:ascii="Arial" w:cs="Arial" w:eastAsia="Arial" w:hAnsi="Arial"/>
          <w:sz w:val="24"/>
          <w:szCs w:val="24"/>
        </w:rPr>
        <w:t xml:space="preserve">When spots reach zero, the early bird UI elements should switch to standard rate presentation throughout the site. This transition should be driven by the same data source as the counter, not by a manual code change.</w:t>
      </w:r>
    </w:p>
    <w:p>
      <w:pPr>
        <w:spacing w:after="100"/>
      </w:pPr>
    </w:p>
    <w:p>
      <w:pPr>
        <w:pStyle w:val="Heading2"/>
        <w:spacing w:before="300" w:after="160"/>
      </w:pPr>
      <w:r>
        <w:rPr>
          <w:rFonts w:ascii="Arial" w:cs="Arial" w:eastAsia="Arial" w:hAnsi="Arial"/>
          <w:b/>
          <w:bCs/>
          <w:sz w:val="28"/>
          <w:szCs w:val="28"/>
        </w:rPr>
        <w:t xml:space="preserve">4.3 Pricing Cards (Pricing Page)</w:t>
      </w:r>
    </w:p>
    <w:p>
      <w:pPr>
        <w:spacing w:after="200"/>
      </w:pPr>
      <w:r>
        <w:rPr>
          <w:rFonts w:ascii="Arial" w:cs="Arial" w:eastAsia="Arial" w:hAnsi="Arial"/>
          <w:sz w:val="24"/>
          <w:szCs w:val="24"/>
        </w:rPr>
        <w:t xml:space="preserve">Two individual cards (early bird and standard) displayed side by side, with early bird visually emphasised while spots remain. When early bird fills, the standard card becomes primary. Below: a practice tier section with its own rate table.</w:t>
      </w:r>
    </w:p>
    <w:p>
      <w:pPr>
        <w:spacing w:after="100"/>
      </w:pPr>
    </w:p>
    <w:p>
      <w:pPr>
        <w:spacing w:after="200"/>
      </w:pPr>
      <w:r>
        <w:rPr>
          <w:rFonts w:ascii="Arial" w:cs="Arial" w:eastAsia="Arial" w:hAnsi="Arial"/>
          <w:sz w:val="24"/>
          <w:szCs w:val="24"/>
        </w:rPr>
        <w:t xml:space="preserve">Each card should include the supporting feature line from the pricing page copy: “Everything included. AHCIP claims, WCB claims, PCPCM tracking, rules engine, advice engine, rejection analytics, mobile claim entry, EMR imports, email support, and every future platform update. No tiers, no add-ons, no surprises.”</w:t>
      </w:r>
    </w:p>
    <w:p>
      <w:pPr>
        <w:spacing w:after="100"/>
      </w:pPr>
    </w:p>
    <w:p>
      <w:pPr>
        <w:pStyle w:val="Heading2"/>
        <w:spacing w:before="300" w:after="160"/>
      </w:pPr>
      <w:r>
        <w:rPr>
          <w:rFonts w:ascii="Arial" w:cs="Arial" w:eastAsia="Arial" w:hAnsi="Arial"/>
          <w:b/>
          <w:bCs/>
          <w:sz w:val="28"/>
          <w:szCs w:val="28"/>
        </w:rPr>
        <w:t xml:space="preserve">4.4 Comparison Tables (Pricing Page)</w:t>
      </w:r>
    </w:p>
    <w:p>
      <w:pPr>
        <w:spacing w:after="200"/>
      </w:pPr>
      <w:r>
        <w:rPr>
          <w:rFonts w:ascii="Arial" w:cs="Arial" w:eastAsia="Arial" w:hAnsi="Arial"/>
          <w:sz w:val="24"/>
          <w:szCs w:val="24"/>
        </w:rPr>
        <w:t xml:space="preserve">Two tables. First: Meritum vs. a billing agent (nine rows). Second: Meritum vs. self-serve software (eleven rows). Both are in meritum-pricing-page-v3.docx, Sections 5A and 5B. Style as clean, readable tables; not marketing-heavy feature grids. The Meritum column should not be visually “winning” through colour or checkmarks; let the content speak.</w:t>
      </w:r>
    </w:p>
    <w:p>
      <w:pPr>
        <w:spacing w:after="100"/>
      </w:pPr>
    </w:p>
    <w:p>
      <w:pPr>
        <w:pStyle w:val="Heading2"/>
        <w:spacing w:before="300" w:after="160"/>
      </w:pPr>
      <w:r>
        <w:rPr>
          <w:rFonts w:ascii="Arial" w:cs="Arial" w:eastAsia="Arial" w:hAnsi="Arial"/>
          <w:b/>
          <w:bCs/>
          <w:sz w:val="28"/>
          <w:szCs w:val="28"/>
        </w:rPr>
        <w:t xml:space="preserve">4.5 FAQ Accordion (Pricing Page)</w:t>
      </w:r>
    </w:p>
    <w:p>
      <w:pPr>
        <w:spacing w:after="200"/>
      </w:pPr>
      <w:r>
        <w:rPr>
          <w:rFonts w:ascii="Arial" w:cs="Arial" w:eastAsia="Arial" w:hAnsi="Arial"/>
          <w:sz w:val="24"/>
          <w:szCs w:val="24"/>
        </w:rPr>
        <w:t xml:space="preserve">Nine questions from meritum-pricing-page-v3.docx, Section 8. Implement as a standard accordion: question as the trigger, answer expands below. All collapsed by default. Accessible: keyboard navigable, proper ARIA attributes.</w:t>
      </w:r>
    </w:p>
    <w:p>
      <w:pPr>
        <w:pStyle w:val="Heading1"/>
        <w:spacing w:before="360" w:after="200"/>
      </w:pPr>
      <w:r>
        <w:rPr>
          <w:rFonts w:ascii="Arial" w:cs="Arial" w:eastAsia="Arial" w:hAnsi="Arial"/>
          <w:b/>
          <w:bCs/>
          <w:sz w:val="32"/>
          <w:szCs w:val="32"/>
        </w:rPr>
        <w:t xml:space="preserve">5. Technical Decisions</w:t>
      </w:r>
    </w:p>
    <w:p>
      <w:pPr>
        <w:spacing w:after="100"/>
      </w:pPr>
    </w:p>
    <w:p>
      <w:pPr>
        <w:spacing w:after="200"/>
      </w:pPr>
      <w:r>
        <w:rPr>
          <w:rFonts w:ascii="Arial" w:cs="Arial" w:eastAsia="Arial" w:hAnsi="Arial"/>
          <w:sz w:val="24"/>
          <w:szCs w:val="24"/>
        </w:rPr>
        <w:t xml:space="preserve">The following are constraints and preferences. Where a decision is flagged as open, make a recommendation and explain the trade-off.</w:t>
      </w:r>
    </w:p>
    <w:p>
      <w:pPr>
        <w:spacing w:after="100"/>
      </w:pPr>
    </w:p>
    <w:p>
      <w:pPr>
        <w:pStyle w:val="Heading2"/>
        <w:spacing w:before="300" w:after="160"/>
      </w:pPr>
      <w:r>
        <w:rPr>
          <w:rFonts w:ascii="Arial" w:cs="Arial" w:eastAsia="Arial" w:hAnsi="Arial"/>
          <w:b/>
          <w:bCs/>
          <w:sz w:val="28"/>
          <w:szCs w:val="28"/>
        </w:rPr>
        <w:t xml:space="preserve">5.1 Hosting</w:t>
      </w:r>
    </w:p>
    <w:p>
      <w:pPr>
        <w:spacing w:after="200"/>
      </w:pPr>
      <w:r>
        <w:rPr>
          <w:rFonts w:ascii="Arial" w:cs="Arial" w:eastAsia="Arial" w:hAnsi="Arial"/>
          <w:sz w:val="24"/>
          <w:szCs w:val="24"/>
        </w:rPr>
        <w:t xml:space="preserve">The Meritum application is hosted on DigitalOcean Toronto (tor1). The marketing site should also be hosted in Canada for consistency with the data residency message, though the marketing site itself does not handle health information. DigitalOcean App Platform or a static site deployment to a DigitalOcean droplet are both acceptable. Cloudflare in front is fine for CDN and DDoS protection.</w:t>
      </w:r>
    </w:p>
    <w:p>
      <w:pPr>
        <w:spacing w:after="100"/>
      </w:pPr>
    </w:p>
    <w:p>
      <w:pPr>
        <w:pStyle w:val="Heading2"/>
        <w:spacing w:before="300" w:after="160"/>
      </w:pPr>
      <w:r>
        <w:rPr>
          <w:rFonts w:ascii="Arial" w:cs="Arial" w:eastAsia="Arial" w:hAnsi="Arial"/>
          <w:b/>
          <w:bCs/>
          <w:sz w:val="28"/>
          <w:szCs w:val="28"/>
        </w:rPr>
        <w:t xml:space="preserve">5.2 Framework</w:t>
      </w:r>
    </w:p>
    <w:p>
      <w:pPr>
        <w:spacing w:after="200"/>
      </w:pPr>
      <w:r>
        <w:rPr>
          <w:rFonts w:ascii="Arial" w:cs="Arial" w:eastAsia="Arial" w:hAnsi="Arial"/>
          <w:i/>
          <w:iCs/>
          <w:sz w:val="24"/>
          <w:szCs w:val="24"/>
        </w:rPr>
        <w:t xml:space="preserve">Open decision. Recommend a framework based on the following requirements:</w:t>
      </w:r>
    </w:p>
    <w:p>
      <w:pPr>
        <w:spacing w:after="100"/>
      </w:pPr>
    </w:p>
    <w:p>
      <w:pPr>
        <w:pStyle w:val="ListParagraph"/>
        <w:numPr>
          <w:ilvl w:val="0"/>
          <w:numId w:val="2"/>
        </w:numPr>
        <w:spacing w:after="120"/>
      </w:pPr>
      <w:r>
        <w:rPr>
          <w:rFonts w:ascii="Arial" w:cs="Arial" w:eastAsia="Arial" w:hAnsi="Arial"/>
          <w:sz w:val="24"/>
          <w:szCs w:val="24"/>
        </w:rPr>
        <w:t xml:space="preserve">Five static pages with two interactive components (calculator, early bird counter).</w:t>
      </w:r>
    </w:p>
    <w:p>
      <w:pPr>
        <w:pStyle w:val="ListParagraph"/>
        <w:numPr>
          <w:ilvl w:val="0"/>
          <w:numId w:val="2"/>
        </w:numPr>
        <w:spacing w:after="120"/>
      </w:pPr>
      <w:r>
        <w:rPr>
          <w:rFonts w:ascii="Arial" w:cs="Arial" w:eastAsia="Arial" w:hAnsi="Arial"/>
          <w:sz w:val="24"/>
          <w:szCs w:val="24"/>
        </w:rPr>
        <w:t xml:space="preserve">Blog with individual post pages (static content, no CMS at launch).</w:t>
      </w:r>
    </w:p>
    <w:p>
      <w:pPr>
        <w:pStyle w:val="ListParagraph"/>
        <w:numPr>
          <w:ilvl w:val="0"/>
          <w:numId w:val="2"/>
        </w:numPr>
        <w:spacing w:after="120"/>
      </w:pPr>
      <w:r>
        <w:rPr>
          <w:rFonts w:ascii="Arial" w:cs="Arial" w:eastAsia="Arial" w:hAnsi="Arial"/>
          <w:sz w:val="24"/>
          <w:szCs w:val="24"/>
        </w:rPr>
        <w:t xml:space="preserve">Performance is critical: fast initial load, minimal JavaScript.</w:t>
      </w:r>
    </w:p>
    <w:p>
      <w:pPr>
        <w:pStyle w:val="ListParagraph"/>
        <w:numPr>
          <w:ilvl w:val="0"/>
          <w:numId w:val="2"/>
        </w:numPr>
        <w:spacing w:after="120"/>
      </w:pPr>
      <w:r>
        <w:rPr>
          <w:rFonts w:ascii="Arial" w:cs="Arial" w:eastAsia="Arial" w:hAnsi="Arial"/>
          <w:sz w:val="24"/>
          <w:szCs w:val="24"/>
        </w:rPr>
        <w:t xml:space="preserve">SEO matters: proper meta tags, Open Graph, structured data for FAQ schema.</w:t>
      </w:r>
    </w:p>
    <w:p>
      <w:pPr>
        <w:pStyle w:val="ListParagraph"/>
        <w:numPr>
          <w:ilvl w:val="0"/>
          <w:numId w:val="2"/>
        </w:numPr>
        <w:spacing w:after="120"/>
      </w:pPr>
      <w:r>
        <w:rPr>
          <w:rFonts w:ascii="Arial" w:cs="Arial" w:eastAsia="Arial" w:hAnsi="Arial"/>
          <w:sz w:val="24"/>
          <w:szCs w:val="24"/>
        </w:rPr>
        <w:t xml:space="preserve">Must be maintainable by a solo technical founder.</w:t>
      </w:r>
    </w:p>
    <w:p>
      <w:pPr>
        <w:pStyle w:val="ListParagraph"/>
        <w:numPr>
          <w:ilvl w:val="0"/>
          <w:numId w:val="2"/>
        </w:numPr>
        <w:spacing w:after="120"/>
      </w:pPr>
      <w:r>
        <w:rPr>
          <w:rFonts w:ascii="Arial" w:cs="Arial" w:eastAsia="Arial" w:hAnsi="Arial"/>
          <w:sz w:val="24"/>
          <w:szCs w:val="24"/>
        </w:rPr>
        <w:t xml:space="preserve">Blog posts will be added as markdown files; no external CMS dependency.</w:t>
      </w:r>
    </w:p>
    <w:p>
      <w:pPr>
        <w:spacing w:after="100"/>
      </w:pPr>
    </w:p>
    <w:p>
      <w:pPr>
        <w:pStyle w:val="Heading2"/>
        <w:spacing w:before="300" w:after="160"/>
      </w:pPr>
      <w:r>
        <w:rPr>
          <w:rFonts w:ascii="Arial" w:cs="Arial" w:eastAsia="Arial" w:hAnsi="Arial"/>
          <w:b/>
          <w:bCs/>
          <w:sz w:val="28"/>
          <w:szCs w:val="28"/>
        </w:rPr>
        <w:t xml:space="preserve">5.3 CSS Approach</w:t>
      </w:r>
    </w:p>
    <w:p>
      <w:pPr>
        <w:spacing w:after="200"/>
      </w:pPr>
      <w:r>
        <w:rPr>
          <w:rFonts w:ascii="Arial" w:cs="Arial" w:eastAsia="Arial" w:hAnsi="Arial"/>
          <w:i/>
          <w:iCs/>
          <w:sz w:val="24"/>
          <w:szCs w:val="24"/>
        </w:rPr>
        <w:t xml:space="preserve">Open decision. Tailwind CSS is acceptable if it results in cleaner, more maintainable output. A custom CSS approach with design tokens derived from the colour palette and type scale is also acceptable. Avoid CSS-in-JS. Whichever approach is chosen, enforce the design system: all colours, type sizes, and spacing values must come from a single token source, not scattered literals.</w:t>
      </w:r>
    </w:p>
    <w:p>
      <w:pPr>
        <w:spacing w:after="100"/>
      </w:pPr>
    </w:p>
    <w:p>
      <w:pPr>
        <w:pStyle w:val="Heading2"/>
        <w:spacing w:before="300" w:after="160"/>
      </w:pPr>
      <w:r>
        <w:rPr>
          <w:rFonts w:ascii="Arial" w:cs="Arial" w:eastAsia="Arial" w:hAnsi="Arial"/>
          <w:b/>
          <w:bCs/>
          <w:sz w:val="28"/>
          <w:szCs w:val="28"/>
        </w:rPr>
        <w:t xml:space="preserve">5.4 Accessibility</w:t>
      </w:r>
    </w:p>
    <w:p>
      <w:pPr>
        <w:spacing w:after="200"/>
      </w:pPr>
      <w:r>
        <w:rPr>
          <w:rFonts w:ascii="Arial" w:cs="Arial" w:eastAsia="Arial" w:hAnsi="Arial"/>
          <w:sz w:val="24"/>
          <w:szCs w:val="24"/>
        </w:rPr>
        <w:t xml:space="preserve">WCAG 2.1 AA minimum. Semantic HTML throughout. All interactive elements keyboard navigable. All images (when eventually added) with meaningful alt text. Colour contrast verified for every text/background combination in the palette. Focus indicators visible and styled consistently with the brand. Skip-to-content link on every page.</w:t>
      </w:r>
    </w:p>
    <w:p>
      <w:pPr>
        <w:spacing w:after="100"/>
      </w:pPr>
    </w:p>
    <w:p>
      <w:pPr>
        <w:pStyle w:val="Heading2"/>
        <w:spacing w:before="300" w:after="160"/>
      </w:pPr>
      <w:r>
        <w:rPr>
          <w:rFonts w:ascii="Arial" w:cs="Arial" w:eastAsia="Arial" w:hAnsi="Arial"/>
          <w:b/>
          <w:bCs/>
          <w:sz w:val="28"/>
          <w:szCs w:val="28"/>
        </w:rPr>
        <w:t xml:space="preserve">5.5 Performance Targets</w:t>
      </w:r>
    </w:p>
    <w:p>
      <w:pPr>
        <w:spacing w:after="200"/>
      </w:pPr>
      <w:r>
        <w:rPr>
          <w:rFonts w:ascii="Arial" w:cs="Arial" w:eastAsia="Arial" w:hAnsi="Arial"/>
          <w:sz w:val="24"/>
          <w:szCs w:val="24"/>
        </w:rPr>
        <w:t xml:space="preserve">Lighthouse performance score of 95+ on mobile. No render-blocking resources. Fonts self-hosted with font-display: swap. Images (when added) served in modern formats (WebP/AVIF) with responsive srcset. Total page weight under 500KB for the homepage on initial load, excluding cached assets.</w:t>
      </w:r>
    </w:p>
    <w:p>
      <w:pPr>
        <w:spacing w:after="100"/>
      </w:pPr>
    </w:p>
    <w:p>
      <w:pPr>
        <w:pStyle w:val="Heading2"/>
        <w:spacing w:before="300" w:after="160"/>
      </w:pPr>
      <w:r>
        <w:rPr>
          <w:rFonts w:ascii="Arial" w:cs="Arial" w:eastAsia="Arial" w:hAnsi="Arial"/>
          <w:b/>
          <w:bCs/>
          <w:sz w:val="28"/>
          <w:szCs w:val="28"/>
        </w:rPr>
        <w:t xml:space="preserve">5.6 SEO</w:t>
      </w:r>
    </w:p>
    <w:p>
      <w:pPr>
        <w:spacing w:after="200"/>
      </w:pPr>
      <w:r>
        <w:rPr>
          <w:rFonts w:ascii="Arial" w:cs="Arial" w:eastAsia="Arial" w:hAnsi="Arial"/>
          <w:sz w:val="24"/>
          <w:szCs w:val="24"/>
        </w:rPr>
        <w:t xml:space="preserve">Unique title and meta description for every page. Open Graph and Twitter Card meta for social sharing. FAQ schema markup on the pricing page (the nine FAQ items are ideal for this). Blog posts with proper heading hierarchy, meta descriptions, and canonical URLs. Sitemap.xml and robots.txt.</w:t>
      </w:r>
    </w:p>
    <w:p>
      <w:pPr>
        <w:spacing w:after="100"/>
      </w:pPr>
    </w:p>
    <w:p>
      <w:pPr>
        <w:pStyle w:val="Heading2"/>
        <w:spacing w:before="300" w:after="160"/>
      </w:pPr>
      <w:r>
        <w:rPr>
          <w:rFonts w:ascii="Arial" w:cs="Arial" w:eastAsia="Arial" w:hAnsi="Arial"/>
          <w:b/>
          <w:bCs/>
          <w:sz w:val="28"/>
          <w:szCs w:val="28"/>
        </w:rPr>
        <w:t xml:space="preserve">5.7 Analytics and Tracking</w:t>
      </w:r>
    </w:p>
    <w:p>
      <w:pPr>
        <w:spacing w:after="200"/>
      </w:pPr>
      <w:r>
        <w:rPr>
          <w:rFonts w:ascii="Arial" w:cs="Arial" w:eastAsia="Arial" w:hAnsi="Arial"/>
          <w:i/>
          <w:iCs/>
          <w:sz w:val="24"/>
          <w:szCs w:val="24"/>
        </w:rPr>
        <w:t xml:space="preserve">Open decision. Recommend an analytics solution that respects privacy and does not require cookie consent banners. Plausible, Fathom, or similar privacy-first analytics preferred over Google Analytics. The physician audience is privacy-conscious; a cookie banner undermines the trust message.</w:t>
      </w:r>
    </w:p>
    <w:p>
      <w:pPr>
        <w:pStyle w:val="Heading1"/>
        <w:spacing w:before="360" w:after="200"/>
      </w:pPr>
      <w:r>
        <w:rPr>
          <w:rFonts w:ascii="Arial" w:cs="Arial" w:eastAsia="Arial" w:hAnsi="Arial"/>
          <w:b/>
          <w:bCs/>
          <w:sz w:val="32"/>
          <w:szCs w:val="32"/>
        </w:rPr>
        <w:t xml:space="preserve">6. Copy Integration</w:t>
      </w:r>
    </w:p>
    <w:p>
      <w:pPr>
        <w:spacing w:after="100"/>
      </w:pPr>
    </w:p>
    <w:p>
      <w:pPr>
        <w:spacing w:after="200"/>
      </w:pPr>
      <w:r>
        <w:rPr>
          <w:rFonts w:ascii="Arial" w:cs="Arial" w:eastAsia="Arial" w:hAnsi="Arial"/>
          <w:sz w:val="24"/>
          <w:szCs w:val="24"/>
        </w:rPr>
        <w:t xml:space="preserve">All customer-facing copy is provided in the source documents listed in Section 2. The copy is production-ready and should be used as-is. Do not rewrite, summarise, or rearrange the copy. Implementation notes within the documents (marked in italics) are instructions for layout and behaviour, not copy to be rendered.</w:t>
      </w:r>
    </w:p>
    <w:p>
      <w:pPr>
        <w:spacing w:after="100"/>
      </w:pPr>
    </w:p>
    <w:p>
      <w:pPr>
        <w:spacing w:after="200"/>
      </w:pPr>
      <w:r>
        <w:rPr>
          <w:rFonts w:ascii="Arial" w:cs="Arial" w:eastAsia="Arial" w:hAnsi="Arial"/>
          <w:sz w:val="24"/>
          <w:szCs w:val="24"/>
        </w:rPr>
        <w:t xml:space="preserve">Each document uses a section numbering system with implementation notes that describe layout intent, visual treatment, and conditional logic (e.g., what changes when early bird spots fill). Follow these notes.</w:t>
      </w:r>
    </w:p>
    <w:p>
      <w:pPr>
        <w:spacing w:after="100"/>
      </w:pPr>
    </w:p>
    <w:p>
      <w:pPr>
        <w:pStyle w:val="Heading2"/>
        <w:spacing w:before="300" w:after="160"/>
      </w:pPr>
      <w:r>
        <w:rPr>
          <w:rFonts w:ascii="Arial" w:cs="Arial" w:eastAsia="Arial" w:hAnsi="Arial"/>
          <w:b/>
          <w:bCs/>
          <w:sz w:val="28"/>
          <w:szCs w:val="28"/>
        </w:rPr>
        <w:t xml:space="preserve">6.1 Dynamic Content</w:t>
      </w:r>
    </w:p>
    <w:p>
      <w:pPr>
        <w:spacing w:after="200"/>
      </w:pPr>
      <w:r>
        <w:rPr>
          <w:rFonts w:ascii="Arial" w:cs="Arial" w:eastAsia="Arial" w:hAnsi="Arial"/>
          <w:sz w:val="24"/>
          <w:szCs w:val="24"/>
        </w:rPr>
        <w:t xml:space="preserve">The following content elements change based on state and must not be hardcoded: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220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Element</w:t>
            </w:r>
          </w:p>
        </w:tc>
        <w:tc>
          <w:tcPr>
            <w:tcW w:type="dxa" w:w="358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During early bird</w:t>
            </w:r>
          </w:p>
        </w:tc>
        <w:tc>
          <w:tcPr>
            <w:tcW w:type="dxa" w:w="358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After early bird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Nav CTA</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Start Today — $199/month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Start Today — $279/month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Early bird counter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XX of 100 spots remaining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Hidden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Pricing card emphasis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Early bird card primary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Standard card primary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Calculator Meritum cost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$2,388/year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$3,181/year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Homepage final CTA rate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$199/month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$279/month, or save 5% annually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Pricing page CTA rate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$199/month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$279/month, or save 5% annually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How It Works CTA rate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$199/month</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$279/month, or save 5% annually</w:t>
            </w:r>
          </w:p>
        </w:tc>
      </w:tr>
    </w:tbl>
    <w:p>
      <w:pPr>
        <w:spacing w:after="100"/>
      </w:pPr>
    </w:p>
    <w:p>
      <w:pPr>
        <w:spacing w:after="200"/>
      </w:pPr>
      <w:r>
        <w:rPr>
          <w:rFonts w:ascii="Arial" w:cs="Arial" w:eastAsia="Arial" w:hAnsi="Arial"/>
          <w:sz w:val="24"/>
          <w:szCs w:val="24"/>
        </w:rPr>
        <w:t xml:space="preserve">All dynamic values should derive from a single configuration object or API response. When the early bird counter reaches zero, every element in this table should transition without manual intervention.</w:t>
      </w:r>
    </w:p>
    <w:p>
      <w:pPr>
        <w:pStyle w:val="Heading1"/>
        <w:spacing w:before="360" w:after="200"/>
      </w:pPr>
      <w:r>
        <w:rPr>
          <w:rFonts w:ascii="Arial" w:cs="Arial" w:eastAsia="Arial" w:hAnsi="Arial"/>
          <w:b/>
          <w:bCs/>
          <w:sz w:val="32"/>
          <w:szCs w:val="32"/>
        </w:rPr>
        <w:t xml:space="preserve">7. Page-Specific Implementation Notes</w:t>
      </w:r>
    </w:p>
    <w:p>
      <w:pPr>
        <w:spacing w:after="100"/>
      </w:pPr>
    </w:p>
    <w:p>
      <w:pPr>
        <w:pStyle w:val="Heading2"/>
        <w:spacing w:before="300" w:after="160"/>
      </w:pPr>
      <w:r>
        <w:rPr>
          <w:rFonts w:ascii="Arial" w:cs="Arial" w:eastAsia="Arial" w:hAnsi="Arial"/>
          <w:b/>
          <w:bCs/>
          <w:sz w:val="28"/>
          <w:szCs w:val="28"/>
        </w:rPr>
        <w:t xml:space="preserve">7.1 Homepage</w:t>
      </w:r>
    </w:p>
    <w:p>
      <w:pPr>
        <w:spacing w:after="200"/>
      </w:pPr>
      <w:r>
        <w:rPr>
          <w:rFonts w:ascii="Arial" w:cs="Arial" w:eastAsia="Arial" w:hAnsi="Arial"/>
          <w:sz w:val="24"/>
          <w:szCs w:val="24"/>
        </w:rPr>
        <w:t xml:space="preserve">The homepage is a single long scroll with seven sections in order: Hero, Calculator, Three Pillars, Thursday Cycle, Objection Busters, Social Proof/Early Bird Counter, Final CTA. Each section should be visually distinct (alternate background colours between #FAFAF8 and #F0EFEC, or use subtle topographic texture on alternating sections).</w:t>
      </w:r>
    </w:p>
    <w:p>
      <w:pPr>
        <w:spacing w:after="100"/>
      </w:pPr>
    </w:p>
    <w:p>
      <w:pPr>
        <w:spacing w:after="200"/>
      </w:pPr>
      <w:r>
        <w:rPr>
          <w:rFonts w:ascii="Arial" w:cs="Arial" w:eastAsia="Arial" w:hAnsi="Arial"/>
          <w:sz w:val="24"/>
          <w:szCs w:val="24"/>
        </w:rPr>
        <w:t xml:space="preserve">The Three Pillars section is three equal-weight prose blocks, not cards. Do not add icons or illustrations to the pillars; the copy is the content.</w:t>
      </w:r>
    </w:p>
    <w:p>
      <w:pPr>
        <w:spacing w:after="100"/>
      </w:pPr>
    </w:p>
    <w:p>
      <w:pPr>
        <w:spacing w:after="200"/>
      </w:pPr>
      <w:r>
        <w:rPr>
          <w:rFonts w:ascii="Arial" w:cs="Arial" w:eastAsia="Arial" w:hAnsi="Arial"/>
          <w:sz w:val="24"/>
          <w:szCs w:val="24"/>
        </w:rPr>
        <w:t xml:space="preserve">The Thursday Cycle section should render as a stepped timeline or vertical sequence. Four steps, each with a bold step label and a body paragraph. This is where subtle topographic background texture works well.</w:t>
      </w:r>
    </w:p>
    <w:p>
      <w:pPr>
        <w:spacing w:after="100"/>
      </w:pPr>
    </w:p>
    <w:p>
      <w:pPr>
        <w:spacing w:after="200"/>
      </w:pPr>
      <w:r>
        <w:rPr>
          <w:rFonts w:ascii="Arial" w:cs="Arial" w:eastAsia="Arial" w:hAnsi="Arial"/>
          <w:sz w:val="24"/>
          <w:szCs w:val="24"/>
        </w:rPr>
        <w:t xml:space="preserve">Objection Busters: five blocks. The question is the heading (in quotes), the answer is one paragraph. Conversational tone; do not style these as a formal FAQ accordion. They should feel different from the pricing page FAQ.</w:t>
      </w:r>
    </w:p>
    <w:p>
      <w:pPr>
        <w:spacing w:after="100"/>
      </w:pPr>
    </w:p>
    <w:p>
      <w:pPr>
        <w:pStyle w:val="Heading2"/>
        <w:spacing w:before="300" w:after="160"/>
      </w:pPr>
      <w:r>
        <w:rPr>
          <w:rFonts w:ascii="Arial" w:cs="Arial" w:eastAsia="Arial" w:hAnsi="Arial"/>
          <w:b/>
          <w:bCs/>
          <w:sz w:val="28"/>
          <w:szCs w:val="28"/>
        </w:rPr>
        <w:t xml:space="preserve">7.2 How It Works</w:t>
      </w:r>
    </w:p>
    <w:p>
      <w:pPr>
        <w:spacing w:after="200"/>
      </w:pPr>
      <w:r>
        <w:rPr>
          <w:rFonts w:ascii="Arial" w:cs="Arial" w:eastAsia="Arial" w:hAnsi="Arial"/>
          <w:sz w:val="24"/>
          <w:szCs w:val="24"/>
        </w:rPr>
        <w:t xml:space="preserve">Seven sections: header, onboarding (four steps), daily workflow (three paths), Thursday cycle (expanded), after submission, what doesn’t change, CTA. The onboarding section should feel fast: consider a compact stepped layout rather than long-form prose. The daily workflow section has three subsections (EMR import, mobile entry, manual entry) that could work as tabs or as a scrolling sequence.</w:t>
      </w:r>
    </w:p>
    <w:p>
      <w:pPr>
        <w:spacing w:after="100"/>
      </w:pPr>
    </w:p>
    <w:p>
      <w:pPr>
        <w:spacing w:after="200"/>
      </w:pPr>
      <w:r>
        <w:rPr>
          <w:rFonts w:ascii="Arial" w:cs="Arial" w:eastAsia="Arial" w:hAnsi="Arial"/>
          <w:sz w:val="24"/>
          <w:szCs w:val="24"/>
        </w:rPr>
        <w:t xml:space="preserve">The submission preferences subsection (approve everything, auto-submit clean, auto-submit all) should render as three clearly distinct options, possibly as labelled cards or a compact comparison.</w:t>
      </w:r>
    </w:p>
    <w:p>
      <w:pPr>
        <w:spacing w:after="100"/>
      </w:pPr>
    </w:p>
    <w:p>
      <w:pPr>
        <w:pStyle w:val="Heading2"/>
        <w:spacing w:before="300" w:after="160"/>
      </w:pPr>
      <w:r>
        <w:rPr>
          <w:rFonts w:ascii="Arial" w:cs="Arial" w:eastAsia="Arial" w:hAnsi="Arial"/>
          <w:b/>
          <w:bCs/>
          <w:sz w:val="28"/>
          <w:szCs w:val="28"/>
        </w:rPr>
        <w:t xml:space="preserve">7.3 Pricing</w:t>
      </w:r>
    </w:p>
    <w:p>
      <w:pPr>
        <w:spacing w:after="200"/>
      </w:pPr>
      <w:r>
        <w:rPr>
          <w:rFonts w:ascii="Arial" w:cs="Arial" w:eastAsia="Arial" w:hAnsi="Arial"/>
          <w:sz w:val="24"/>
          <w:szCs w:val="24"/>
        </w:rPr>
        <w:t xml:space="preserve">Structure: pricing header, individual cards (early bird + standard), practice tier, what’s included list, two comparison tables, two worked math examples, referral callout, FAQ accordion, final CTA. The “What’s Included” list is a single column of features with bold lead-ins; do not render as a checklist grid.</w:t>
      </w:r>
    </w:p>
    <w:p>
      <w:pPr>
        <w:spacing w:after="100"/>
      </w:pPr>
    </w:p>
    <w:p>
      <w:pPr>
        <w:spacing w:after="200"/>
      </w:pPr>
      <w:r>
        <w:rPr>
          <w:rFonts w:ascii="Arial" w:cs="Arial" w:eastAsia="Arial" w:hAnsi="Arial"/>
          <w:sz w:val="24"/>
          <w:szCs w:val="24"/>
        </w:rPr>
        <w:t xml:space="preserve">The two comparison tables (vs. billing agent, vs. self-serve software) should be responsive: readable on mobile, ideally as stacked cards or a horizontal-scroll table rather than a truncated grid.</w:t>
      </w:r>
    </w:p>
    <w:p>
      <w:pPr>
        <w:spacing w:after="100"/>
      </w:pPr>
    </w:p>
    <w:p>
      <w:pPr>
        <w:pStyle w:val="Heading2"/>
        <w:spacing w:before="300" w:after="160"/>
      </w:pPr>
      <w:r>
        <w:rPr>
          <w:rFonts w:ascii="Arial" w:cs="Arial" w:eastAsia="Arial" w:hAnsi="Arial"/>
          <w:b/>
          <w:bCs/>
          <w:sz w:val="28"/>
          <w:szCs w:val="28"/>
        </w:rPr>
        <w:t xml:space="preserve">7.4 About</w:t>
      </w:r>
    </w:p>
    <w:p>
      <w:pPr>
        <w:spacing w:after="200"/>
      </w:pPr>
      <w:r>
        <w:rPr>
          <w:rFonts w:ascii="Arial" w:cs="Arial" w:eastAsia="Arial" w:hAnsi="Arial"/>
          <w:sz w:val="24"/>
          <w:szCs w:val="24"/>
        </w:rPr>
        <w:t xml:space="preserve">Single scroll, no sidebar, no feature callouts, no mid-page CTAs. First-person voice throughout. The CTA at the bottom links to the homepage calculator, not directly to signup. This page should feel quiet and confident: generous whitespace, body text at a comfortable reading width (max 680px or so), no decorative elements.</w:t>
      </w:r>
    </w:p>
    <w:p>
      <w:pPr>
        <w:spacing w:after="100"/>
      </w:pPr>
    </w:p>
    <w:p>
      <w:pPr>
        <w:pStyle w:val="Heading2"/>
        <w:spacing w:before="300" w:after="160"/>
      </w:pPr>
      <w:r>
        <w:rPr>
          <w:rFonts w:ascii="Arial" w:cs="Arial" w:eastAsia="Arial" w:hAnsi="Arial"/>
          <w:b/>
          <w:bCs/>
          <w:sz w:val="28"/>
          <w:szCs w:val="28"/>
        </w:rPr>
        <w:t xml:space="preserve">7.5 Blog</w:t>
      </w:r>
    </w:p>
    <w:p>
      <w:pPr>
        <w:spacing w:after="200"/>
      </w:pPr>
      <w:r>
        <w:rPr>
          <w:rFonts w:ascii="Arial" w:cs="Arial" w:eastAsia="Arial" w:hAnsi="Arial"/>
          <w:sz w:val="24"/>
          <w:szCs w:val="24"/>
        </w:rPr>
        <w:t xml:space="preserve">Index page with post cards (title, date, excerpt, read more). Individual post pages with proper typographic treatment: comfortable reading width, generous line height, clear heading hierarchy. Blog posts will be provided as markdown files. The blog template should support front matter for title, date, description, and optional author.</w:t>
      </w:r>
    </w:p>
    <w:p>
      <w:pPr>
        <w:spacing w:after="100"/>
      </w:pPr>
    </w:p>
    <w:p>
      <w:pPr>
        <w:spacing w:after="200"/>
      </w:pPr>
      <w:r>
        <w:rPr>
          <w:rFonts w:ascii="Arial" w:cs="Arial" w:eastAsia="Arial" w:hAnsi="Arial"/>
          <w:sz w:val="24"/>
          <w:szCs w:val="24"/>
        </w:rPr>
        <w:t xml:space="preserve">At launch, the blog may have zero or one posts. The index page should not look empty with a single post; consider a layout that works at one post and scales to many.</w:t>
      </w:r>
    </w:p>
    <w:p>
      <w:pPr>
        <w:pStyle w:val="Heading1"/>
        <w:spacing w:before="360" w:after="200"/>
      </w:pPr>
      <w:r>
        <w:rPr>
          <w:rFonts w:ascii="Arial" w:cs="Arial" w:eastAsia="Arial" w:hAnsi="Arial"/>
          <w:b/>
          <w:bCs/>
          <w:sz w:val="32"/>
          <w:szCs w:val="32"/>
        </w:rPr>
        <w:t xml:space="preserve">8. Brand Constraints (Non-Negotiable)</w:t>
      </w:r>
    </w:p>
    <w:p>
      <w:pPr>
        <w:spacing w:after="100"/>
      </w:pPr>
    </w:p>
    <w:p>
      <w:pPr>
        <w:pStyle w:val="ListParagraph"/>
        <w:numPr>
          <w:ilvl w:val="0"/>
          <w:numId w:val="2"/>
        </w:numPr>
        <w:spacing w:after="140"/>
      </w:pPr>
      <w:r>
        <w:rPr>
          <w:rFonts w:ascii="Arial" w:cs="Arial" w:eastAsia="Arial" w:hAnsi="Arial"/>
          <w:sz w:val="24"/>
          <w:szCs w:val="24"/>
        </w:rPr>
        <w:t xml:space="preserve">No stock photography of physicians. No photography at all at launch.</w:t>
      </w:r>
    </w:p>
    <w:p>
      <w:pPr>
        <w:pStyle w:val="ListParagraph"/>
        <w:numPr>
          <w:ilvl w:val="0"/>
          <w:numId w:val="2"/>
        </w:numPr>
        <w:spacing w:after="140"/>
      </w:pPr>
      <w:r>
        <w:rPr>
          <w:rFonts w:ascii="Arial" w:cs="Arial" w:eastAsia="Arial" w:hAnsi="Arial"/>
          <w:sz w:val="24"/>
          <w:szCs w:val="24"/>
        </w:rPr>
        <w:t xml:space="preserve">No blob gradients, mesh patterns, or AI-generated visuals.</w:t>
      </w:r>
    </w:p>
    <w:p>
      <w:pPr>
        <w:pStyle w:val="ListParagraph"/>
        <w:numPr>
          <w:ilvl w:val="0"/>
          <w:numId w:val="2"/>
        </w:numPr>
        <w:spacing w:after="140"/>
      </w:pPr>
      <w:r>
        <w:rPr>
          <w:rFonts w:ascii="Arial" w:cs="Arial" w:eastAsia="Arial" w:hAnsi="Arial"/>
          <w:sz w:val="24"/>
          <w:szCs w:val="24"/>
        </w:rPr>
        <w:t xml:space="preserve">No emoji in any copy or UI element.</w:t>
      </w:r>
    </w:p>
    <w:p>
      <w:pPr>
        <w:pStyle w:val="ListParagraph"/>
        <w:numPr>
          <w:ilvl w:val="0"/>
          <w:numId w:val="2"/>
        </w:numPr>
        <w:spacing w:after="140"/>
      </w:pPr>
      <w:r>
        <w:rPr>
          <w:rFonts w:ascii="Arial" w:cs="Arial" w:eastAsia="Arial" w:hAnsi="Arial"/>
          <w:sz w:val="24"/>
          <w:szCs w:val="24"/>
        </w:rPr>
        <w:t xml:space="preserve">No "AI" terminology anywhere on the site. The advice engine is never described as AI, machine learning, or smart suggestions.</w:t>
      </w:r>
    </w:p>
    <w:p>
      <w:pPr>
        <w:pStyle w:val="ListParagraph"/>
        <w:numPr>
          <w:ilvl w:val="0"/>
          <w:numId w:val="2"/>
        </w:numPr>
        <w:spacing w:after="140"/>
      </w:pPr>
      <w:r>
        <w:rPr>
          <w:rFonts w:ascii="Arial" w:cs="Arial" w:eastAsia="Arial" w:hAnsi="Arial"/>
          <w:sz w:val="24"/>
          <w:szCs w:val="24"/>
        </w:rPr>
        <w:t xml:space="preserve">No US statistics, US healthcare references, or generic healthcare content.</w:t>
      </w:r>
    </w:p>
    <w:p>
      <w:pPr>
        <w:pStyle w:val="ListParagraph"/>
        <w:numPr>
          <w:ilvl w:val="0"/>
          <w:numId w:val="2"/>
        </w:numPr>
        <w:spacing w:after="140"/>
      </w:pPr>
      <w:r>
        <w:rPr>
          <w:rFonts w:ascii="Arial" w:cs="Arial" w:eastAsia="Arial" w:hAnsi="Arial"/>
          <w:sz w:val="24"/>
          <w:szCs w:val="24"/>
        </w:rPr>
        <w:t xml:space="preserve">No free trial messaging. The early bird rate is the offer.</w:t>
      </w:r>
    </w:p>
    <w:p>
      <w:pPr>
        <w:pStyle w:val="ListParagraph"/>
        <w:numPr>
          <w:ilvl w:val="0"/>
          <w:numId w:val="2"/>
        </w:numPr>
        <w:spacing w:after="140"/>
      </w:pPr>
      <w:r>
        <w:rPr>
          <w:rFonts w:ascii="Arial" w:cs="Arial" w:eastAsia="Arial" w:hAnsi="Arial"/>
          <w:sz w:val="24"/>
          <w:szCs w:val="24"/>
        </w:rPr>
        <w:t xml:space="preserve">No feature-gating UI. There is one plan; every feature is included.</w:t>
      </w:r>
    </w:p>
    <w:p>
      <w:pPr>
        <w:pStyle w:val="ListParagraph"/>
        <w:numPr>
          <w:ilvl w:val="0"/>
          <w:numId w:val="2"/>
        </w:numPr>
        <w:spacing w:after="140"/>
      </w:pPr>
      <w:r>
        <w:rPr>
          <w:rFonts w:ascii="Arial" w:cs="Arial" w:eastAsia="Arial" w:hAnsi="Arial"/>
          <w:sz w:val="24"/>
          <w:szCs w:val="24"/>
        </w:rPr>
        <w:t xml:space="preserve">Minimise em dashes in all rendered copy; use semicolons or colons instead.</w:t>
      </w:r>
    </w:p>
    <w:p>
      <w:pPr>
        <w:pStyle w:val="ListParagraph"/>
        <w:numPr>
          <w:ilvl w:val="0"/>
          <w:numId w:val="2"/>
        </w:numPr>
        <w:spacing w:after="140"/>
      </w:pPr>
      <w:r>
        <w:rPr>
          <w:rFonts w:ascii="Arial" w:cs="Arial" w:eastAsia="Arial" w:hAnsi="Arial"/>
          <w:sz w:val="24"/>
          <w:szCs w:val="24"/>
        </w:rPr>
        <w:t xml:space="preserve">All prices in CAD. All prices exclude GST unless explicitly stated. "Plus 5% GST" where shown.</w:t>
      </w:r>
    </w:p>
    <w:p>
      <w:pPr>
        <w:pStyle w:val="ListParagraph"/>
        <w:numPr>
          <w:ilvl w:val="0"/>
          <w:numId w:val="2"/>
        </w:numPr>
        <w:spacing w:after="140"/>
      </w:pPr>
      <w:r>
        <w:rPr>
          <w:rFonts w:ascii="Arial" w:cs="Arial" w:eastAsia="Arial" w:hAnsi="Arial"/>
          <w:sz w:val="24"/>
          <w:szCs w:val="24"/>
        </w:rPr>
        <w:t xml:space="preserve">Two typefaces maximum (Satoshi + IBM Plex Sans). No third typeface for any reason.</w:t>
      </w:r>
    </w:p>
    <w:p>
      <w:pPr>
        <w:pStyle w:val="Heading1"/>
        <w:spacing w:before="360" w:after="200"/>
      </w:pPr>
      <w:r>
        <w:rPr>
          <w:rFonts w:ascii="Arial" w:cs="Arial" w:eastAsia="Arial" w:hAnsi="Arial"/>
          <w:b/>
          <w:bCs/>
          <w:sz w:val="32"/>
          <w:szCs w:val="32"/>
        </w:rPr>
        <w:t xml:space="preserve">9. Source Documents</w:t>
      </w:r>
    </w:p>
    <w:p>
      <w:pPr>
        <w:spacing w:after="100"/>
      </w:pPr>
    </w:p>
    <w:p>
      <w:pPr>
        <w:spacing w:after="200"/>
      </w:pPr>
      <w:r>
        <w:rPr>
          <w:rFonts w:ascii="Arial" w:cs="Arial" w:eastAsia="Arial" w:hAnsi="Arial"/>
          <w:sz w:val="24"/>
          <w:szCs w:val="24"/>
        </w:rPr>
        <w:t xml:space="preserve">Provide the following documents alongside this prompt. These contain all customer-facing copy, internal pricing rules, and brand context.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80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Document</w:t>
            </w:r>
          </w:p>
        </w:tc>
        <w:tc>
          <w:tcPr>
            <w:tcW w:type="dxa" w:w="6560"/>
            <w:tcBorders>
              <w:top w:val="single" w:color="CCCCCC" w:sz="1"/>
              <w:left w:val="single" w:color="CCCCCC" w:sz="1"/>
              <w:bottom w:val="single" w:color="CCCCCC" w:sz="1"/>
              <w:right w:val="single" w:color="CCCCCC" w:sz="1"/>
            </w:tcBorders>
            <w:shd w:fill="E8E7E4" w:val="clear"/>
            <w:tcMar>
              <w:top w:type="dxa" w:w="60"/>
              <w:left w:type="dxa" w:w="100"/>
              <w:bottom w:type="dxa" w:w="60"/>
              <w:right w:type="dxa" w:w="100"/>
            </w:tcMar>
          </w:tcPr>
          <w:p>
            <w:r>
              <w:rPr>
                <w:rFonts w:ascii="Arial" w:cs="Arial" w:eastAsia="Arial" w:hAnsi="Arial"/>
                <w:b/>
                <w:bCs/>
                <w:sz w:val="22"/>
                <w:szCs w:val="22"/>
              </w:rPr>
              <w:t xml:space="preserve">Contents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meritum-homepage-copy-v5.docx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Homepage copy (all 7 sections), About page copy, visual identity appendix. Production-ready.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meritum-how-it-works-v1.docx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How It Works page copy (all 7 sections). Production-ready.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meritum-pricing-page-v3.docx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Pricing page copy (all 9 sections). Production-ready.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meritum-pricing-strategy-v2.docx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Internal pricing strategy. NOT customer-facing. Use for logic and rules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meritum-brand-context.docx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Brand positioning, messaging hierarchy, calculator copy (both paths), objection handlers, blog targets, founder story. Foundational reference.</w:t>
            </w:r>
          </w:p>
        </w:tc>
      </w:tr>
    </w:tbl>
    <w:p>
      <w:pPr>
        <w:spacing w:after="100"/>
      </w:pPr>
    </w:p>
    <w:p>
      <w:pPr>
        <w:spacing w:after="200"/>
      </w:pPr>
      <w:r>
        <w:rPr>
          <w:rFonts w:ascii="Arial" w:cs="Arial" w:eastAsia="Arial" w:hAnsi="Arial"/>
          <w:sz w:val="24"/>
          <w:szCs w:val="24"/>
        </w:rPr>
        <w:t xml:space="preserve">Read all five documents before writing any code. The copy documents contain implementation notes (in italics) that describe layout behaviour, conditional logic, and visual treatment. These notes are instructions, not content to render.</w:t>
      </w:r>
    </w:p>
    <w:p>
      <w:pPr>
        <w:pStyle w:val="Heading1"/>
        <w:spacing w:before="360" w:after="200"/>
      </w:pPr>
      <w:r>
        <w:rPr>
          <w:rFonts w:ascii="Arial" w:cs="Arial" w:eastAsia="Arial" w:hAnsi="Arial"/>
          <w:b/>
          <w:bCs/>
          <w:sz w:val="32"/>
          <w:szCs w:val="32"/>
        </w:rPr>
        <w:t xml:space="preserve">10. Deliverables</w:t>
      </w:r>
    </w:p>
    <w:p>
      <w:pPr>
        <w:spacing w:after="100"/>
      </w:pPr>
    </w:p>
    <w:p>
      <w:pPr>
        <w:pStyle w:val="ListParagraph"/>
        <w:numPr>
          <w:ilvl w:val="0"/>
          <w:numId w:val="3"/>
        </w:numPr>
        <w:spacing w:after="140"/>
      </w:pPr>
      <w:r>
        <w:rPr>
          <w:rFonts w:ascii="Arial" w:cs="Arial" w:eastAsia="Arial" w:hAnsi="Arial"/>
          <w:sz w:val="24"/>
          <w:szCs w:val="24"/>
        </w:rPr>
        <w:t xml:space="preserve">Complete five-page marketing site with all copy integrated from source documents.</w:t>
      </w:r>
    </w:p>
    <w:p>
      <w:pPr>
        <w:pStyle w:val="ListParagraph"/>
        <w:numPr>
          <w:ilvl w:val="0"/>
          <w:numId w:val="3"/>
        </w:numPr>
        <w:spacing w:after="140"/>
      </w:pPr>
      <w:r>
        <w:rPr>
          <w:rFonts w:ascii="Arial" w:cs="Arial" w:eastAsia="Arial" w:hAnsi="Arial"/>
          <w:sz w:val="24"/>
          <w:szCs w:val="24"/>
        </w:rPr>
        <w:t xml:space="preserve">Interactive calculator component (homepage, Tab A and Tab B).</w:t>
      </w:r>
    </w:p>
    <w:p>
      <w:pPr>
        <w:pStyle w:val="ListParagraph"/>
        <w:numPr>
          <w:ilvl w:val="0"/>
          <w:numId w:val="3"/>
        </w:numPr>
        <w:spacing w:after="140"/>
      </w:pPr>
      <w:r>
        <w:rPr>
          <w:rFonts w:ascii="Arial" w:cs="Arial" w:eastAsia="Arial" w:hAnsi="Arial"/>
          <w:sz w:val="24"/>
          <w:szCs w:val="24"/>
        </w:rPr>
        <w:t xml:space="preserve">Early bird counter component wired to accept a dynamic value (placeholder: 100).</w:t>
      </w:r>
    </w:p>
    <w:p>
      <w:pPr>
        <w:pStyle w:val="ListParagraph"/>
        <w:numPr>
          <w:ilvl w:val="0"/>
          <w:numId w:val="3"/>
        </w:numPr>
        <w:spacing w:after="140"/>
      </w:pPr>
      <w:r>
        <w:rPr>
          <w:rFonts w:ascii="Arial" w:cs="Arial" w:eastAsia="Arial" w:hAnsi="Arial"/>
          <w:sz w:val="24"/>
          <w:szCs w:val="24"/>
        </w:rPr>
        <w:t xml:space="preserve">Responsive layout across all pages: mobile, tablet, desktop.</w:t>
      </w:r>
    </w:p>
    <w:p>
      <w:pPr>
        <w:pStyle w:val="ListParagraph"/>
        <w:numPr>
          <w:ilvl w:val="0"/>
          <w:numId w:val="3"/>
        </w:numPr>
        <w:spacing w:after="140"/>
      </w:pPr>
      <w:r>
        <w:rPr>
          <w:rFonts w:ascii="Arial" w:cs="Arial" w:eastAsia="Arial" w:hAnsi="Arial"/>
          <w:sz w:val="24"/>
          <w:szCs w:val="24"/>
        </w:rPr>
        <w:t xml:space="preserve">FAQ accordion on pricing page with proper accessibility.</w:t>
      </w:r>
    </w:p>
    <w:p>
      <w:pPr>
        <w:pStyle w:val="ListParagraph"/>
        <w:numPr>
          <w:ilvl w:val="0"/>
          <w:numId w:val="3"/>
        </w:numPr>
        <w:spacing w:after="140"/>
      </w:pPr>
      <w:r>
        <w:rPr>
          <w:rFonts w:ascii="Arial" w:cs="Arial" w:eastAsia="Arial" w:hAnsi="Arial"/>
          <w:sz w:val="24"/>
          <w:szCs w:val="24"/>
        </w:rPr>
        <w:t xml:space="preserve">Blog template (index + post) with markdown support.</w:t>
      </w:r>
    </w:p>
    <w:p>
      <w:pPr>
        <w:pStyle w:val="ListParagraph"/>
        <w:numPr>
          <w:ilvl w:val="0"/>
          <w:numId w:val="3"/>
        </w:numPr>
        <w:spacing w:after="140"/>
      </w:pPr>
      <w:r>
        <w:rPr>
          <w:rFonts w:ascii="Arial" w:cs="Arial" w:eastAsia="Arial" w:hAnsi="Arial"/>
          <w:sz w:val="24"/>
          <w:szCs w:val="24"/>
        </w:rPr>
        <w:t xml:space="preserve">SEO setup: meta tags, Open Graph, FAQ schema, sitemap, robots.txt.</w:t>
      </w:r>
    </w:p>
    <w:p>
      <w:pPr>
        <w:pStyle w:val="ListParagraph"/>
        <w:numPr>
          <w:ilvl w:val="0"/>
          <w:numId w:val="3"/>
        </w:numPr>
        <w:spacing w:after="140"/>
      </w:pPr>
      <w:r>
        <w:rPr>
          <w:rFonts w:ascii="Arial" w:cs="Arial" w:eastAsia="Arial" w:hAnsi="Arial"/>
          <w:sz w:val="24"/>
          <w:szCs w:val="24"/>
        </w:rPr>
        <w:t xml:space="preserve">Design token file or configuration with all colours, type scale, and spacing values.</w:t>
      </w:r>
    </w:p>
    <w:p>
      <w:pPr>
        <w:pStyle w:val="ListParagraph"/>
        <w:numPr>
          <w:ilvl w:val="0"/>
          <w:numId w:val="3"/>
        </w:numPr>
        <w:spacing w:after="140"/>
      </w:pPr>
      <w:r>
        <w:rPr>
          <w:rFonts w:ascii="Arial" w:cs="Arial" w:eastAsia="Arial" w:hAnsi="Arial"/>
          <w:sz w:val="24"/>
          <w:szCs w:val="24"/>
        </w:rPr>
        <w:t xml:space="preserve">Configuration object for dynamic pricing values (early bird active/inactive, rates, counter).</w:t>
      </w:r>
    </w:p>
    <w:p>
      <w:pPr>
        <w:spacing w:after="100"/>
      </w:pPr>
    </w:p>
    <w:p>
      <w:pPr>
        <w:spacing w:after="200"/>
      </w:pPr>
      <w:r>
        <w:rPr>
          <w:rFonts w:ascii="Arial" w:cs="Arial" w:eastAsia="Arial" w:hAnsi="Arial"/>
          <w:i/>
          <w:iCs/>
          <w:sz w:val="24"/>
          <w:szCs w:val="24"/>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2026-02-19T22:08:43.823Z</dcterms:created>
  <dcterms:modified xsi:type="dcterms:W3CDTF">2026-02-19T22:08:43.824Z</dcterms:modified>
</cp:coreProperties>
</file>

<file path=docProps/custom.xml><?xml version="1.0" encoding="utf-8"?>
<Properties xmlns="http://schemas.openxmlformats.org/officeDocument/2006/custom-properties" xmlns:vt="http://schemas.openxmlformats.org/officeDocument/2006/docPropsVTypes"/>
</file>