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Satoshi" w:cs="Satoshi" w:eastAsia="Satoshi" w:hAnsi="Satoshi"/>
          <w:b/>
          <w:bCs/>
          <w:color w:val="1B2A4A"/>
          <w:sz w:val="28"/>
          <w:szCs w:val="28"/>
        </w:rPr>
        <w:t xml:space="preserve">MERITUM HEALTH TECHNOLOGIES</w:t>
      </w:r>
    </w:p>
    <w:p>
      <w:pPr>
        <w:spacing w:after="80"/>
        <w:jc w:val="left"/>
      </w:pPr>
      <w:r>
        <w:rPr>
          <w:rFonts w:ascii="Satoshi" w:cs="Satoshi" w:eastAsia="Satoshi" w:hAnsi="Satoshi"/>
          <w:color w:val="C2973E"/>
          <w:sz w:val="24"/>
          <w:szCs w:val="24"/>
        </w:rPr>
        <w:t xml:space="preserve">Help Centre: Content Brief and Writing Prompt</w:t>
      </w:r>
    </w:p>
    <w:p>
      <w:pPr>
        <w:spacing w:after="360"/>
      </w:pPr>
      <w:r>
        <w:rPr>
          <w:rFonts w:ascii="IBM Plex Sans" w:cs="IBM Plex Sans" w:eastAsia="IBM Plex Sans" w:hAnsi="IBM Plex Sans"/>
          <w:color w:val="666666"/>
          <w:sz w:val="20"/>
          <w:szCs w:val="20"/>
        </w:rPr>
        <w:t xml:space="preserve">February 2026 (Revised)</w:t>
      </w:r>
    </w:p>
    <w:p>
      <w:pPr>
        <w:pStyle w:val="Heading1"/>
        <w:spacing w:before="360" w:after="200"/>
      </w:pPr>
      <w:r>
        <w:rPr>
          <w:rFonts w:ascii="IBM Plex Sans" w:cs="IBM Plex Sans" w:eastAsia="IBM Plex Sans" w:hAnsi="IBM Plex Sans"/>
          <w:b/>
          <w:bCs/>
          <w:color w:val="1B2A4A"/>
          <w:sz w:val="32"/>
          <w:szCs w:val="32"/>
        </w:rPr>
        <w:t xml:space="preserve">1. Purpose</w:t>
      </w:r>
    </w:p>
    <w:p>
      <w:pPr>
        <w:spacing w:after="160"/>
      </w:pPr>
      <w:r>
        <w:rPr>
          <w:rFonts w:ascii="IBM Plex Sans" w:cs="IBM Plex Sans" w:eastAsia="IBM Plex Sans" w:hAnsi="IBM Plex Sans"/>
          <w:sz w:val="22"/>
          <w:szCs w:val="22"/>
        </w:rPr>
        <w:t xml:space="preserve">This prompt covers the creation of Meritum’s help centre: the self-service support portal referenced throughout the marketing site as “a help centre with Alberta-specific billing guidance.” The help centre serves two audiences: physicians using Meritum who need product guidance, and physicians evaluating Meritum who want to see the depth of support before committing.</w:t>
      </w:r>
    </w:p>
    <w:p>
      <w:pPr>
        <w:spacing w:after="160"/>
      </w:pPr>
      <w:r>
        <w:rPr>
          <w:rFonts w:ascii="IBM Plex Sans" w:cs="IBM Plex Sans" w:eastAsia="IBM Plex Sans" w:hAnsi="IBM Plex Sans"/>
          <w:sz w:val="22"/>
          <w:szCs w:val="22"/>
        </w:rPr>
        <w:t xml:space="preserve">The help centre is a trust signal. Most medical billing software support consists of generic articles, US-centric content, or thinly disguised upsell pages. Meritum’s help centre should be the opposite: specific, useful, written for Alberta, and free of marketing language. A physician should be able to find an answer, apply it, and move on.</w:t>
      </w:r>
    </w:p>
    <w:p>
      <w:pPr>
        <w:spacing w:after="160"/>
      </w:pPr>
      <w:r>
        <w:rPr>
          <w:rFonts w:ascii="IBM Plex Sans" w:cs="IBM Plex Sans" w:eastAsia="IBM Plex Sans" w:hAnsi="IBM Plex Sans"/>
          <w:sz w:val="22"/>
          <w:szCs w:val="22"/>
        </w:rPr>
        <w:t xml:space="preserve">The help centre should be publicly accessible (not gated behind login). Physicians evaluating the platform should be able to browse it before signing up. This is deliberate: the quality of the help content is a selling point.</w:t>
      </w:r>
    </w:p>
    <w:p>
      <w:pPr>
        <w:pStyle w:val="Heading1"/>
        <w:spacing w:before="360" w:after="200"/>
      </w:pPr>
      <w:r>
        <w:rPr>
          <w:rFonts w:ascii="IBM Plex Sans" w:cs="IBM Plex Sans" w:eastAsia="IBM Plex Sans" w:hAnsi="IBM Plex Sans"/>
          <w:b/>
          <w:bCs/>
          <w:color w:val="1B2A4A"/>
          <w:sz w:val="32"/>
          <w:szCs w:val="32"/>
        </w:rPr>
        <w:t xml:space="preserve">2. Help Centre Structure</w:t>
      </w:r>
    </w:p>
    <w:p>
      <w:pPr>
        <w:spacing w:after="160"/>
      </w:pPr>
      <w:r>
        <w:rPr>
          <w:rFonts w:ascii="IBM Plex Sans" w:cs="IBM Plex Sans" w:eastAsia="IBM Plex Sans" w:hAnsi="IBM Plex Sans"/>
          <w:sz w:val="22"/>
          <w:szCs w:val="22"/>
        </w:rPr>
        <w:t xml:space="preserve">The help centre is organised into categories. Within each category, articles are ordered from most common to most specific. Every article should be self-contained: a physician landing on it from a search result should be able to understand it without reading anything else first.</w:t>
      </w:r>
    </w:p>
    <w:p>
      <w:pPr>
        <w:pStyle w:val="Heading2"/>
        <w:spacing w:before="280" w:after="160"/>
      </w:pPr>
      <w:r>
        <w:rPr>
          <w:rFonts w:ascii="IBM Plex Sans" w:cs="IBM Plex Sans" w:eastAsia="IBM Plex Sans" w:hAnsi="IBM Plex Sans"/>
          <w:b/>
          <w:bCs/>
          <w:color w:val="1B2A4A"/>
          <w:sz w:val="26"/>
          <w:szCs w:val="26"/>
        </w:rPr>
        <w:t xml:space="preserve">Category 1: Getting Started</w:t>
      </w:r>
    </w:p>
    <w:p>
      <w:pPr>
        <w:spacing w:after="160"/>
      </w:pPr>
      <w:r>
        <w:rPr>
          <w:rFonts w:ascii="IBM Plex Sans" w:cs="IBM Plex Sans" w:eastAsia="IBM Plex Sans" w:hAnsi="IBM Plex Sans"/>
          <w:sz w:val="22"/>
          <w:szCs w:val="22"/>
        </w:rPr>
        <w:t xml:space="preserve">Onboarding and initial setup. These articles map to the onboarding wizard (Domain 5, PRV-001 through PRV-004) and should mirror the steps a new physician walks through.</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Setting up your professional profile (billing number, CPSA, specialty, physician type)</w:t>
      </w:r>
    </w:p>
    <w:p>
      <w:pPr>
        <w:pStyle w:val="ListParagraph"/>
        <w:numPr>
          <w:ilvl w:val="0"/>
          <w:numId w:val="2"/>
        </w:numPr>
        <w:spacing w:after="80"/>
      </w:pPr>
      <w:r>
        <w:rPr>
          <w:rFonts w:ascii="IBM Plex Sans" w:cs="IBM Plex Sans" w:eastAsia="IBM Plex Sans" w:hAnsi="IBM Plex Sans"/>
          <w:sz w:val="22"/>
          <w:szCs w:val="22"/>
        </w:rPr>
        <w:t xml:space="preserve">Adding your business arrangement number(s) (including PCPCM dual-BA setup)</w:t>
      </w:r>
    </w:p>
    <w:p>
      <w:pPr>
        <w:pStyle w:val="ListParagraph"/>
        <w:numPr>
          <w:ilvl w:val="0"/>
          <w:numId w:val="2"/>
        </w:numPr>
        <w:spacing w:after="80"/>
      </w:pPr>
      <w:r>
        <w:rPr>
          <w:rFonts w:ascii="IBM Plex Sans" w:cs="IBM Plex Sans" w:eastAsia="IBM Plex Sans" w:hAnsi="IBM Plex Sans"/>
          <w:sz w:val="22"/>
          <w:szCs w:val="22"/>
        </w:rPr>
        <w:t xml:space="preserve">Configuring your practice location(s) (functional centre, RRNP eligibility, multiple locations for locums)</w:t>
      </w:r>
    </w:p>
    <w:p>
      <w:pPr>
        <w:pStyle w:val="ListParagraph"/>
        <w:numPr>
          <w:ilvl w:val="0"/>
          <w:numId w:val="2"/>
        </w:numPr>
        <w:spacing w:after="80"/>
      </w:pPr>
      <w:r>
        <w:rPr>
          <w:rFonts w:ascii="IBM Plex Sans" w:cs="IBM Plex Sans" w:eastAsia="IBM Plex Sans" w:hAnsi="IBM Plex Sans"/>
          <w:sz w:val="22"/>
          <w:szCs w:val="22"/>
        </w:rPr>
        <w:t xml:space="preserve">Setting up WCB billing (contract ID, role codes, form types)</w:t>
      </w:r>
    </w:p>
    <w:p>
      <w:pPr>
        <w:pStyle w:val="ListParagraph"/>
        <w:numPr>
          <w:ilvl w:val="0"/>
          <w:numId w:val="2"/>
        </w:numPr>
        <w:spacing w:after="80"/>
      </w:pPr>
      <w:r>
        <w:rPr>
          <w:rFonts w:ascii="IBM Plex Sans" w:cs="IBM Plex Sans" w:eastAsia="IBM Plex Sans" w:hAnsi="IBM Plex Sans"/>
          <w:sz w:val="22"/>
          <w:szCs w:val="22"/>
        </w:rPr>
        <w:t xml:space="preserve">Inviting a delegate (permissions, invitation process, what delegates can and cannot see)</w:t>
      </w:r>
    </w:p>
    <w:p>
      <w:pPr>
        <w:pStyle w:val="ListParagraph"/>
        <w:numPr>
          <w:ilvl w:val="0"/>
          <w:numId w:val="2"/>
        </w:numPr>
        <w:spacing w:after="80"/>
      </w:pPr>
      <w:r>
        <w:rPr>
          <w:rFonts w:ascii="IBM Plex Sans" w:cs="IBM Plex Sans" w:eastAsia="IBM Plex Sans" w:hAnsi="IBM Plex Sans"/>
          <w:sz w:val="22"/>
          <w:szCs w:val="22"/>
        </w:rPr>
        <w:t xml:space="preserve">Choosing your submission preferences (approve everything, auto-submit clean, auto-submit all)</w:t>
      </w:r>
    </w:p>
    <w:p>
      <w:pPr>
        <w:pStyle w:val="ListParagraph"/>
        <w:numPr>
          <w:ilvl w:val="0"/>
          <w:numId w:val="2"/>
        </w:numPr>
        <w:spacing w:after="80"/>
      </w:pPr>
      <w:r>
        <w:rPr>
          <w:rFonts w:ascii="IBM Plex Sans" w:cs="IBM Plex Sans" w:eastAsia="IBM Plex Sans" w:hAnsi="IBM Plex Sans"/>
          <w:sz w:val="22"/>
          <w:szCs w:val="22"/>
        </w:rPr>
        <w:t xml:space="preserve">Your first Thursday submission: what to expect</w:t>
      </w:r>
    </w:p>
    <w:p>
      <w:pPr>
        <w:pStyle w:val="Heading2"/>
        <w:spacing w:before="280" w:after="160"/>
      </w:pPr>
      <w:r>
        <w:rPr>
          <w:rFonts w:ascii="IBM Plex Sans" w:cs="IBM Plex Sans" w:eastAsia="IBM Plex Sans" w:hAnsi="IBM Plex Sans"/>
          <w:b/>
          <w:bCs/>
          <w:color w:val="1B2A4A"/>
          <w:sz w:val="26"/>
          <w:szCs w:val="26"/>
        </w:rPr>
        <w:t xml:space="preserve">Category 2: Submitting Claims</w:t>
      </w:r>
    </w:p>
    <w:p>
      <w:pPr>
        <w:spacing w:after="160"/>
      </w:pPr>
      <w:r>
        <w:rPr>
          <w:rFonts w:ascii="IBM Plex Sans" w:cs="IBM Plex Sans" w:eastAsia="IBM Plex Sans" w:hAnsi="IBM Plex Sans"/>
          <w:sz w:val="22"/>
          <w:szCs w:val="22"/>
        </w:rPr>
        <w:t xml:space="preserve">Day-to-day claim creation and submission. Covers all three entry paths and the Thursday cycle.</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Importing encounters from your EMR (supported formats, file export process, field mapping)</w:t>
      </w:r>
    </w:p>
    <w:p>
      <w:pPr>
        <w:pStyle w:val="ListParagraph"/>
        <w:numPr>
          <w:ilvl w:val="0"/>
          <w:numId w:val="2"/>
        </w:numPr>
        <w:spacing w:after="80"/>
      </w:pPr>
      <w:r>
        <w:rPr>
          <w:rFonts w:ascii="IBM Plex Sans" w:cs="IBM Plex Sans" w:eastAsia="IBM Plex Sans" w:hAnsi="IBM Plex Sans"/>
          <w:sz w:val="22"/>
          <w:szCs w:val="22"/>
        </w:rPr>
        <w:t xml:space="preserve">Using mobile claim entry (logging claims on your phone, timestamps, queuing)</w:t>
      </w:r>
    </w:p>
    <w:p>
      <w:pPr>
        <w:pStyle w:val="ListParagraph"/>
        <w:numPr>
          <w:ilvl w:val="0"/>
          <w:numId w:val="2"/>
        </w:numPr>
        <w:spacing w:after="80"/>
      </w:pPr>
      <w:r>
        <w:rPr>
          <w:rFonts w:ascii="IBM Plex Sans" w:cs="IBM Plex Sans" w:eastAsia="IBM Plex Sans" w:hAnsi="IBM Plex Sans"/>
          <w:sz w:val="22"/>
          <w:szCs w:val="22"/>
        </w:rPr>
        <w:t xml:space="preserve">Creating claims manually (the claim entry form, code selection, location selection)</w:t>
      </w:r>
    </w:p>
    <w:p>
      <w:pPr>
        <w:pStyle w:val="ListParagraph"/>
        <w:numPr>
          <w:ilvl w:val="0"/>
          <w:numId w:val="2"/>
        </w:numPr>
        <w:spacing w:after="80"/>
      </w:pPr>
      <w:r>
        <w:rPr>
          <w:rFonts w:ascii="IBM Plex Sans" w:cs="IBM Plex Sans" w:eastAsia="IBM Plex Sans" w:hAnsi="IBM Plex Sans"/>
          <w:sz w:val="22"/>
          <w:szCs w:val="22"/>
        </w:rPr>
        <w:t xml:space="preserve">Understanding flags and suggestions on your claims</w:t>
      </w:r>
      <w:r>
        <w:rPr>
          <w:rFonts w:ascii="IBM Plex Sans" w:cs="IBM Plex Sans" w:eastAsia="IBM Plex Sans" w:hAnsi="IBM Plex Sans"/>
          <w:i/>
          <w:iCs/>
          <w:sz w:val="22"/>
          <w:szCs w:val="22"/>
        </w:rPr>
        <w:t xml:space="preserve"> (combined overview of the rules engine and advice engine: what each does, how flags differ from suggestions, how to resolve both in the same workflow)</w:t>
      </w:r>
    </w:p>
    <w:p>
      <w:pPr>
        <w:pStyle w:val="ListParagraph"/>
        <w:numPr>
          <w:ilvl w:val="0"/>
          <w:numId w:val="2"/>
        </w:numPr>
        <w:spacing w:after="80"/>
      </w:pPr>
      <w:r>
        <w:rPr>
          <w:rFonts w:ascii="IBM Plex Sans" w:cs="IBM Plex Sans" w:eastAsia="IBM Plex Sans" w:hAnsi="IBM Plex Sans"/>
          <w:sz w:val="22"/>
          <w:szCs w:val="22"/>
        </w:rPr>
        <w:t xml:space="preserve">How the rules engine works (validation checks, flag types, resolution steps; cross-linked from the overview above)</w:t>
      </w:r>
    </w:p>
    <w:p>
      <w:pPr>
        <w:pStyle w:val="ListParagraph"/>
        <w:numPr>
          <w:ilvl w:val="0"/>
          <w:numId w:val="2"/>
        </w:numPr>
        <w:spacing w:after="80"/>
      </w:pPr>
      <w:r>
        <w:rPr>
          <w:rFonts w:ascii="IBM Plex Sans" w:cs="IBM Plex Sans" w:eastAsia="IBM Plex Sans" w:hAnsi="IBM Plex Sans"/>
          <w:sz w:val="22"/>
          <w:szCs w:val="22"/>
        </w:rPr>
        <w:t xml:space="preserve">How the advice engine works (what it surfaces, how to act on suggestions, how it differs from the rules engine; cross-linked from the overview above)</w:t>
      </w:r>
    </w:p>
    <w:p>
      <w:pPr>
        <w:pStyle w:val="ListParagraph"/>
        <w:numPr>
          <w:ilvl w:val="0"/>
          <w:numId w:val="2"/>
        </w:numPr>
        <w:spacing w:after="80"/>
      </w:pPr>
      <w:r>
        <w:rPr>
          <w:rFonts w:ascii="IBM Plex Sans" w:cs="IBM Plex Sans" w:eastAsia="IBM Plex Sans" w:hAnsi="IBM Plex Sans"/>
          <w:sz w:val="22"/>
          <w:szCs w:val="22"/>
        </w:rPr>
        <w:t xml:space="preserve">How the Thursday submission cycle works (cut-off time, batch assembly, H-Link submission)</w:t>
      </w:r>
    </w:p>
    <w:p>
      <w:pPr>
        <w:pStyle w:val="ListParagraph"/>
        <w:numPr>
          <w:ilvl w:val="0"/>
          <w:numId w:val="2"/>
        </w:numPr>
        <w:spacing w:after="80"/>
      </w:pPr>
      <w:r>
        <w:rPr>
          <w:rFonts w:ascii="IBM Plex Sans" w:cs="IBM Plex Sans" w:eastAsia="IBM Plex Sans" w:hAnsi="IBM Plex Sans"/>
          <w:sz w:val="22"/>
          <w:szCs w:val="22"/>
        </w:rPr>
        <w:t xml:space="preserve">Submission preferences explained (the three modes, how to change, AHCIP and WCB independent settings)</w:t>
      </w:r>
    </w:p>
    <w:p>
      <w:pPr>
        <w:pStyle w:val="ListParagraph"/>
        <w:numPr>
          <w:ilvl w:val="0"/>
          <w:numId w:val="2"/>
        </w:numPr>
        <w:spacing w:after="80"/>
      </w:pPr>
      <w:r>
        <w:rPr>
          <w:rFonts w:ascii="IBM Plex Sans" w:cs="IBM Plex Sans" w:eastAsia="IBM Plex Sans" w:hAnsi="IBM Plex Sans"/>
          <w:sz w:val="22"/>
          <w:szCs w:val="22"/>
        </w:rPr>
        <w:t xml:space="preserve">Submitting WCB claims (how WCB submission differs from AHCIP, form types, timing)</w:t>
      </w:r>
    </w:p>
    <w:p>
      <w:pPr>
        <w:pStyle w:val="Heading2"/>
        <w:spacing w:before="280" w:after="160"/>
      </w:pPr>
      <w:r>
        <w:rPr>
          <w:rFonts w:ascii="IBM Plex Sans" w:cs="IBM Plex Sans" w:eastAsia="IBM Plex Sans" w:hAnsi="IBM Plex Sans"/>
          <w:b/>
          <w:bCs/>
          <w:color w:val="1B2A4A"/>
          <w:sz w:val="26"/>
          <w:szCs w:val="26"/>
        </w:rPr>
        <w:t xml:space="preserve">Category 3: After Submission</w:t>
      </w:r>
    </w:p>
    <w:p>
      <w:pPr>
        <w:spacing w:after="160"/>
      </w:pPr>
      <w:r>
        <w:rPr>
          <w:rFonts w:ascii="IBM Plex Sans" w:cs="IBM Plex Sans" w:eastAsia="IBM Plex Sans" w:hAnsi="IBM Plex Sans"/>
          <w:sz w:val="22"/>
          <w:szCs w:val="22"/>
        </w:rPr>
        <w:t xml:space="preserve">Assessment matching, rejection handling, and reconciliation.</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Understanding your assessment results (paid, held, refused statuses)</w:t>
      </w:r>
    </w:p>
    <w:p>
      <w:pPr>
        <w:pStyle w:val="ListParagraph"/>
        <w:numPr>
          <w:ilvl w:val="0"/>
          <w:numId w:val="2"/>
        </w:numPr>
        <w:spacing w:after="80"/>
      </w:pPr>
      <w:r>
        <w:rPr>
          <w:rFonts w:ascii="IBM Plex Sans" w:cs="IBM Plex Sans" w:eastAsia="IBM Plex Sans" w:hAnsi="IBM Plex Sans"/>
          <w:sz w:val="22"/>
          <w:szCs w:val="22"/>
        </w:rPr>
        <w:t xml:space="preserve">Reading rejection codes (plain-language explanations of common AHCIP explanatory codes)</w:t>
      </w:r>
    </w:p>
    <w:p>
      <w:pPr>
        <w:pStyle w:val="ListParagraph"/>
        <w:numPr>
          <w:ilvl w:val="0"/>
          <w:numId w:val="2"/>
        </w:numPr>
        <w:spacing w:after="80"/>
      </w:pPr>
      <w:r>
        <w:rPr>
          <w:rFonts w:ascii="IBM Plex Sans" w:cs="IBM Plex Sans" w:eastAsia="IBM Plex Sans" w:hAnsi="IBM Plex Sans"/>
          <w:sz w:val="22"/>
          <w:szCs w:val="22"/>
        </w:rPr>
        <w:t xml:space="preserve">Correcting and resubmitting refused claims</w:t>
      </w:r>
    </w:p>
    <w:p>
      <w:pPr>
        <w:pStyle w:val="ListParagraph"/>
        <w:numPr>
          <w:ilvl w:val="0"/>
          <w:numId w:val="2"/>
        </w:numPr>
        <w:spacing w:after="80"/>
      </w:pPr>
      <w:r>
        <w:rPr>
          <w:rFonts w:ascii="IBM Plex Sans" w:cs="IBM Plex Sans" w:eastAsia="IBM Plex Sans" w:hAnsi="IBM Plex Sans"/>
          <w:sz w:val="22"/>
          <w:szCs w:val="22"/>
        </w:rPr>
        <w:t xml:space="preserve">Tracking rejection patterns (how the analytics work, what to look for)</w:t>
      </w:r>
    </w:p>
    <w:p>
      <w:pPr>
        <w:pStyle w:val="ListParagraph"/>
        <w:numPr>
          <w:ilvl w:val="0"/>
          <w:numId w:val="2"/>
        </w:numPr>
        <w:spacing w:after="80"/>
      </w:pPr>
      <w:r>
        <w:rPr>
          <w:rFonts w:ascii="IBM Plex Sans" w:cs="IBM Plex Sans" w:eastAsia="IBM Plex Sans" w:hAnsi="IBM Plex Sans"/>
          <w:sz w:val="22"/>
          <w:szCs w:val="22"/>
        </w:rPr>
        <w:t xml:space="preserve">PCPCM reconciliation (panel enrolment tracking, payment matching, how PCPCM appears in your dashboard)</w:t>
      </w:r>
    </w:p>
    <w:p>
      <w:pPr>
        <w:pStyle w:val="Heading2"/>
        <w:spacing w:before="280" w:after="160"/>
      </w:pPr>
      <w:r>
        <w:rPr>
          <w:rFonts w:ascii="IBM Plex Sans" w:cs="IBM Plex Sans" w:eastAsia="IBM Plex Sans" w:hAnsi="IBM Plex Sans"/>
          <w:b/>
          <w:bCs/>
          <w:color w:val="1B2A4A"/>
          <w:sz w:val="26"/>
          <w:szCs w:val="26"/>
        </w:rPr>
        <w:t xml:space="preserve">Category 4: Alberta Billing Reference</w:t>
      </w:r>
    </w:p>
    <w:p>
      <w:pPr>
        <w:spacing w:after="160"/>
      </w:pPr>
      <w:r>
        <w:rPr>
          <w:rFonts w:ascii="IBM Plex Sans" w:cs="IBM Plex Sans" w:eastAsia="IBM Plex Sans" w:hAnsi="IBM Plex Sans"/>
          <w:sz w:val="22"/>
          <w:szCs w:val="22"/>
        </w:rPr>
        <w:t xml:space="preserve">This is the “Alberta-specific billing guidance” promised in the marketing copy. These articles are reference content: useful to any Alberta physician, not just Meritum users. They are deliberately public-facing and serve as SEO content alongside the blog.</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AHCIP fee-for-service billing: how the system works (overview for physicians new to self-billing)</w:t>
      </w:r>
    </w:p>
    <w:p>
      <w:pPr>
        <w:pStyle w:val="ListParagraph"/>
        <w:numPr>
          <w:ilvl w:val="0"/>
          <w:numId w:val="2"/>
        </w:numPr>
        <w:spacing w:after="80"/>
      </w:pPr>
      <w:r>
        <w:rPr>
          <w:rFonts w:ascii="IBM Plex Sans" w:cs="IBM Plex Sans" w:eastAsia="IBM Plex Sans" w:hAnsi="IBM Plex Sans"/>
          <w:sz w:val="22"/>
          <w:szCs w:val="22"/>
        </w:rPr>
        <w:t xml:space="preserve">The Thursday submission cycle explained (Alberta Health’s weekly processing schedule)</w:t>
      </w:r>
    </w:p>
    <w:p>
      <w:pPr>
        <w:pStyle w:val="ListParagraph"/>
        <w:numPr>
          <w:ilvl w:val="0"/>
          <w:numId w:val="2"/>
        </w:numPr>
        <w:spacing w:after="80"/>
      </w:pPr>
      <w:r>
        <w:rPr>
          <w:rFonts w:ascii="IBM Plex Sans" w:cs="IBM Plex Sans" w:eastAsia="IBM Plex Sans" w:hAnsi="IBM Plex Sans"/>
          <w:sz w:val="22"/>
          <w:szCs w:val="22"/>
        </w:rPr>
        <w:t xml:space="preserve">Understanding the Schedule of Medical Benefits (SOMB structure, how to look up codes, how governing rules apply)</w:t>
      </w:r>
    </w:p>
    <w:p>
      <w:pPr>
        <w:pStyle w:val="ListParagraph"/>
        <w:numPr>
          <w:ilvl w:val="0"/>
          <w:numId w:val="2"/>
        </w:numPr>
        <w:spacing w:after="80"/>
      </w:pPr>
      <w:r>
        <w:rPr>
          <w:rFonts w:ascii="IBM Plex Sans" w:cs="IBM Plex Sans" w:eastAsia="IBM Plex Sans" w:hAnsi="IBM Plex Sans"/>
          <w:sz w:val="22"/>
          <w:szCs w:val="22"/>
        </w:rPr>
        <w:t xml:space="preserve">RRNP: Rural and Remote Northern Program (eligibility, community codes, premium calculation, annual updates)</w:t>
      </w:r>
    </w:p>
    <w:p>
      <w:pPr>
        <w:pStyle w:val="ListParagraph"/>
        <w:numPr>
          <w:ilvl w:val="0"/>
          <w:numId w:val="2"/>
        </w:numPr>
        <w:spacing w:after="80"/>
      </w:pPr>
      <w:r>
        <w:rPr>
          <w:rFonts w:ascii="IBM Plex Sans" w:cs="IBM Plex Sans" w:eastAsia="IBM Plex Sans" w:hAnsi="IBM Plex Sans"/>
          <w:sz w:val="22"/>
          <w:szCs w:val="22"/>
        </w:rPr>
        <w:t xml:space="preserve">PCPCM: Primary Care Panel and Continuity Model (what it is, how it differs from FFS, enrolment, reconciliation)</w:t>
      </w:r>
    </w:p>
    <w:p>
      <w:pPr>
        <w:pStyle w:val="ListParagraph"/>
        <w:numPr>
          <w:ilvl w:val="0"/>
          <w:numId w:val="2"/>
        </w:numPr>
        <w:spacing w:after="80"/>
      </w:pPr>
      <w:r>
        <w:rPr>
          <w:rFonts w:ascii="IBM Plex Sans" w:cs="IBM Plex Sans" w:eastAsia="IBM Plex Sans" w:hAnsi="IBM Plex Sans"/>
          <w:sz w:val="22"/>
          <w:szCs w:val="22"/>
        </w:rPr>
        <w:t xml:space="preserve">WCB Alberta billing for physicians (contract types, role codes, how WCB differs from AHCIP)</w:t>
      </w:r>
    </w:p>
    <w:p>
      <w:pPr>
        <w:pStyle w:val="ListParagraph"/>
        <w:numPr>
          <w:ilvl w:val="0"/>
          <w:numId w:val="2"/>
        </w:numPr>
        <w:spacing w:after="80"/>
      </w:pPr>
      <w:r>
        <w:rPr>
          <w:rFonts w:ascii="IBM Plex Sans" w:cs="IBM Plex Sans" w:eastAsia="IBM Plex Sans" w:hAnsi="IBM Plex Sans"/>
          <w:sz w:val="22"/>
          <w:szCs w:val="22"/>
        </w:rPr>
        <w:t xml:space="preserve">After-hours billing and time premiums (03.01AA, time-period modifiers, calculation rules)</w:t>
      </w:r>
    </w:p>
    <w:p>
      <w:pPr>
        <w:pStyle w:val="ListParagraph"/>
        <w:numPr>
          <w:ilvl w:val="0"/>
          <w:numId w:val="2"/>
        </w:numPr>
        <w:spacing w:after="80"/>
      </w:pPr>
      <w:r>
        <w:rPr>
          <w:rFonts w:ascii="IBM Plex Sans" w:cs="IBM Plex Sans" w:eastAsia="IBM Plex Sans" w:hAnsi="IBM Plex Sans"/>
          <w:sz w:val="22"/>
          <w:szCs w:val="22"/>
        </w:rPr>
        <w:t xml:space="preserve">Common AHCIP explanatory codes and what they mean (a reference list of frequently seen rejection/explanatory codes with plain-language explanations)</w:t>
      </w:r>
    </w:p>
    <w:p>
      <w:pPr>
        <w:pStyle w:val="ListParagraph"/>
        <w:numPr>
          <w:ilvl w:val="0"/>
          <w:numId w:val="2"/>
        </w:numPr>
        <w:spacing w:after="80"/>
      </w:pPr>
      <w:r>
        <w:rPr>
          <w:rFonts w:ascii="IBM Plex Sans" w:cs="IBM Plex Sans" w:eastAsia="IBM Plex Sans" w:hAnsi="IBM Plex Sans"/>
          <w:sz w:val="22"/>
          <w:szCs w:val="22"/>
        </w:rPr>
        <w:t xml:space="preserve">Business arrangements in Alberta (BA numbers, contract holders, submitter roles, how to set up a new BA)</w:t>
      </w:r>
    </w:p>
    <w:p>
      <w:pPr>
        <w:pStyle w:val="ListParagraph"/>
        <w:numPr>
          <w:ilvl w:val="0"/>
          <w:numId w:val="2"/>
        </w:numPr>
        <w:spacing w:after="80"/>
      </w:pPr>
      <w:r>
        <w:rPr>
          <w:rFonts w:ascii="IBM Plex Sans" w:cs="IBM Plex Sans" w:eastAsia="IBM Plex Sans" w:hAnsi="IBM Plex Sans"/>
          <w:sz w:val="22"/>
          <w:szCs w:val="22"/>
        </w:rPr>
        <w:t xml:space="preserve">H-Link: what it is and how electronic claims submission works in Alberta</w:t>
      </w:r>
    </w:p>
    <w:p>
      <w:pPr>
        <w:pStyle w:val="Heading2"/>
        <w:spacing w:before="280" w:after="160"/>
      </w:pPr>
      <w:r>
        <w:rPr>
          <w:rFonts w:ascii="IBM Plex Sans" w:cs="IBM Plex Sans" w:eastAsia="IBM Plex Sans" w:hAnsi="IBM Plex Sans"/>
          <w:b/>
          <w:bCs/>
          <w:color w:val="1B2A4A"/>
          <w:sz w:val="26"/>
          <w:szCs w:val="26"/>
        </w:rPr>
        <w:t xml:space="preserve">Category 5: Your Account</w:t>
      </w:r>
    </w:p>
    <w:p>
      <w:pPr>
        <w:spacing w:after="160"/>
      </w:pPr>
      <w:r>
        <w:rPr>
          <w:rFonts w:ascii="IBM Plex Sans" w:cs="IBM Plex Sans" w:eastAsia="IBM Plex Sans" w:hAnsi="IBM Plex Sans"/>
          <w:sz w:val="22"/>
          <w:szCs w:val="22"/>
        </w:rPr>
        <w:t xml:space="preserve">Subscription management, billing, and data.</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Understanding your subscription (individual, early bird, practice tier; what’s included)</w:t>
      </w:r>
    </w:p>
    <w:p>
      <w:pPr>
        <w:pStyle w:val="ListParagraph"/>
        <w:numPr>
          <w:ilvl w:val="0"/>
          <w:numId w:val="2"/>
        </w:numPr>
        <w:spacing w:after="80"/>
      </w:pPr>
      <w:r>
        <w:rPr>
          <w:rFonts w:ascii="IBM Plex Sans" w:cs="IBM Plex Sans" w:eastAsia="IBM Plex Sans" w:hAnsi="IBM Plex Sans"/>
          <w:sz w:val="22"/>
          <w:szCs w:val="22"/>
        </w:rPr>
        <w:t xml:space="preserve">Switching between monthly and annual billing</w:t>
      </w:r>
    </w:p>
    <w:p>
      <w:pPr>
        <w:pStyle w:val="ListParagraph"/>
        <w:numPr>
          <w:ilvl w:val="0"/>
          <w:numId w:val="2"/>
        </w:numPr>
        <w:spacing w:after="80"/>
      </w:pPr>
      <w:r>
        <w:rPr>
          <w:rFonts w:ascii="IBM Plex Sans" w:cs="IBM Plex Sans" w:eastAsia="IBM Plex Sans" w:hAnsi="IBM Plex Sans"/>
          <w:sz w:val="22"/>
          <w:szCs w:val="22"/>
        </w:rPr>
        <w:t xml:space="preserve">Managing your practice account (adding/removing physicians, admin dashboard scope, what the admin can and cannot see)</w:t>
      </w:r>
    </w:p>
    <w:p>
      <w:pPr>
        <w:pStyle w:val="ListParagraph"/>
        <w:numPr>
          <w:ilvl w:val="0"/>
          <w:numId w:val="2"/>
        </w:numPr>
        <w:spacing w:after="80"/>
      </w:pPr>
      <w:r>
        <w:rPr>
          <w:rFonts w:ascii="IBM Plex Sans" w:cs="IBM Plex Sans" w:eastAsia="IBM Plex Sans" w:hAnsi="IBM Plex Sans"/>
          <w:sz w:val="22"/>
          <w:szCs w:val="22"/>
        </w:rPr>
        <w:t xml:space="preserve">The referral program (how it works, eligibility, where credits are applied, clinic tier interactions)</w:t>
      </w:r>
    </w:p>
    <w:p>
      <w:pPr>
        <w:pStyle w:val="ListParagraph"/>
        <w:numPr>
          <w:ilvl w:val="0"/>
          <w:numId w:val="2"/>
        </w:numPr>
        <w:spacing w:after="80"/>
      </w:pPr>
      <w:r>
        <w:rPr>
          <w:rFonts w:ascii="IBM Plex Sans" w:cs="IBM Plex Sans" w:eastAsia="IBM Plex Sans" w:hAnsi="IBM Plex Sans"/>
          <w:sz w:val="22"/>
          <w:szCs w:val="22"/>
        </w:rPr>
        <w:t xml:space="preserve">Cancelling your subscription (monthly vs. annual, refund policy, what happens to your data)</w:t>
      </w:r>
    </w:p>
    <w:p>
      <w:pPr>
        <w:pStyle w:val="ListParagraph"/>
        <w:numPr>
          <w:ilvl w:val="0"/>
          <w:numId w:val="2"/>
        </w:numPr>
        <w:spacing w:after="80"/>
      </w:pPr>
      <w:r>
        <w:rPr>
          <w:rFonts w:ascii="IBM Plex Sans" w:cs="IBM Plex Sans" w:eastAsia="IBM Plex Sans" w:hAnsi="IBM Plex Sans"/>
          <w:sz w:val="22"/>
          <w:szCs w:val="22"/>
        </w:rPr>
        <w:t xml:space="preserve">Exporting your data (full export, format, 30-day availability window after cancellation)</w:t>
      </w:r>
    </w:p>
    <w:p>
      <w:pPr>
        <w:pStyle w:val="ListParagraph"/>
        <w:numPr>
          <w:ilvl w:val="0"/>
          <w:numId w:val="2"/>
        </w:numPr>
        <w:spacing w:after="80"/>
      </w:pPr>
      <w:r>
        <w:rPr>
          <w:rFonts w:ascii="IBM Plex Sans" w:cs="IBM Plex Sans" w:eastAsia="IBM Plex Sans" w:hAnsi="IBM Plex Sans"/>
          <w:sz w:val="22"/>
          <w:szCs w:val="22"/>
        </w:rPr>
        <w:t xml:space="preserve">Updating your profile (specialty changes, new practice locations, BA changes; see Section 2.1 for edge cases)</w:t>
      </w:r>
    </w:p>
    <w:p>
      <w:pPr>
        <w:pStyle w:val="ListParagraph"/>
        <w:numPr>
          <w:ilvl w:val="0"/>
          <w:numId w:val="2"/>
        </w:numPr>
        <w:spacing w:after="80"/>
      </w:pPr>
      <w:r>
        <w:rPr>
          <w:rFonts w:ascii="IBM Plex Sans" w:cs="IBM Plex Sans" w:eastAsia="IBM Plex Sans" w:hAnsi="IBM Plex Sans"/>
          <w:sz w:val="22"/>
          <w:szCs w:val="22"/>
        </w:rPr>
        <w:t xml:space="preserve">Managing delegates (changing permissions, revoking access, adding new delegates)</w:t>
      </w:r>
    </w:p>
    <w:p>
      <w:pPr>
        <w:pStyle w:val="Heading2"/>
        <w:spacing w:before="280" w:after="160"/>
      </w:pPr>
      <w:r>
        <w:rPr>
          <w:rFonts w:ascii="IBM Plex Sans" w:cs="IBM Plex Sans" w:eastAsia="IBM Plex Sans" w:hAnsi="IBM Plex Sans"/>
          <w:b/>
          <w:bCs/>
          <w:color w:val="1B2A4A"/>
          <w:sz w:val="26"/>
          <w:szCs w:val="26"/>
        </w:rPr>
        <w:t xml:space="preserve">Category 6: Security and Compliance</w:t>
      </w:r>
    </w:p>
    <w:p>
      <w:pPr>
        <w:spacing w:after="160"/>
      </w:pPr>
      <w:r>
        <w:rPr>
          <w:rFonts w:ascii="IBM Plex Sans" w:cs="IBM Plex Sans" w:eastAsia="IBM Plex Sans" w:hAnsi="IBM Plex Sans"/>
          <w:sz w:val="22"/>
          <w:szCs w:val="22"/>
        </w:rPr>
        <w:t xml:space="preserve">Privacy, data handling, and regulatory compliance. This category reinforces the trust message and the founder’s infosec background.</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How Meritum protects your data (hosting, encryption, access controls; written for a physician audience, not a security team)</w:t>
      </w:r>
    </w:p>
    <w:p>
      <w:pPr>
        <w:pStyle w:val="ListParagraph"/>
        <w:numPr>
          <w:ilvl w:val="0"/>
          <w:numId w:val="2"/>
        </w:numPr>
        <w:spacing w:after="80"/>
      </w:pPr>
      <w:r>
        <w:rPr>
          <w:rFonts w:ascii="IBM Plex Sans" w:cs="IBM Plex Sans" w:eastAsia="IBM Plex Sans" w:hAnsi="IBM Plex Sans"/>
          <w:sz w:val="22"/>
          <w:szCs w:val="22"/>
        </w:rPr>
        <w:t xml:space="preserve">HIA compliance and the Information Manager Agreement (what it means, what you’re signing, your obligations under HIA s.66)</w:t>
      </w:r>
    </w:p>
    <w:p>
      <w:pPr>
        <w:pStyle w:val="ListParagraph"/>
        <w:numPr>
          <w:ilvl w:val="0"/>
          <w:numId w:val="2"/>
        </w:numPr>
        <w:spacing w:after="80"/>
      </w:pPr>
      <w:r>
        <w:rPr>
          <w:rFonts w:ascii="IBM Plex Sans" w:cs="IBM Plex Sans" w:eastAsia="IBM Plex Sans" w:hAnsi="IBM Plex Sans"/>
          <w:sz w:val="22"/>
          <w:szCs w:val="22"/>
        </w:rPr>
        <w:t xml:space="preserve">Canadian data residency (DigitalOcean Toronto, what “data stays in Canada” means in practice)</w:t>
      </w:r>
    </w:p>
    <w:p>
      <w:pPr>
        <w:pStyle w:val="ListParagraph"/>
        <w:numPr>
          <w:ilvl w:val="0"/>
          <w:numId w:val="2"/>
        </w:numPr>
        <w:spacing w:after="80"/>
      </w:pPr>
      <w:r>
        <w:rPr>
          <w:rFonts w:ascii="IBM Plex Sans" w:cs="IBM Plex Sans" w:eastAsia="IBM Plex Sans" w:hAnsi="IBM Plex Sans"/>
          <w:sz w:val="22"/>
          <w:szCs w:val="22"/>
        </w:rPr>
        <w:t xml:space="preserve">Delegate access and data separation (how the platform enforces boundaries between physician data)</w:t>
      </w:r>
    </w:p>
    <w:p>
      <w:pPr>
        <w:pStyle w:val="ListParagraph"/>
        <w:numPr>
          <w:ilvl w:val="0"/>
          <w:numId w:val="2"/>
        </w:numPr>
        <w:spacing w:after="80"/>
      </w:pPr>
      <w:r>
        <w:rPr>
          <w:rFonts w:ascii="IBM Plex Sans" w:cs="IBM Plex Sans" w:eastAsia="IBM Plex Sans" w:hAnsi="IBM Plex Sans"/>
          <w:sz w:val="22"/>
          <w:szCs w:val="22"/>
        </w:rPr>
        <w:t xml:space="preserve">Practice admin access boundaries (what the admin can see, what they cannot, and why)</w:t>
      </w:r>
    </w:p>
    <w:p>
      <w:pPr>
        <w:pStyle w:val="Heading2"/>
        <w:spacing w:before="280" w:after="160"/>
      </w:pPr>
      <w:r>
        <w:rPr>
          <w:rFonts w:ascii="IBM Plex Sans" w:cs="IBM Plex Sans" w:eastAsia="IBM Plex Sans" w:hAnsi="IBM Plex Sans"/>
          <w:b/>
          <w:bCs/>
          <w:color w:val="1B2A4A"/>
          <w:sz w:val="26"/>
          <w:szCs w:val="26"/>
        </w:rPr>
        <w:t xml:space="preserve">2.1 Edge Cases and Article Gaps</w:t>
      </w:r>
    </w:p>
    <w:p>
      <w:pPr>
        <w:spacing w:after="160"/>
      </w:pPr>
      <w:r>
        <w:rPr>
          <w:rFonts w:ascii="IBM Plex Sans" w:cs="IBM Plex Sans" w:eastAsia="IBM Plex Sans" w:hAnsi="IBM Plex Sans"/>
          <w:sz w:val="22"/>
          <w:szCs w:val="22"/>
        </w:rPr>
        <w:t xml:space="preserve">The following scenarios require explicit coverage. Writers should not gloss over these; each represents a real workflow a physician may encounter.</w:t>
      </w:r>
    </w:p>
    <w:p>
      <w:pPr>
        <w:spacing w:after="80"/>
      </w:pPr>
    </w:p>
    <w:p>
      <w:pPr>
        <w:pStyle w:val="ListParagraph"/>
        <w:numPr>
          <w:ilvl w:val="0"/>
          <w:numId w:val="2"/>
        </w:numPr>
        <w:spacing w:after="80"/>
      </w:pPr>
      <w:r>
        <w:rPr>
          <w:rFonts w:ascii="IBM Plex Sans" w:cs="IBM Plex Sans" w:eastAsia="IBM Plex Sans" w:hAnsi="IBM Plex Sans"/>
          <w:b/>
          <w:bCs/>
          <w:sz w:val="22"/>
          <w:szCs w:val="22"/>
        </w:rPr>
        <w:t xml:space="preserve">Specialty changes mid-subscription: </w:t>
      </w:r>
      <w:r>
        <w:rPr>
          <w:rFonts w:ascii="IBM Plex Sans" w:cs="IBM Plex Sans" w:eastAsia="IBM Plex Sans" w:hAnsi="IBM Plex Sans"/>
          <w:sz w:val="22"/>
          <w:szCs w:val="22"/>
        </w:rPr>
        <w:t xml:space="preserve">What happens when a physician changes or adds a specialty? Does this trigger re-validation of their profile? Does it affect historical claim data or SOMB code availability? Does the platform require any action (e.g., re-confirmation of BA associations)? Cover this in the “Updating your profile” article with enough detail that a physician knows exactly what to expect.</w:t>
      </w:r>
    </w:p>
    <w:p>
      <w:pPr>
        <w:pStyle w:val="ListParagraph"/>
        <w:numPr>
          <w:ilvl w:val="0"/>
          <w:numId w:val="2"/>
        </w:numPr>
        <w:spacing w:after="80"/>
      </w:pPr>
      <w:r>
        <w:rPr>
          <w:rFonts w:ascii="IBM Plex Sans" w:cs="IBM Plex Sans" w:eastAsia="IBM Plex Sans" w:hAnsi="IBM Plex Sans"/>
          <w:b/>
          <w:bCs/>
          <w:sz w:val="22"/>
          <w:szCs w:val="22"/>
        </w:rPr>
        <w:t xml:space="preserve">BA changes and additions: </w:t>
      </w:r>
      <w:r>
        <w:rPr>
          <w:rFonts w:ascii="IBM Plex Sans" w:cs="IBM Plex Sans" w:eastAsia="IBM Plex Sans" w:hAnsi="IBM Plex Sans"/>
          <w:sz w:val="22"/>
          <w:szCs w:val="22"/>
        </w:rPr>
        <w:t xml:space="preserve">Adding a new BA, removing one, or changing the submitter role. Particularly relevant for physicians moving between practices or adding a PCPCM BA alongside an existing FFS BA.</w:t>
      </w:r>
    </w:p>
    <w:p>
      <w:pPr>
        <w:pStyle w:val="ListParagraph"/>
        <w:numPr>
          <w:ilvl w:val="0"/>
          <w:numId w:val="2"/>
        </w:numPr>
        <w:spacing w:after="80"/>
      </w:pPr>
      <w:r>
        <w:rPr>
          <w:rFonts w:ascii="IBM Plex Sans" w:cs="IBM Plex Sans" w:eastAsia="IBM Plex Sans" w:hAnsi="IBM Plex Sans"/>
          <w:b/>
          <w:bCs/>
          <w:sz w:val="22"/>
          <w:szCs w:val="22"/>
        </w:rPr>
        <w:t xml:space="preserve">Locum-specific setup: </w:t>
      </w:r>
      <w:r>
        <w:rPr>
          <w:rFonts w:ascii="IBM Plex Sans" w:cs="IBM Plex Sans" w:eastAsia="IBM Plex Sans" w:hAnsi="IBM Plex Sans"/>
          <w:sz w:val="22"/>
          <w:szCs w:val="22"/>
        </w:rPr>
        <w:t xml:space="preserve">Physicians billing under another physician’s BA or at multiple locations. The “Configuring your practice location(s)” article must cover this explicitly.</w:t>
      </w:r>
    </w:p>
    <w:p>
      <w:pPr>
        <w:pStyle w:val="ListParagraph"/>
        <w:numPr>
          <w:ilvl w:val="0"/>
          <w:numId w:val="2"/>
        </w:numPr>
        <w:spacing w:after="80"/>
      </w:pPr>
      <w:r>
        <w:rPr>
          <w:rFonts w:ascii="IBM Plex Sans" w:cs="IBM Plex Sans" w:eastAsia="IBM Plex Sans" w:hAnsi="IBM Plex Sans"/>
          <w:b/>
          <w:bCs/>
          <w:sz w:val="22"/>
          <w:szCs w:val="22"/>
        </w:rPr>
        <w:t xml:space="preserve">WCB contract changes: </w:t>
      </w:r>
      <w:r>
        <w:rPr>
          <w:rFonts w:ascii="IBM Plex Sans" w:cs="IBM Plex Sans" w:eastAsia="IBM Plex Sans" w:hAnsi="IBM Plex Sans"/>
          <w:sz w:val="22"/>
          <w:szCs w:val="22"/>
        </w:rPr>
        <w:t xml:space="preserve">What happens when a physician’s WCB contract type or role code changes? How does the platform handle this transition?</w:t>
      </w:r>
    </w:p>
    <w:p>
      <w:pPr>
        <w:pStyle w:val="ListParagraph"/>
        <w:numPr>
          <w:ilvl w:val="0"/>
          <w:numId w:val="2"/>
        </w:numPr>
        <w:spacing w:after="80"/>
      </w:pPr>
      <w:r>
        <w:rPr>
          <w:rFonts w:ascii="IBM Plex Sans" w:cs="IBM Plex Sans" w:eastAsia="IBM Plex Sans" w:hAnsi="IBM Plex Sans"/>
          <w:b/>
          <w:bCs/>
          <w:sz w:val="22"/>
          <w:szCs w:val="22"/>
        </w:rPr>
        <w:t xml:space="preserve">Delegate handover: </w:t>
      </w:r>
      <w:r>
        <w:rPr>
          <w:rFonts w:ascii="IBM Plex Sans" w:cs="IBM Plex Sans" w:eastAsia="IBM Plex Sans" w:hAnsi="IBM Plex Sans"/>
          <w:sz w:val="22"/>
          <w:szCs w:val="22"/>
        </w:rPr>
        <w:t xml:space="preserve">What happens when a delegate leaves and a new one takes over? How does the physician transfer access without disruption?</w:t>
      </w:r>
    </w:p>
    <w:p>
      <w:r>
        <w:br w:type="page"/>
      </w:r>
    </w:p>
    <w:p>
      <w:pPr>
        <w:pStyle w:val="Heading1"/>
        <w:spacing w:before="360" w:after="200"/>
      </w:pPr>
      <w:r>
        <w:rPr>
          <w:rFonts w:ascii="IBM Plex Sans" w:cs="IBM Plex Sans" w:eastAsia="IBM Plex Sans" w:hAnsi="IBM Plex Sans"/>
          <w:b/>
          <w:bCs/>
          <w:color w:val="1B2A4A"/>
          <w:sz w:val="32"/>
          <w:szCs w:val="32"/>
        </w:rPr>
        <w:t xml:space="preserve">3. Voice and Style Rules</w:t>
      </w:r>
    </w:p>
    <w:p>
      <w:pPr>
        <w:spacing w:after="160"/>
      </w:pPr>
      <w:r>
        <w:rPr>
          <w:rFonts w:ascii="IBM Plex Sans" w:cs="IBM Plex Sans" w:eastAsia="IBM Plex Sans" w:hAnsi="IBM Plex Sans"/>
          <w:sz w:val="22"/>
          <w:szCs w:val="22"/>
        </w:rPr>
        <w:t xml:space="preserve">Help centre articles are written differently from marketing copy. The tone shifts from persuasive to instructional, but the underlying voice stays the same: direct, knowledgeable, and respectful of the reader’s time.</w:t>
      </w:r>
    </w:p>
    <w:p>
      <w:pPr>
        <w:pStyle w:val="Heading2"/>
        <w:spacing w:before="280" w:after="160"/>
      </w:pPr>
      <w:r>
        <w:rPr>
          <w:rFonts w:ascii="IBM Plex Sans" w:cs="IBM Plex Sans" w:eastAsia="IBM Plex Sans" w:hAnsi="IBM Plex Sans"/>
          <w:b/>
          <w:bCs/>
          <w:color w:val="1B2A4A"/>
          <w:sz w:val="26"/>
          <w:szCs w:val="26"/>
        </w:rPr>
        <w:t xml:space="preserve">3.1 Formatting</w:t>
      </w:r>
    </w:p>
    <w:p>
      <w:pPr>
        <w:pStyle w:val="ListParagraph"/>
        <w:numPr>
          <w:ilvl w:val="0"/>
          <w:numId w:val="2"/>
        </w:numPr>
        <w:spacing w:after="80"/>
      </w:pPr>
      <w:r>
        <w:rPr>
          <w:rFonts w:ascii="IBM Plex Sans" w:cs="IBM Plex Sans" w:eastAsia="IBM Plex Sans" w:hAnsi="IBM Plex Sans"/>
          <w:sz w:val="22"/>
          <w:szCs w:val="22"/>
        </w:rPr>
        <w:t xml:space="preserve">Lead with the answer. The first sentence or paragraph should resolve the question. Context and explanation follow.</w:t>
      </w:r>
    </w:p>
    <w:p>
      <w:pPr>
        <w:pStyle w:val="ListParagraph"/>
        <w:numPr>
          <w:ilvl w:val="0"/>
          <w:numId w:val="2"/>
        </w:numPr>
        <w:spacing w:after="80"/>
      </w:pPr>
      <w:r>
        <w:rPr>
          <w:rFonts w:ascii="IBM Plex Sans" w:cs="IBM Plex Sans" w:eastAsia="IBM Plex Sans" w:hAnsi="IBM Plex Sans"/>
          <w:sz w:val="22"/>
          <w:szCs w:val="22"/>
        </w:rPr>
        <w:t xml:space="preserve">Use numbered steps for procedural content (how to do X). Use paragraphs for conceptual content (how X works).</w:t>
      </w:r>
    </w:p>
    <w:p>
      <w:pPr>
        <w:pStyle w:val="ListParagraph"/>
        <w:numPr>
          <w:ilvl w:val="0"/>
          <w:numId w:val="2"/>
        </w:numPr>
        <w:spacing w:after="80"/>
      </w:pPr>
      <w:r>
        <w:rPr>
          <w:rFonts w:ascii="IBM Plex Sans" w:cs="IBM Plex Sans" w:eastAsia="IBM Plex Sans" w:hAnsi="IBM Plex Sans"/>
          <w:sz w:val="22"/>
          <w:szCs w:val="22"/>
        </w:rPr>
        <w:t xml:space="preserve">Keep articles short. Target 300–600 words for procedural articles, 600–1,000 for reference articles. If an article exceeds 1,000 words, consider splitting it.</w:t>
      </w:r>
    </w:p>
    <w:p>
      <w:pPr>
        <w:pStyle w:val="ListParagraph"/>
        <w:numPr>
          <w:ilvl w:val="0"/>
          <w:numId w:val="2"/>
        </w:numPr>
        <w:spacing w:after="80"/>
      </w:pPr>
      <w:r>
        <w:rPr>
          <w:rFonts w:ascii="IBM Plex Sans" w:cs="IBM Plex Sans" w:eastAsia="IBM Plex Sans" w:hAnsi="IBM Plex Sans"/>
          <w:sz w:val="22"/>
          <w:szCs w:val="22"/>
        </w:rPr>
        <w:t xml:space="preserve">Use headings to break up longer articles, but don’t over-structure short ones. A 300-word article with four headings is harder to read than three paragraphs.</w:t>
      </w:r>
    </w:p>
    <w:p>
      <w:pPr>
        <w:pStyle w:val="ListParagraph"/>
        <w:numPr>
          <w:ilvl w:val="0"/>
          <w:numId w:val="2"/>
        </w:numPr>
        <w:spacing w:after="80"/>
      </w:pPr>
      <w:r>
        <w:rPr>
          <w:rFonts w:ascii="IBM Plex Sans" w:cs="IBM Plex Sans" w:eastAsia="IBM Plex Sans" w:hAnsi="IBM Plex Sans"/>
          <w:sz w:val="22"/>
          <w:szCs w:val="22"/>
        </w:rPr>
        <w:t xml:space="preserve">Include cross-links to related articles where they add value. Don’t link every mention of every concept.</w:t>
      </w:r>
    </w:p>
    <w:p>
      <w:pPr>
        <w:pStyle w:val="Heading2"/>
        <w:spacing w:before="280" w:after="160"/>
      </w:pPr>
      <w:r>
        <w:rPr>
          <w:rFonts w:ascii="IBM Plex Sans" w:cs="IBM Plex Sans" w:eastAsia="IBM Plex Sans" w:hAnsi="IBM Plex Sans"/>
          <w:b/>
          <w:bCs/>
          <w:color w:val="1B2A4A"/>
          <w:sz w:val="26"/>
          <w:szCs w:val="26"/>
        </w:rPr>
        <w:t xml:space="preserve">3.2 Terminology</w:t>
      </w:r>
    </w:p>
    <w:p>
      <w:pPr>
        <w:pStyle w:val="ListParagraph"/>
        <w:numPr>
          <w:ilvl w:val="0"/>
          <w:numId w:val="2"/>
        </w:numPr>
        <w:spacing w:after="80"/>
      </w:pPr>
      <w:r>
        <w:rPr>
          <w:rFonts w:ascii="IBM Plex Sans" w:cs="IBM Plex Sans" w:eastAsia="IBM Plex Sans" w:hAnsi="IBM Plex Sans"/>
          <w:sz w:val="22"/>
          <w:szCs w:val="22"/>
        </w:rPr>
        <w:t xml:space="preserve">Use the same terms the platform uses. If the UI says “submission preferences,” the article says “submission preferences,” not “submission settings” or “submission options.”</w:t>
      </w:r>
    </w:p>
    <w:p>
      <w:pPr>
        <w:pStyle w:val="ListParagraph"/>
        <w:numPr>
          <w:ilvl w:val="0"/>
          <w:numId w:val="2"/>
        </w:numPr>
        <w:spacing w:after="80"/>
      </w:pPr>
      <w:r>
        <w:rPr>
          <w:rFonts w:ascii="IBM Plex Sans" w:cs="IBM Plex Sans" w:eastAsia="IBM Plex Sans" w:hAnsi="IBM Plex Sans"/>
          <w:sz w:val="22"/>
          <w:szCs w:val="22"/>
        </w:rPr>
        <w:t xml:space="preserve">Rules engine and advice engine: use these terms consistently. Never call the advice engine “AI” or “machine learning.”</w:t>
      </w:r>
    </w:p>
    <w:p>
      <w:pPr>
        <w:pStyle w:val="ListParagraph"/>
        <w:numPr>
          <w:ilvl w:val="0"/>
          <w:numId w:val="2"/>
        </w:numPr>
        <w:spacing w:after="80"/>
      </w:pPr>
      <w:r>
        <w:rPr>
          <w:rFonts w:ascii="IBM Plex Sans" w:cs="IBM Plex Sans" w:eastAsia="IBM Plex Sans" w:hAnsi="IBM Plex Sans"/>
          <w:sz w:val="22"/>
          <w:szCs w:val="22"/>
        </w:rPr>
        <w:t xml:space="preserve">AHCIP, WCB, PCPCM, RRNP, SOMB, H-Link: spell out on first use in each article, abbreviate thereafter.</w:t>
      </w:r>
    </w:p>
    <w:p>
      <w:pPr>
        <w:pStyle w:val="ListParagraph"/>
        <w:numPr>
          <w:ilvl w:val="0"/>
          <w:numId w:val="2"/>
        </w:numPr>
        <w:spacing w:after="80"/>
      </w:pPr>
      <w:r>
        <w:rPr>
          <w:rFonts w:ascii="IBM Plex Sans" w:cs="IBM Plex Sans" w:eastAsia="IBM Plex Sans" w:hAnsi="IBM Plex Sans"/>
          <w:sz w:val="22"/>
          <w:szCs w:val="22"/>
        </w:rPr>
        <w:t xml:space="preserve">Use “physician” not “doctor,” “provider,” or “clinician” (unless referring to a specific non-physician provider type).</w:t>
      </w:r>
    </w:p>
    <w:p>
      <w:pPr>
        <w:pStyle w:val="Heading2"/>
        <w:spacing w:before="280" w:after="160"/>
      </w:pPr>
      <w:r>
        <w:rPr>
          <w:rFonts w:ascii="IBM Plex Sans" w:cs="IBM Plex Sans" w:eastAsia="IBM Plex Sans" w:hAnsi="IBM Plex Sans"/>
          <w:b/>
          <w:bCs/>
          <w:color w:val="1B2A4A"/>
          <w:sz w:val="26"/>
          <w:szCs w:val="26"/>
        </w:rPr>
        <w:t xml:space="preserve">3.3 What Not to Do</w:t>
      </w:r>
    </w:p>
    <w:p>
      <w:pPr>
        <w:pStyle w:val="ListParagraph"/>
        <w:numPr>
          <w:ilvl w:val="0"/>
          <w:numId w:val="2"/>
        </w:numPr>
        <w:spacing w:after="80"/>
      </w:pPr>
      <w:r>
        <w:rPr>
          <w:rFonts w:ascii="IBM Plex Sans" w:cs="IBM Plex Sans" w:eastAsia="IBM Plex Sans" w:hAnsi="IBM Plex Sans"/>
          <w:sz w:val="22"/>
          <w:szCs w:val="22"/>
        </w:rPr>
        <w:t xml:space="preserve">Do not include marketing language, pricing pitches, or competitive comparisons in help articles. The help centre is support, not sales.</w:t>
      </w:r>
    </w:p>
    <w:p>
      <w:pPr>
        <w:pStyle w:val="ListParagraph"/>
        <w:numPr>
          <w:ilvl w:val="0"/>
          <w:numId w:val="2"/>
        </w:numPr>
        <w:spacing w:after="80"/>
      </w:pPr>
      <w:r>
        <w:rPr>
          <w:rFonts w:ascii="IBM Plex Sans" w:cs="IBM Plex Sans" w:eastAsia="IBM Plex Sans" w:hAnsi="IBM Plex Sans"/>
          <w:sz w:val="22"/>
          <w:szCs w:val="22"/>
        </w:rPr>
        <w:t xml:space="preserve">Do not use em dashes. Use semicolons or colons instead.</w:t>
      </w:r>
    </w:p>
    <w:p>
      <w:pPr>
        <w:pStyle w:val="ListParagraph"/>
        <w:numPr>
          <w:ilvl w:val="0"/>
          <w:numId w:val="2"/>
        </w:numPr>
        <w:spacing w:after="80"/>
      </w:pPr>
      <w:r>
        <w:rPr>
          <w:rFonts w:ascii="IBM Plex Sans" w:cs="IBM Plex Sans" w:eastAsia="IBM Plex Sans" w:hAnsi="IBM Plex Sans"/>
          <w:sz w:val="22"/>
          <w:szCs w:val="22"/>
        </w:rPr>
        <w:t xml:space="preserve">Do not use placeholder content (“coming soon,” “more details to follow”). If an article can’t be completed, don’t publish it.</w:t>
      </w:r>
    </w:p>
    <w:p>
      <w:pPr>
        <w:pStyle w:val="ListParagraph"/>
        <w:numPr>
          <w:ilvl w:val="0"/>
          <w:numId w:val="2"/>
        </w:numPr>
        <w:spacing w:after="80"/>
      </w:pPr>
      <w:r>
        <w:rPr>
          <w:rFonts w:ascii="IBM Plex Sans" w:cs="IBM Plex Sans" w:eastAsia="IBM Plex Sans" w:hAnsi="IBM Plex Sans"/>
          <w:sz w:val="22"/>
          <w:szCs w:val="22"/>
        </w:rPr>
        <w:t xml:space="preserve">Do not reproduce copyrighted rate tables from the SOMB or WCB fee schedules. Reference them, explain how to read them, and link to the official source.</w:t>
      </w:r>
    </w:p>
    <w:p>
      <w:pPr>
        <w:pStyle w:val="ListParagraph"/>
        <w:numPr>
          <w:ilvl w:val="0"/>
          <w:numId w:val="2"/>
        </w:numPr>
        <w:spacing w:after="80"/>
      </w:pPr>
      <w:r>
        <w:rPr>
          <w:rFonts w:ascii="IBM Plex Sans" w:cs="IBM Plex Sans" w:eastAsia="IBM Plex Sans" w:hAnsi="IBM Plex Sans"/>
          <w:sz w:val="22"/>
          <w:szCs w:val="22"/>
        </w:rPr>
        <w:t xml:space="preserve">Do not use language that reads as AI-generated. Avoid filler phrases, forced transitions, and generic qualifiers. Write like a knowledgeable colleague explaining something over the phone.</w:t>
      </w:r>
    </w:p>
    <w:p>
      <w:r>
        <w:br w:type="page"/>
      </w:r>
    </w:p>
    <w:p>
      <w:pPr>
        <w:pStyle w:val="Heading1"/>
        <w:spacing w:before="360" w:after="200"/>
      </w:pPr>
      <w:r>
        <w:rPr>
          <w:rFonts w:ascii="IBM Plex Sans" w:cs="IBM Plex Sans" w:eastAsia="IBM Plex Sans" w:hAnsi="IBM Plex Sans"/>
          <w:b/>
          <w:bCs/>
          <w:color w:val="1B2A4A"/>
          <w:sz w:val="32"/>
          <w:szCs w:val="32"/>
        </w:rPr>
        <w:t xml:space="preserve">4. Writing Priority</w:t>
      </w:r>
    </w:p>
    <w:p>
      <w:pPr>
        <w:spacing w:after="160"/>
      </w:pPr>
      <w:r>
        <w:rPr>
          <w:rFonts w:ascii="IBM Plex Sans" w:cs="IBM Plex Sans" w:eastAsia="IBM Plex Sans" w:hAnsi="IBM Plex Sans"/>
          <w:sz w:val="22"/>
          <w:szCs w:val="22"/>
        </w:rPr>
        <w:t xml:space="preserve">Not all articles need to exist at launch. The priority tiers:</w:t>
      </w:r>
    </w:p>
    <w:p>
      <w:pPr>
        <w:pStyle w:val="Heading2"/>
        <w:spacing w:before="280" w:after="160"/>
      </w:pPr>
      <w:r>
        <w:rPr>
          <w:rFonts w:ascii="IBM Plex Sans" w:cs="IBM Plex Sans" w:eastAsia="IBM Plex Sans" w:hAnsi="IBM Plex Sans"/>
          <w:b/>
          <w:bCs/>
          <w:color w:val="1B2A4A"/>
          <w:sz w:val="26"/>
          <w:szCs w:val="26"/>
        </w:rPr>
        <w:t xml:space="preserve">Tier 1: Required at launch</w:t>
      </w:r>
    </w:p>
    <w:p>
      <w:pPr>
        <w:spacing w:after="160"/>
      </w:pPr>
      <w:r>
        <w:rPr>
          <w:rFonts w:ascii="IBM Plex Sans" w:cs="IBM Plex Sans" w:eastAsia="IBM Plex Sans" w:hAnsi="IBM Plex Sans"/>
          <w:sz w:val="22"/>
          <w:szCs w:val="22"/>
        </w:rPr>
        <w:t xml:space="preserve">Everything in Category 1 (Getting Started) and the core articles from Category 2 (importing encounters, mobile entry, manual entry, flags and suggestions overview, rules engine, Thursday cycle). A new physician must be able to onboard, submit their first claims, and understand what happens next without contacting support.</w:t>
      </w:r>
    </w:p>
    <w:p>
      <w:pPr>
        <w:pStyle w:val="Heading2"/>
        <w:spacing w:before="280" w:after="160"/>
      </w:pPr>
      <w:r>
        <w:rPr>
          <w:rFonts w:ascii="IBM Plex Sans" w:cs="IBM Plex Sans" w:eastAsia="IBM Plex Sans" w:hAnsi="IBM Plex Sans"/>
          <w:b/>
          <w:bCs/>
          <w:color w:val="1B2A4A"/>
          <w:sz w:val="26"/>
          <w:szCs w:val="26"/>
        </w:rPr>
        <w:t xml:space="preserve">Tier 2: Required within first month</w:t>
      </w:r>
    </w:p>
    <w:p>
      <w:pPr>
        <w:spacing w:after="160"/>
      </w:pPr>
      <w:r>
        <w:rPr>
          <w:rFonts w:ascii="IBM Plex Sans" w:cs="IBM Plex Sans" w:eastAsia="IBM Plex Sans" w:hAnsi="IBM Plex Sans"/>
          <w:sz w:val="22"/>
          <w:szCs w:val="22"/>
        </w:rPr>
        <w:t xml:space="preserve">Category 3 (After Submission), Category 5 (Your Account), and the remaining Category 2 articles. Once physicians are submitting and receiving assessments, they need reconciliation and account management guidance.</w:t>
      </w:r>
    </w:p>
    <w:p>
      <w:pPr>
        <w:pStyle w:val="Heading2"/>
        <w:spacing w:before="280" w:after="160"/>
      </w:pPr>
      <w:r>
        <w:rPr>
          <w:rFonts w:ascii="IBM Plex Sans" w:cs="IBM Plex Sans" w:eastAsia="IBM Plex Sans" w:hAnsi="IBM Plex Sans"/>
          <w:b/>
          <w:bCs/>
          <w:color w:val="1B2A4A"/>
          <w:sz w:val="26"/>
          <w:szCs w:val="26"/>
        </w:rPr>
        <w:t xml:space="preserve">Tier 3: High-value, build as capacity allows</w:t>
      </w:r>
    </w:p>
    <w:p>
      <w:pPr>
        <w:spacing w:after="160"/>
      </w:pPr>
      <w:r>
        <w:rPr>
          <w:rFonts w:ascii="IBM Plex Sans" w:cs="IBM Plex Sans" w:eastAsia="IBM Plex Sans" w:hAnsi="IBM Plex Sans"/>
          <w:sz w:val="22"/>
          <w:szCs w:val="22"/>
        </w:rPr>
        <w:t xml:space="preserve">Category 4 (Alberta Billing Reference) and Category 6 (Security and Compliance). These are trust builders and SEO assets. They’re valuable but not blocking the onboarding experience. Build the most impactful reference articles first: RRNP, PCPCM, common explanatory codes, Thursday cycle.</w:t>
      </w:r>
    </w:p>
    <w:p>
      <w:pPr>
        <w:pStyle w:val="Heading2"/>
        <w:spacing w:before="280" w:after="160"/>
      </w:pPr>
      <w:r>
        <w:rPr>
          <w:rFonts w:ascii="IBM Plex Sans" w:cs="IBM Plex Sans" w:eastAsia="IBM Plex Sans" w:hAnsi="IBM Plex Sans"/>
          <w:b/>
          <w:bCs/>
          <w:color w:val="1B2A4A"/>
          <w:sz w:val="26"/>
          <w:szCs w:val="26"/>
        </w:rPr>
        <w:t xml:space="preserve">Blocked Articles</w:t>
      </w:r>
    </w:p>
    <w:p>
      <w:pPr>
        <w:spacing w:after="160"/>
      </w:pPr>
      <w:r>
        <w:rPr>
          <w:rFonts w:ascii="IBM Plex Sans" w:cs="IBM Plex Sans" w:eastAsia="IBM Plex Sans" w:hAnsi="IBM Plex Sans"/>
          <w:sz w:val="22"/>
          <w:szCs w:val="22"/>
        </w:rPr>
        <w:t xml:space="preserve">The following articles cannot be written accurately without their corresponding domain FRDs. Do not attempt these until the source documents are available: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20"/>
                <w:szCs w:val="20"/>
              </w:rPr>
              <w:t xml:space="preserve">Article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20"/>
                <w:szCs w:val="20"/>
              </w:rPr>
              <w:t xml:space="preserve">Blocked By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IBM Plex Sans" w:cs="IBM Plex Sans" w:eastAsia="IBM Plex Sans" w:hAnsi="IBM Plex Sans"/>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Understanding the rules engine (deep-dive)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Intelligence Engine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Understanding the advice engine (deep-dive)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Intelligence Engine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Importing encounters from your EMR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Claim Lifecycle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How the Thursday submission cycle works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AHCIP Submission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Submitting WCB claims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WCB Submission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Assessment results and rejection codes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AHCIP Submission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Correcting and resubmitting refused claims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Claim Lifecycle FRD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PCPCM reconciliation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sz w:val="20"/>
                <w:szCs w:val="20"/>
              </w:rPr>
              <w:t xml:space="preserve">PCPCM domain detail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BM Plex Sans" w:cs="IBM Plex Sans" w:eastAsia="IBM Plex Sans" w:hAnsi="IBM Plex Sans"/>
                <w:i/>
                <w:iCs/>
                <w:sz w:val="20"/>
                <w:szCs w:val="20"/>
              </w:rPr>
              <w:t xml:space="preserve">Awaiting FRD</w:t>
            </w:r>
          </w:p>
        </w:tc>
      </w:tr>
    </w:tbl>
    <w:p>
      <w:pPr>
        <w:spacing w:after="80"/>
      </w:pPr>
    </w:p>
    <w:p>
      <w:pPr>
        <w:spacing w:after="160"/>
      </w:pPr>
      <w:r>
        <w:rPr>
          <w:rFonts w:ascii="IBM Plex Sans" w:cs="IBM Plex Sans" w:eastAsia="IBM Plex Sans" w:hAnsi="IBM Plex Sans"/>
          <w:i/>
          <w:iCs/>
          <w:sz w:val="22"/>
          <w:szCs w:val="22"/>
        </w:rPr>
        <w:t xml:space="preserve">Mark these as blocked in your build pipeline. Do not generate placeholder content.</w:t>
      </w:r>
    </w:p>
    <w:p>
      <w:r>
        <w:br w:type="page"/>
      </w:r>
    </w:p>
    <w:p>
      <w:pPr>
        <w:pStyle w:val="Heading1"/>
        <w:spacing w:before="360" w:after="200"/>
      </w:pPr>
      <w:r>
        <w:rPr>
          <w:rFonts w:ascii="IBM Plex Sans" w:cs="IBM Plex Sans" w:eastAsia="IBM Plex Sans" w:hAnsi="IBM Plex Sans"/>
          <w:b/>
          <w:bCs/>
          <w:color w:val="1B2A4A"/>
          <w:sz w:val="32"/>
          <w:szCs w:val="32"/>
        </w:rPr>
        <w:t xml:space="preserve">5. Content Maintenance</w:t>
      </w:r>
    </w:p>
    <w:p>
      <w:pPr>
        <w:spacing w:after="160"/>
      </w:pPr>
      <w:r>
        <w:rPr>
          <w:rFonts w:ascii="IBM Plex Sans" w:cs="IBM Plex Sans" w:eastAsia="IBM Plex Sans" w:hAnsi="IBM Plex Sans"/>
          <w:sz w:val="22"/>
          <w:szCs w:val="22"/>
        </w:rPr>
        <w:t xml:space="preserve">Reference articles (particularly Category 4) will become outdated when Alberta Health updates rates, RRNP community codes, SOMB rules, or explanatory code definitions. Outdated reference content erodes trust faster than missing content.</w:t>
      </w:r>
    </w:p>
    <w:p>
      <w:pPr>
        <w:pStyle w:val="Heading2"/>
        <w:spacing w:before="280" w:after="160"/>
      </w:pPr>
      <w:r>
        <w:rPr>
          <w:rFonts w:ascii="IBM Plex Sans" w:cs="IBM Plex Sans" w:eastAsia="IBM Plex Sans" w:hAnsi="IBM Plex Sans"/>
          <w:b/>
          <w:bCs/>
          <w:color w:val="1B2A4A"/>
          <w:sz w:val="26"/>
          <w:szCs w:val="26"/>
        </w:rPr>
        <w:t xml:space="preserve">5.1 Front Matter Metadata</w:t>
      </w:r>
    </w:p>
    <w:p>
      <w:pPr>
        <w:spacing w:after="160"/>
      </w:pPr>
      <w:r>
        <w:rPr>
          <w:rFonts w:ascii="IBM Plex Sans" w:cs="IBM Plex Sans" w:eastAsia="IBM Plex Sans" w:hAnsi="IBM Plex Sans"/>
          <w:sz w:val="22"/>
          <w:szCs w:val="22"/>
        </w:rPr>
        <w:t xml:space="preserve">Every article must include a last_reviewed date in its front matter. This date should reflect the last time the article’s factual content was verified against its source (SOMB, Alberta Health bulletins, WCB schedules), not the last time the prose was edited.</w:t>
      </w:r>
    </w:p>
    <w:p>
      <w:pPr>
        <w:spacing w:after="80"/>
      </w:pP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title: "Article Title"</w:t>
      </w:r>
    </w:p>
    <w:p>
      <w:pPr>
        <w:spacing w:after="160"/>
      </w:pPr>
      <w:r>
        <w:rPr>
          <w:rFonts w:ascii="Courier New" w:cs="Courier New" w:eastAsia="Courier New" w:hAnsi="Courier New"/>
          <w:sz w:val="20"/>
          <w:szCs w:val="20"/>
        </w:rPr>
        <w:t xml:space="preserve">category: getting-started | submitting-claims | after-submission | billing-reference | your-account | security-compliance</w:t>
      </w:r>
    </w:p>
    <w:p>
      <w:pPr>
        <w:spacing w:after="160"/>
      </w:pPr>
      <w:r>
        <w:rPr>
          <w:rFonts w:ascii="Courier New" w:cs="Courier New" w:eastAsia="Courier New" w:hAnsi="Courier New"/>
          <w:sz w:val="20"/>
          <w:szCs w:val="20"/>
        </w:rPr>
        <w:t xml:space="preserve">slug: article-slug</w:t>
      </w:r>
    </w:p>
    <w:p>
      <w:pPr>
        <w:spacing w:after="160"/>
      </w:pPr>
      <w:r>
        <w:rPr>
          <w:rFonts w:ascii="Courier New" w:cs="Courier New" w:eastAsia="Courier New" w:hAnsi="Courier New"/>
          <w:sz w:val="20"/>
          <w:szCs w:val="20"/>
        </w:rPr>
        <w:t xml:space="preserve">description: "Brief description for search and index page."</w:t>
      </w:r>
    </w:p>
    <w:p>
      <w:pPr>
        <w:spacing w:after="160"/>
      </w:pPr>
      <w:r>
        <w:rPr>
          <w:rFonts w:ascii="Courier New" w:cs="Courier New" w:eastAsia="Courier New" w:hAnsi="Courier New"/>
          <w:sz w:val="20"/>
          <w:szCs w:val="20"/>
        </w:rPr>
        <w:t xml:space="preserve">priority: 1 | 2 | 3</w:t>
      </w:r>
    </w:p>
    <w:p>
      <w:pPr>
        <w:spacing w:after="160"/>
      </w:pPr>
      <w:r>
        <w:rPr>
          <w:rFonts w:ascii="Courier New" w:cs="Courier New" w:eastAsia="Courier New" w:hAnsi="Courier New"/>
          <w:sz w:val="20"/>
          <w:szCs w:val="20"/>
        </w:rPr>
        <w:t xml:space="preserve">last_reviewed: 2026-02-25</w:t>
      </w:r>
    </w:p>
    <w:p>
      <w:pPr>
        <w:spacing w:after="160"/>
      </w:pPr>
      <w:r>
        <w:rPr>
          <w:rFonts w:ascii="Courier New" w:cs="Courier New" w:eastAsia="Courier New" w:hAnsi="Courier New"/>
          <w:sz w:val="20"/>
          <w:szCs w:val="20"/>
        </w:rPr>
        <w:t xml:space="preserve">review_cycle: quarterly | annual | on-change</w:t>
      </w:r>
    </w:p>
    <w:p>
      <w:pPr>
        <w:spacing w:after="160"/>
      </w:pPr>
      <w:r>
        <w:rPr>
          <w:rFonts w:ascii="Courier New" w:cs="Courier New" w:eastAsia="Courier New" w:hAnsi="Courier New"/>
          <w:sz w:val="20"/>
          <w:szCs w:val="20"/>
        </w:rPr>
        <w:t xml:space="preserve">---</w:t>
      </w:r>
    </w:p>
    <w:p>
      <w:pPr>
        <w:spacing w:after="80"/>
      </w:pPr>
    </w:p>
    <w:p>
      <w:pPr>
        <w:pStyle w:val="Heading2"/>
        <w:spacing w:before="280" w:after="160"/>
      </w:pPr>
      <w:r>
        <w:rPr>
          <w:rFonts w:ascii="IBM Plex Sans" w:cs="IBM Plex Sans" w:eastAsia="IBM Plex Sans" w:hAnsi="IBM Plex Sans"/>
          <w:b/>
          <w:bCs/>
          <w:color w:val="1B2A4A"/>
          <w:sz w:val="26"/>
          <w:szCs w:val="26"/>
        </w:rPr>
        <w:t xml:space="preserve">5.2 Review Cycles</w:t>
      </w:r>
    </w:p>
    <w:p>
      <w:pPr>
        <w:pStyle w:val="ListParagraph"/>
        <w:numPr>
          <w:ilvl w:val="0"/>
          <w:numId w:val="2"/>
        </w:numPr>
        <w:spacing w:after="80"/>
      </w:pPr>
      <w:r>
        <w:rPr>
          <w:rFonts w:ascii="IBM Plex Sans" w:cs="IBM Plex Sans" w:eastAsia="IBM Plex Sans" w:hAnsi="IBM Plex Sans"/>
          <w:b/>
          <w:bCs/>
          <w:sz w:val="22"/>
          <w:szCs w:val="22"/>
        </w:rPr>
        <w:t xml:space="preserve">Quarterly: </w:t>
      </w:r>
      <w:r>
        <w:rPr>
          <w:rFonts w:ascii="IBM Plex Sans" w:cs="IBM Plex Sans" w:eastAsia="IBM Plex Sans" w:hAnsi="IBM Plex Sans"/>
          <w:sz w:val="22"/>
          <w:szCs w:val="22"/>
        </w:rPr>
        <w:t xml:space="preserve">Category 4 articles that reference specific rates, codes, or eligibility criteria (RRNP, PCPCM, SOMB, explanatory codes, after-hours billing).</w:t>
      </w:r>
    </w:p>
    <w:p>
      <w:pPr>
        <w:pStyle w:val="ListParagraph"/>
        <w:numPr>
          <w:ilvl w:val="0"/>
          <w:numId w:val="2"/>
        </w:numPr>
        <w:spacing w:after="80"/>
      </w:pPr>
      <w:r>
        <w:rPr>
          <w:rFonts w:ascii="IBM Plex Sans" w:cs="IBM Plex Sans" w:eastAsia="IBM Plex Sans" w:hAnsi="IBM Plex Sans"/>
          <w:b/>
          <w:bCs/>
          <w:sz w:val="22"/>
          <w:szCs w:val="22"/>
        </w:rPr>
        <w:t xml:space="preserve">Annual: </w:t>
      </w:r>
      <w:r>
        <w:rPr>
          <w:rFonts w:ascii="IBM Plex Sans" w:cs="IBM Plex Sans" w:eastAsia="IBM Plex Sans" w:hAnsi="IBM Plex Sans"/>
          <w:sz w:val="22"/>
          <w:szCs w:val="22"/>
        </w:rPr>
        <w:t xml:space="preserve">Category 6 articles (security and compliance) and Category 5 articles (subscription and account management).</w:t>
      </w:r>
    </w:p>
    <w:p>
      <w:pPr>
        <w:pStyle w:val="ListParagraph"/>
        <w:numPr>
          <w:ilvl w:val="0"/>
          <w:numId w:val="2"/>
        </w:numPr>
        <w:spacing w:after="80"/>
      </w:pPr>
      <w:r>
        <w:rPr>
          <w:rFonts w:ascii="IBM Plex Sans" w:cs="IBM Plex Sans" w:eastAsia="IBM Plex Sans" w:hAnsi="IBM Plex Sans"/>
          <w:b/>
          <w:bCs/>
          <w:sz w:val="22"/>
          <w:szCs w:val="22"/>
        </w:rPr>
        <w:t xml:space="preserve">On-change: </w:t>
      </w:r>
      <w:r>
        <w:rPr>
          <w:rFonts w:ascii="IBM Plex Sans" w:cs="IBM Plex Sans" w:eastAsia="IBM Plex Sans" w:hAnsi="IBM Plex Sans"/>
          <w:sz w:val="22"/>
          <w:szCs w:val="22"/>
        </w:rPr>
        <w:t xml:space="preserve">Category 1 and Category 2 articles that mirror platform UI. These should be updated whenever the corresponding UI changes, not on a schedule.</w:t>
      </w:r>
    </w:p>
    <w:p>
      <w:pPr>
        <w:spacing w:after="80"/>
      </w:pPr>
    </w:p>
    <w:p>
      <w:pPr>
        <w:spacing w:after="160"/>
      </w:pPr>
      <w:r>
        <w:rPr>
          <w:rFonts w:ascii="IBM Plex Sans" w:cs="IBM Plex Sans" w:eastAsia="IBM Plex Sans" w:hAnsi="IBM Plex Sans"/>
          <w:sz w:val="22"/>
          <w:szCs w:val="22"/>
        </w:rPr>
        <w:t xml:space="preserve">Display the last_reviewed date on each article. Physicians should be able to see at a glance whether the reference content is current.</w:t>
      </w:r>
    </w:p>
    <w:p>
      <w:r>
        <w:br w:type="page"/>
      </w:r>
    </w:p>
    <w:p>
      <w:pPr>
        <w:pStyle w:val="Heading1"/>
        <w:spacing w:before="360" w:after="200"/>
      </w:pPr>
      <w:r>
        <w:rPr>
          <w:rFonts w:ascii="IBM Plex Sans" w:cs="IBM Plex Sans" w:eastAsia="IBM Plex Sans" w:hAnsi="IBM Plex Sans"/>
          <w:b/>
          <w:bCs/>
          <w:color w:val="1B2A4A"/>
          <w:sz w:val="32"/>
          <w:szCs w:val="32"/>
        </w:rPr>
        <w:t xml:space="preserve">6. Technical Implementation</w:t>
      </w:r>
    </w:p>
    <w:p>
      <w:pPr>
        <w:pStyle w:val="Heading2"/>
        <w:spacing w:before="280" w:after="160"/>
      </w:pPr>
      <w:r>
        <w:rPr>
          <w:rFonts w:ascii="IBM Plex Sans" w:cs="IBM Plex Sans" w:eastAsia="IBM Plex Sans" w:hAnsi="IBM Plex Sans"/>
          <w:b/>
          <w:bCs/>
          <w:color w:val="1B2A4A"/>
          <w:sz w:val="26"/>
          <w:szCs w:val="26"/>
        </w:rPr>
        <w:t xml:space="preserve">6.1 File Format</w:t>
      </w:r>
    </w:p>
    <w:p>
      <w:pPr>
        <w:spacing w:after="160"/>
      </w:pPr>
      <w:r>
        <w:rPr>
          <w:rFonts w:ascii="IBM Plex Sans" w:cs="IBM Plex Sans" w:eastAsia="IBM Plex Sans" w:hAnsi="IBM Plex Sans"/>
          <w:sz w:val="22"/>
          <w:szCs w:val="22"/>
        </w:rPr>
        <w:t xml:space="preserve">Help articles should be written as markdown files with YAML front matter, using the schema defined in Section 5.1. One markdown file per article. File names should match the slug field.</w:t>
      </w:r>
    </w:p>
    <w:p>
      <w:pPr>
        <w:pStyle w:val="Heading2"/>
        <w:spacing w:before="280" w:after="160"/>
      </w:pPr>
      <w:r>
        <w:rPr>
          <w:rFonts w:ascii="IBM Plex Sans" w:cs="IBM Plex Sans" w:eastAsia="IBM Plex Sans" w:hAnsi="IBM Plex Sans"/>
          <w:b/>
          <w:bCs/>
          <w:color w:val="1B2A4A"/>
          <w:sz w:val="26"/>
          <w:szCs w:val="26"/>
        </w:rPr>
        <w:t xml:space="preserve">6.2 Hosting</w:t>
      </w:r>
    </w:p>
    <w:p>
      <w:pPr>
        <w:spacing w:after="160"/>
      </w:pPr>
      <w:r>
        <w:rPr>
          <w:rFonts w:ascii="IBM Plex Sans" w:cs="IBM Plex Sans" w:eastAsia="IBM Plex Sans" w:hAnsi="IBM Plex Sans"/>
          <w:sz w:val="22"/>
          <w:szCs w:val="22"/>
        </w:rPr>
        <w:t xml:space="preserve">The help centre can be built as a section of the main site or as a subdomain (help.meritum.ca). The website build prompt leaves this open. Either way, the help articles should be searchable, categorised, and accessible without authentication.</w:t>
      </w:r>
    </w:p>
    <w:p>
      <w:pPr>
        <w:pStyle w:val="Heading2"/>
        <w:spacing w:before="280" w:after="160"/>
      </w:pPr>
      <w:r>
        <w:rPr>
          <w:rFonts w:ascii="IBM Plex Sans" w:cs="IBM Plex Sans" w:eastAsia="IBM Plex Sans" w:hAnsi="IBM Plex Sans"/>
          <w:b/>
          <w:bCs/>
          <w:color w:val="1B2A4A"/>
          <w:sz w:val="26"/>
          <w:szCs w:val="26"/>
        </w:rPr>
        <w:t xml:space="preserve">6.3 Search</w:t>
      </w:r>
    </w:p>
    <w:p>
      <w:pPr>
        <w:spacing w:after="160"/>
      </w:pPr>
      <w:r>
        <w:rPr>
          <w:rFonts w:ascii="IBM Plex Sans" w:cs="IBM Plex Sans" w:eastAsia="IBM Plex Sans" w:hAnsi="IBM Plex Sans"/>
          <w:sz w:val="22"/>
          <w:szCs w:val="22"/>
        </w:rPr>
        <w:t xml:space="preserve">Implement full-text search across all articles. The search index should include article titles, descriptions, body text, and category names. Search is important: physicians arriving from Google will land on individual articles, but physicians already on the platform will use search to find what they need.</w:t>
      </w:r>
    </w:p>
    <w:p>
      <w:pPr>
        <w:pStyle w:val="Heading2"/>
        <w:spacing w:before="280" w:after="160"/>
      </w:pPr>
      <w:r>
        <w:rPr>
          <w:rFonts w:ascii="IBM Plex Sans" w:cs="IBM Plex Sans" w:eastAsia="IBM Plex Sans" w:hAnsi="IBM Plex Sans"/>
          <w:b/>
          <w:bCs/>
          <w:color w:val="1B2A4A"/>
          <w:sz w:val="26"/>
          <w:szCs w:val="26"/>
        </w:rPr>
        <w:t xml:space="preserve">6.4 Cross-Linking Strategy</w:t>
      </w:r>
    </w:p>
    <w:p>
      <w:pPr>
        <w:spacing w:after="160"/>
      </w:pPr>
      <w:r>
        <w:rPr>
          <w:rFonts w:ascii="IBM Plex Sans" w:cs="IBM Plex Sans" w:eastAsia="IBM Plex Sans" w:hAnsi="IBM Plex Sans"/>
          <w:sz w:val="22"/>
          <w:szCs w:val="22"/>
        </w:rPr>
        <w:t xml:space="preserve">Category 4 (Alberta Billing Reference) articles should be cross-linked from relevant blog posts and vice versa. The blog and the help centre serve different functions (editorial vs. reference) but reinforce each other.</w:t>
      </w:r>
    </w:p>
    <w:p>
      <w:pPr>
        <w:spacing w:after="80"/>
      </w:pPr>
    </w:p>
    <w:p>
      <w:pPr>
        <w:spacing w:after="160"/>
      </w:pPr>
      <w:r>
        <w:rPr>
          <w:rFonts w:ascii="IBM Plex Sans" w:cs="IBM Plex Sans" w:eastAsia="IBM Plex Sans" w:hAnsi="IBM Plex Sans"/>
          <w:sz w:val="22"/>
          <w:szCs w:val="22"/>
        </w:rPr>
        <w:t xml:space="preserve">Within the help centre, cross-linking rules:</w:t>
      </w:r>
    </w:p>
    <w:p>
      <w:pPr>
        <w:pStyle w:val="ListParagraph"/>
        <w:numPr>
          <w:ilvl w:val="0"/>
          <w:numId w:val="2"/>
        </w:numPr>
        <w:spacing w:after="80"/>
      </w:pPr>
      <w:r>
        <w:rPr>
          <w:rFonts w:ascii="IBM Plex Sans" w:cs="IBM Plex Sans" w:eastAsia="IBM Plex Sans" w:hAnsi="IBM Plex Sans"/>
          <w:sz w:val="22"/>
          <w:szCs w:val="22"/>
        </w:rPr>
        <w:t xml:space="preserve">Link from the combined “flags and suggestions” overview to the individual rules engine and advice engine deep-dives.</w:t>
      </w:r>
    </w:p>
    <w:p>
      <w:pPr>
        <w:pStyle w:val="ListParagraph"/>
        <w:numPr>
          <w:ilvl w:val="0"/>
          <w:numId w:val="2"/>
        </w:numPr>
        <w:spacing w:after="80"/>
      </w:pPr>
      <w:r>
        <w:rPr>
          <w:rFonts w:ascii="IBM Plex Sans" w:cs="IBM Plex Sans" w:eastAsia="IBM Plex Sans" w:hAnsi="IBM Plex Sans"/>
          <w:sz w:val="22"/>
          <w:szCs w:val="22"/>
        </w:rPr>
        <w:t xml:space="preserve">Link from Category 2 procedural articles to their corresponding Category 4 reference articles (e.g., “Submitting WCB claims” links to “WCB Alberta billing for physicians”).</w:t>
      </w:r>
    </w:p>
    <w:p>
      <w:pPr>
        <w:pStyle w:val="ListParagraph"/>
        <w:numPr>
          <w:ilvl w:val="0"/>
          <w:numId w:val="2"/>
        </w:numPr>
        <w:spacing w:after="80"/>
      </w:pPr>
      <w:r>
        <w:rPr>
          <w:rFonts w:ascii="IBM Plex Sans" w:cs="IBM Plex Sans" w:eastAsia="IBM Plex Sans" w:hAnsi="IBM Plex Sans"/>
          <w:sz w:val="22"/>
          <w:szCs w:val="22"/>
        </w:rPr>
        <w:t xml:space="preserve">Link from Category 1 setup articles to Category 6 security articles where privacy context adds value (e.g., “Inviting a delegate” links to “Delegate access and data separation”).</w:t>
      </w:r>
    </w:p>
    <w:p>
      <w:pPr>
        <w:pStyle w:val="ListParagraph"/>
        <w:numPr>
          <w:ilvl w:val="0"/>
          <w:numId w:val="2"/>
        </w:numPr>
        <w:spacing w:after="80"/>
      </w:pPr>
      <w:r>
        <w:rPr>
          <w:rFonts w:ascii="IBM Plex Sans" w:cs="IBM Plex Sans" w:eastAsia="IBM Plex Sans" w:hAnsi="IBM Plex Sans"/>
          <w:sz w:val="22"/>
          <w:szCs w:val="22"/>
        </w:rPr>
        <w:t xml:space="preserve">Do not over-link. If a term appears five times in an article, link it once (first occurrence or most contextually relevant occurrence).</w:t>
      </w:r>
    </w:p>
    <w:p>
      <w:pPr>
        <w:pStyle w:val="Heading2"/>
        <w:spacing w:before="280" w:after="160"/>
      </w:pPr>
      <w:r>
        <w:rPr>
          <w:rFonts w:ascii="IBM Plex Sans" w:cs="IBM Plex Sans" w:eastAsia="IBM Plex Sans" w:hAnsi="IBM Plex Sans"/>
          <w:b/>
          <w:bCs/>
          <w:color w:val="1B2A4A"/>
          <w:sz w:val="26"/>
          <w:szCs w:val="26"/>
        </w:rPr>
        <w:t xml:space="preserve">6.5 Category Page Layout</w:t>
      </w:r>
    </w:p>
    <w:p>
      <w:pPr>
        <w:spacing w:after="160"/>
      </w:pPr>
      <w:r>
        <w:rPr>
          <w:rFonts w:ascii="IBM Plex Sans" w:cs="IBM Plex Sans" w:eastAsia="IBM Plex Sans" w:hAnsi="IBM Plex Sans"/>
          <w:sz w:val="22"/>
          <w:szCs w:val="22"/>
        </w:rPr>
        <w:t xml:space="preserve">Each category should have an index page listing its articles with their description field. Articles should be ordered by priority tier first, then by the sequence defined in Section 2. The index page should make it obvious which articles exist and which topics are covered, so a physician scanning the page can find what they need quickly.</w:t>
      </w:r>
    </w:p>
    <w:p>
      <w:r>
        <w:br w:type="page"/>
      </w:r>
    </w:p>
    <w:p>
      <w:pPr>
        <w:pStyle w:val="Heading1"/>
        <w:spacing w:before="360" w:after="200"/>
      </w:pPr>
      <w:r>
        <w:rPr>
          <w:rFonts w:ascii="IBM Plex Sans" w:cs="IBM Plex Sans" w:eastAsia="IBM Plex Sans" w:hAnsi="IBM Plex Sans"/>
          <w:b/>
          <w:bCs/>
          <w:color w:val="1B2A4A"/>
          <w:sz w:val="32"/>
          <w:szCs w:val="32"/>
        </w:rPr>
        <w:t xml:space="preserve">7. Source Documents</w:t>
      </w:r>
    </w:p>
    <w:p>
      <w:pPr>
        <w:spacing w:after="160"/>
      </w:pPr>
      <w:r>
        <w:rPr>
          <w:rFonts w:ascii="IBM Plex Sans" w:cs="IBM Plex Sans" w:eastAsia="IBM Plex Sans" w:hAnsi="IBM Plex Sans"/>
          <w:sz w:val="22"/>
          <w:szCs w:val="22"/>
        </w:rPr>
        <w:t xml:space="preserve">Attach the following documents alongside this prompt when generating content:</w:t>
      </w:r>
    </w:p>
    <w:p>
      <w:pPr>
        <w:spacing w:after="80"/>
      </w:pPr>
    </w:p>
    <w:p>
      <w:pPr>
        <w:pStyle w:val="ListParagraph"/>
        <w:numPr>
          <w:ilvl w:val="0"/>
          <w:numId w:val="2"/>
        </w:numPr>
        <w:spacing w:after="80"/>
      </w:pPr>
      <w:r>
        <w:rPr>
          <w:rFonts w:ascii="IBM Plex Sans" w:cs="IBM Plex Sans" w:eastAsia="IBM Plex Sans" w:hAnsi="IBM Plex Sans"/>
          <w:b/>
          <w:bCs/>
          <w:sz w:val="22"/>
          <w:szCs w:val="22"/>
        </w:rPr>
        <w:t xml:space="preserve">meritum-brand-context.docx: </w:t>
      </w:r>
      <w:r>
        <w:rPr>
          <w:rFonts w:ascii="IBM Plex Sans" w:cs="IBM Plex Sans" w:eastAsia="IBM Plex Sans" w:hAnsi="IBM Plex Sans"/>
          <w:sz w:val="22"/>
          <w:szCs w:val="22"/>
        </w:rPr>
        <w:t xml:space="preserve">Voice, terminology, and positioning reference.</w:t>
      </w:r>
    </w:p>
    <w:p>
      <w:pPr>
        <w:pStyle w:val="ListParagraph"/>
        <w:numPr>
          <w:ilvl w:val="0"/>
          <w:numId w:val="2"/>
        </w:numPr>
        <w:spacing w:after="80"/>
      </w:pPr>
      <w:r>
        <w:rPr>
          <w:rFonts w:ascii="IBM Plex Sans" w:cs="IBM Plex Sans" w:eastAsia="IBM Plex Sans" w:hAnsi="IBM Plex Sans"/>
          <w:b/>
          <w:bCs/>
          <w:sz w:val="22"/>
          <w:szCs w:val="22"/>
        </w:rPr>
        <w:t xml:space="preserve">meritum-how-it-works-v1.docx: </w:t>
      </w:r>
      <w:r>
        <w:rPr>
          <w:rFonts w:ascii="IBM Plex Sans" w:cs="IBM Plex Sans" w:eastAsia="IBM Plex Sans" w:hAnsi="IBM Plex Sans"/>
          <w:sz w:val="22"/>
          <w:szCs w:val="22"/>
        </w:rPr>
        <w:t xml:space="preserve">Product workflow detail for Categories 1–3 articles.</w:t>
      </w:r>
    </w:p>
    <w:p>
      <w:pPr>
        <w:pStyle w:val="ListParagraph"/>
        <w:numPr>
          <w:ilvl w:val="0"/>
          <w:numId w:val="2"/>
        </w:numPr>
        <w:spacing w:after="80"/>
      </w:pPr>
      <w:r>
        <w:rPr>
          <w:rFonts w:ascii="IBM Plex Sans" w:cs="IBM Plex Sans" w:eastAsia="IBM Plex Sans" w:hAnsi="IBM Plex Sans"/>
          <w:b/>
          <w:bCs/>
          <w:sz w:val="22"/>
          <w:szCs w:val="22"/>
        </w:rPr>
        <w:t xml:space="preserve">meritum-pricing-page-v3.docx: </w:t>
      </w:r>
      <w:r>
        <w:rPr>
          <w:rFonts w:ascii="IBM Plex Sans" w:cs="IBM Plex Sans" w:eastAsia="IBM Plex Sans" w:hAnsi="IBM Plex Sans"/>
          <w:sz w:val="22"/>
          <w:szCs w:val="22"/>
        </w:rPr>
        <w:t xml:space="preserve">Pricing and FAQ content for Category 5 articles.</w:t>
      </w:r>
    </w:p>
    <w:p>
      <w:pPr>
        <w:pStyle w:val="ListParagraph"/>
        <w:numPr>
          <w:ilvl w:val="0"/>
          <w:numId w:val="2"/>
        </w:numPr>
        <w:spacing w:after="80"/>
      </w:pPr>
      <w:r>
        <w:rPr>
          <w:rFonts w:ascii="IBM Plex Sans" w:cs="IBM Plex Sans" w:eastAsia="IBM Plex Sans" w:hAnsi="IBM Plex Sans"/>
          <w:b/>
          <w:bCs/>
          <w:sz w:val="22"/>
          <w:szCs w:val="22"/>
        </w:rPr>
        <w:t xml:space="preserve">meritum-pricing-strategy-v2.docx: </w:t>
      </w:r>
      <w:r>
        <w:rPr>
          <w:rFonts w:ascii="IBM Plex Sans" w:cs="IBM Plex Sans" w:eastAsia="IBM Plex Sans" w:hAnsi="IBM Plex Sans"/>
          <w:sz w:val="22"/>
          <w:szCs w:val="22"/>
        </w:rPr>
        <w:t xml:space="preserve">Internal pricing logic for account management articles.</w:t>
      </w:r>
    </w:p>
    <w:p>
      <w:pPr>
        <w:pStyle w:val="ListParagraph"/>
        <w:numPr>
          <w:ilvl w:val="0"/>
          <w:numId w:val="2"/>
        </w:numPr>
        <w:spacing w:after="80"/>
      </w:pPr>
      <w:r>
        <w:rPr>
          <w:rFonts w:ascii="IBM Plex Sans" w:cs="IBM Plex Sans" w:eastAsia="IBM Plex Sans" w:hAnsi="IBM Plex Sans"/>
          <w:b/>
          <w:bCs/>
          <w:sz w:val="22"/>
          <w:szCs w:val="22"/>
        </w:rPr>
        <w:t xml:space="preserve">Meritum_Domain_05_Provider_Management.docx: </w:t>
      </w:r>
      <w:r>
        <w:rPr>
          <w:rFonts w:ascii="IBM Plex Sans" w:cs="IBM Plex Sans" w:eastAsia="IBM Plex Sans" w:hAnsi="IBM Plex Sans"/>
          <w:sz w:val="22"/>
          <w:szCs w:val="22"/>
        </w:rPr>
        <w:t xml:space="preserve">Onboarding user stories (PRV-001 through PRV-014) for Category 1 accuracy.</w:t>
      </w:r>
    </w:p>
    <w:p>
      <w:pPr>
        <w:spacing w:after="80"/>
      </w:pPr>
    </w:p>
    <w:p>
      <w:pPr>
        <w:spacing w:after="160"/>
      </w:pPr>
      <w:r>
        <w:rPr>
          <w:rFonts w:ascii="IBM Plex Sans" w:cs="IBM Plex Sans" w:eastAsia="IBM Plex Sans" w:hAnsi="IBM Plex Sans"/>
          <w:i/>
          <w:iCs/>
          <w:sz w:val="22"/>
          <w:szCs w:val="22"/>
        </w:rPr>
        <w:t xml:space="preserve">Additional domain documents (claim lifecycle, AHCIP submission, WCB submission, intelligence engine) should be attached as they become available. They will inform the technical accuracy of Categories 2–4. Do not generate content for blocked articles (see Section 4) without the corresponding FRD.</w:t>
      </w:r>
    </w:p>
    <w:p>
      <w:r>
        <w:br w:type="page"/>
      </w:r>
    </w:p>
    <w:p>
      <w:pPr>
        <w:pStyle w:val="Heading1"/>
        <w:spacing w:before="360" w:after="200"/>
      </w:pPr>
      <w:r>
        <w:rPr>
          <w:rFonts w:ascii="IBM Plex Sans" w:cs="IBM Plex Sans" w:eastAsia="IBM Plex Sans" w:hAnsi="IBM Plex Sans"/>
          <w:b/>
          <w:bCs/>
          <w:color w:val="1B2A4A"/>
          <w:sz w:val="32"/>
          <w:szCs w:val="32"/>
        </w:rPr>
        <w:t xml:space="preserve">8. Build Instructions for Claude Code</w:t>
      </w:r>
    </w:p>
    <w:p>
      <w:pPr>
        <w:spacing w:after="160"/>
      </w:pPr>
      <w:r>
        <w:rPr>
          <w:rFonts w:ascii="IBM Plex Sans" w:cs="IBM Plex Sans" w:eastAsia="IBM Plex Sans" w:hAnsi="IBM Plex Sans"/>
          <w:sz w:val="22"/>
          <w:szCs w:val="22"/>
        </w:rPr>
        <w:t xml:space="preserve">This section provides specific instructions for building the help centre content programmatically.</w:t>
      </w:r>
    </w:p>
    <w:p>
      <w:pPr>
        <w:pStyle w:val="Heading2"/>
        <w:spacing w:before="280" w:after="160"/>
      </w:pPr>
      <w:r>
        <w:rPr>
          <w:rFonts w:ascii="IBM Plex Sans" w:cs="IBM Plex Sans" w:eastAsia="IBM Plex Sans" w:hAnsi="IBM Plex Sans"/>
          <w:b/>
          <w:bCs/>
          <w:color w:val="1B2A4A"/>
          <w:sz w:val="26"/>
          <w:szCs w:val="26"/>
        </w:rPr>
        <w:t xml:space="preserve">8.1 Output Structure</w:t>
      </w:r>
    </w:p>
    <w:p>
      <w:pPr>
        <w:spacing w:after="160"/>
      </w:pPr>
      <w:r>
        <w:rPr>
          <w:rFonts w:ascii="IBM Plex Sans" w:cs="IBM Plex Sans" w:eastAsia="IBM Plex Sans" w:hAnsi="IBM Plex Sans"/>
          <w:sz w:val="22"/>
          <w:szCs w:val="22"/>
        </w:rPr>
        <w:t xml:space="preserve">Generate help centre articles as individual markdown files in the following directory structure:</w:t>
      </w:r>
    </w:p>
    <w:p>
      <w:pPr>
        <w:spacing w:after="80"/>
      </w:pPr>
    </w:p>
    <w:p>
      <w:pPr>
        <w:spacing w:after="160"/>
      </w:pPr>
      <w:r>
        <w:rPr>
          <w:rFonts w:ascii="Courier New" w:cs="Courier New" w:eastAsia="Courier New" w:hAnsi="Courier New"/>
          <w:sz w:val="20"/>
          <w:szCs w:val="20"/>
        </w:rPr>
        <w:t xml:space="preserve">help-centre/</w:t>
      </w:r>
    </w:p>
    <w:p>
      <w:pPr>
        <w:spacing w:after="160"/>
      </w:pPr>
      <w:r>
        <w:rPr>
          <w:rFonts w:ascii="Courier New" w:cs="Courier New" w:eastAsia="Courier New" w:hAnsi="Courier New"/>
          <w:sz w:val="20"/>
          <w:szCs w:val="20"/>
        </w:rPr>
        <w:t xml:space="preserve">  getting-started/</w:t>
      </w:r>
    </w:p>
    <w:p>
      <w:pPr>
        <w:spacing w:after="160"/>
      </w:pPr>
      <w:r>
        <w:rPr>
          <w:rFonts w:ascii="Courier New" w:cs="Courier New" w:eastAsia="Courier New" w:hAnsi="Courier New"/>
          <w:sz w:val="20"/>
          <w:szCs w:val="20"/>
        </w:rPr>
        <w:t xml:space="preserve">    setting-up-your-professional-profile.md</w:t>
      </w:r>
    </w:p>
    <w:p>
      <w:pPr>
        <w:spacing w:after="160"/>
      </w:pPr>
      <w:r>
        <w:rPr>
          <w:rFonts w:ascii="Courier New" w:cs="Courier New" w:eastAsia="Courier New" w:hAnsi="Courier New"/>
          <w:sz w:val="20"/>
          <w:szCs w:val="20"/>
        </w:rPr>
        <w:t xml:space="preserve">    adding-your-business-arrangement-numbers.md</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submitting-claims/</w:t>
      </w:r>
    </w:p>
    <w:p>
      <w:pPr>
        <w:spacing w:after="160"/>
      </w:pPr>
      <w:r>
        <w:rPr>
          <w:rFonts w:ascii="Courier New" w:cs="Courier New" w:eastAsia="Courier New" w:hAnsi="Courier New"/>
          <w:sz w:val="20"/>
          <w:szCs w:val="20"/>
        </w:rPr>
        <w:t xml:space="preserve">    importing-encounters-from-your-emr.md</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after-submission/</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billing-reference/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your-account/</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security-compliance/</w:t>
      </w:r>
    </w:p>
    <w:p>
      <w:pPr>
        <w:spacing w:after="160"/>
      </w:pPr>
      <w:r>
        <w:rPr>
          <w:rFonts w:ascii="Courier New" w:cs="Courier New" w:eastAsia="Courier New" w:hAnsi="Courier New"/>
          <w:sz w:val="20"/>
          <w:szCs w:val="20"/>
        </w:rPr>
        <w:t xml:space="preserve">    ...</w:t>
      </w:r>
    </w:p>
    <w:p>
      <w:pPr>
        <w:pStyle w:val="Heading2"/>
        <w:spacing w:before="280" w:after="160"/>
      </w:pPr>
      <w:r>
        <w:rPr>
          <w:rFonts w:ascii="IBM Plex Sans" w:cs="IBM Plex Sans" w:eastAsia="IBM Plex Sans" w:hAnsi="IBM Plex Sans"/>
          <w:b/>
          <w:bCs/>
          <w:color w:val="1B2A4A"/>
          <w:sz w:val="26"/>
          <w:szCs w:val="26"/>
        </w:rPr>
        <w:t xml:space="preserve">8.2 Generation Order</w:t>
      </w:r>
    </w:p>
    <w:p>
      <w:pPr>
        <w:spacing w:after="160"/>
      </w:pPr>
      <w:r>
        <w:rPr>
          <w:rFonts w:ascii="IBM Plex Sans" w:cs="IBM Plex Sans" w:eastAsia="IBM Plex Sans" w:hAnsi="IBM Plex Sans"/>
          <w:sz w:val="22"/>
          <w:szCs w:val="22"/>
        </w:rPr>
        <w:t xml:space="preserve">Build articles in priority order:</w:t>
      </w:r>
    </w:p>
    <w:p>
      <w:pPr>
        <w:spacing w:after="80"/>
      </w:pPr>
    </w:p>
    <w:p>
      <w:pPr>
        <w:pStyle w:val="ListParagraph"/>
        <w:numPr>
          <w:ilvl w:val="0"/>
          <w:numId w:val="2"/>
        </w:numPr>
        <w:spacing w:after="80"/>
      </w:pPr>
      <w:r>
        <w:rPr>
          <w:rFonts w:ascii="IBM Plex Sans" w:cs="IBM Plex Sans" w:eastAsia="IBM Plex Sans" w:hAnsi="IBM Plex Sans"/>
          <w:b/>
          <w:bCs/>
          <w:sz w:val="22"/>
          <w:szCs w:val="22"/>
        </w:rPr>
        <w:t xml:space="preserve">Pass 1: </w:t>
      </w:r>
      <w:r>
        <w:rPr>
          <w:rFonts w:ascii="IBM Plex Sans" w:cs="IBM Plex Sans" w:eastAsia="IBM Plex Sans" w:hAnsi="IBM Plex Sans"/>
          <w:sz w:val="22"/>
          <w:szCs w:val="22"/>
        </w:rPr>
        <w:t xml:space="preserve">All Tier 1 articles (Category 1 complete; Category 2 core articles). Skip any article marked as blocked in Section 4.</w:t>
      </w:r>
    </w:p>
    <w:p>
      <w:pPr>
        <w:pStyle w:val="ListParagraph"/>
        <w:numPr>
          <w:ilvl w:val="0"/>
          <w:numId w:val="2"/>
        </w:numPr>
        <w:spacing w:after="80"/>
      </w:pPr>
      <w:r>
        <w:rPr>
          <w:rFonts w:ascii="IBM Plex Sans" w:cs="IBM Plex Sans" w:eastAsia="IBM Plex Sans" w:hAnsi="IBM Plex Sans"/>
          <w:b/>
          <w:bCs/>
          <w:sz w:val="22"/>
          <w:szCs w:val="22"/>
        </w:rPr>
        <w:t xml:space="preserve">Pass 2: </w:t>
      </w:r>
      <w:r>
        <w:rPr>
          <w:rFonts w:ascii="IBM Plex Sans" w:cs="IBM Plex Sans" w:eastAsia="IBM Plex Sans" w:hAnsi="IBM Plex Sans"/>
          <w:sz w:val="22"/>
          <w:szCs w:val="22"/>
        </w:rPr>
        <w:t xml:space="preserve">All Tier 2 articles (Categories 3 and 5; remaining Category 2 articles). Skip blocked articles.</w:t>
      </w:r>
    </w:p>
    <w:p>
      <w:pPr>
        <w:pStyle w:val="ListParagraph"/>
        <w:numPr>
          <w:ilvl w:val="0"/>
          <w:numId w:val="2"/>
        </w:numPr>
        <w:spacing w:after="80"/>
      </w:pPr>
      <w:r>
        <w:rPr>
          <w:rFonts w:ascii="IBM Plex Sans" w:cs="IBM Plex Sans" w:eastAsia="IBM Plex Sans" w:hAnsi="IBM Plex Sans"/>
          <w:b/>
          <w:bCs/>
          <w:sz w:val="22"/>
          <w:szCs w:val="22"/>
        </w:rPr>
        <w:t xml:space="preserve">Pass 3: </w:t>
      </w:r>
      <w:r>
        <w:rPr>
          <w:rFonts w:ascii="IBM Plex Sans" w:cs="IBM Plex Sans" w:eastAsia="IBM Plex Sans" w:hAnsi="IBM Plex Sans"/>
          <w:sz w:val="22"/>
          <w:szCs w:val="22"/>
        </w:rPr>
        <w:t xml:space="preserve">All Tier 3 articles (Categories 4 and 6). Skip blocked articles.</w:t>
      </w:r>
    </w:p>
    <w:p>
      <w:pPr>
        <w:spacing w:after="80"/>
      </w:pPr>
    </w:p>
    <w:p>
      <w:pPr>
        <w:spacing w:after="160"/>
      </w:pPr>
      <w:r>
        <w:rPr>
          <w:rFonts w:ascii="IBM Plex Sans" w:cs="IBM Plex Sans" w:eastAsia="IBM Plex Sans" w:hAnsi="IBM Plex Sans"/>
          <w:sz w:val="22"/>
          <w:szCs w:val="22"/>
        </w:rPr>
        <w:t xml:space="preserve">For each article, generate the full markdown file including front matter. Do not generate stub files, placeholder content, or “coming soon” articles. If an article cannot be written accurately because its source FRD is missing, skip it entirely and log it as blocked.</w:t>
      </w:r>
    </w:p>
    <w:p>
      <w:pPr>
        <w:pStyle w:val="Heading2"/>
        <w:spacing w:before="280" w:after="160"/>
      </w:pPr>
      <w:r>
        <w:rPr>
          <w:rFonts w:ascii="IBM Plex Sans" w:cs="IBM Plex Sans" w:eastAsia="IBM Plex Sans" w:hAnsi="IBM Plex Sans"/>
          <w:b/>
          <w:bCs/>
          <w:color w:val="1B2A4A"/>
          <w:sz w:val="26"/>
          <w:szCs w:val="26"/>
        </w:rPr>
        <w:t xml:space="preserve">8.3 Content Generation Rules</w:t>
      </w:r>
    </w:p>
    <w:p>
      <w:pPr>
        <w:pStyle w:val="ListParagraph"/>
        <w:numPr>
          <w:ilvl w:val="0"/>
          <w:numId w:val="2"/>
        </w:numPr>
        <w:spacing w:after="80"/>
      </w:pPr>
      <w:r>
        <w:rPr>
          <w:rFonts w:ascii="IBM Plex Sans" w:cs="IBM Plex Sans" w:eastAsia="IBM Plex Sans" w:hAnsi="IBM Plex Sans"/>
          <w:sz w:val="22"/>
          <w:szCs w:val="22"/>
        </w:rPr>
        <w:t xml:space="preserve">Each article must be self-contained. A physician arriving from a search engine should understand it without context.</w:t>
      </w:r>
    </w:p>
    <w:p>
      <w:pPr>
        <w:pStyle w:val="ListParagraph"/>
        <w:numPr>
          <w:ilvl w:val="0"/>
          <w:numId w:val="2"/>
        </w:numPr>
        <w:spacing w:after="80"/>
      </w:pPr>
      <w:r>
        <w:rPr>
          <w:rFonts w:ascii="IBM Plex Sans" w:cs="IBM Plex Sans" w:eastAsia="IBM Plex Sans" w:hAnsi="IBM Plex Sans"/>
          <w:sz w:val="22"/>
          <w:szCs w:val="22"/>
        </w:rPr>
        <w:t xml:space="preserve">Lead with the answer or the key concept. Do not open with background paragraphs.</w:t>
      </w:r>
    </w:p>
    <w:p>
      <w:pPr>
        <w:pStyle w:val="ListParagraph"/>
        <w:numPr>
          <w:ilvl w:val="0"/>
          <w:numId w:val="2"/>
        </w:numPr>
        <w:spacing w:after="80"/>
      </w:pPr>
      <w:r>
        <w:rPr>
          <w:rFonts w:ascii="IBM Plex Sans" w:cs="IBM Plex Sans" w:eastAsia="IBM Plex Sans" w:hAnsi="IBM Plex Sans"/>
          <w:sz w:val="22"/>
          <w:szCs w:val="22"/>
        </w:rPr>
        <w:t xml:space="preserve">Use numbered steps for procedural content. Use prose paragraphs for conceptual content.</w:t>
      </w:r>
    </w:p>
    <w:p>
      <w:pPr>
        <w:pStyle w:val="ListParagraph"/>
        <w:numPr>
          <w:ilvl w:val="0"/>
          <w:numId w:val="2"/>
        </w:numPr>
        <w:spacing w:after="80"/>
      </w:pPr>
      <w:r>
        <w:rPr>
          <w:rFonts w:ascii="IBM Plex Sans" w:cs="IBM Plex Sans" w:eastAsia="IBM Plex Sans" w:hAnsi="IBM Plex Sans"/>
          <w:sz w:val="22"/>
          <w:szCs w:val="22"/>
        </w:rPr>
        <w:t xml:space="preserve">Spell out all abbreviations on first use: Alberta Health Care Insurance Plan (AHCIP), Workers’ Compensation Board (WCB), etc.</w:t>
      </w:r>
    </w:p>
    <w:p>
      <w:pPr>
        <w:pStyle w:val="ListParagraph"/>
        <w:numPr>
          <w:ilvl w:val="0"/>
          <w:numId w:val="2"/>
        </w:numPr>
        <w:spacing w:after="80"/>
      </w:pPr>
      <w:r>
        <w:rPr>
          <w:rFonts w:ascii="IBM Plex Sans" w:cs="IBM Plex Sans" w:eastAsia="IBM Plex Sans" w:hAnsi="IBM Plex Sans"/>
          <w:sz w:val="22"/>
          <w:szCs w:val="22"/>
        </w:rPr>
        <w:t xml:space="preserve">Match the word counts in Section 3.1: 300–600 words for procedural articles, 600–1,000 for reference articles.</w:t>
      </w:r>
    </w:p>
    <w:p>
      <w:pPr>
        <w:pStyle w:val="ListParagraph"/>
        <w:numPr>
          <w:ilvl w:val="0"/>
          <w:numId w:val="2"/>
        </w:numPr>
        <w:spacing w:after="80"/>
      </w:pPr>
      <w:r>
        <w:rPr>
          <w:rFonts w:ascii="IBM Plex Sans" w:cs="IBM Plex Sans" w:eastAsia="IBM Plex Sans" w:hAnsi="IBM Plex Sans"/>
          <w:sz w:val="22"/>
          <w:szCs w:val="22"/>
        </w:rPr>
        <w:t xml:space="preserve">Include cross-links as markdown links using relative paths (e.g., [submission preferences](/help-centre/submitting-claims/submission-preferences-explained)).</w:t>
      </w:r>
    </w:p>
    <w:p>
      <w:pPr>
        <w:pStyle w:val="ListParagraph"/>
        <w:numPr>
          <w:ilvl w:val="0"/>
          <w:numId w:val="2"/>
        </w:numPr>
        <w:spacing w:after="80"/>
      </w:pPr>
      <w:r>
        <w:rPr>
          <w:rFonts w:ascii="IBM Plex Sans" w:cs="IBM Plex Sans" w:eastAsia="IBM Plex Sans" w:hAnsi="IBM Plex Sans"/>
          <w:sz w:val="22"/>
          <w:szCs w:val="22"/>
        </w:rPr>
        <w:t xml:space="preserve">Do not fabricate specific SOMB codes, fee amounts, WCB rates, or RRNP community lists. Reference these by description and link to the official Alberta Health or WCB source.</w:t>
      </w:r>
    </w:p>
    <w:p>
      <w:pPr>
        <w:pStyle w:val="ListParagraph"/>
        <w:numPr>
          <w:ilvl w:val="0"/>
          <w:numId w:val="2"/>
        </w:numPr>
        <w:spacing w:after="80"/>
      </w:pPr>
      <w:r>
        <w:rPr>
          <w:rFonts w:ascii="IBM Plex Sans" w:cs="IBM Plex Sans" w:eastAsia="IBM Plex Sans" w:hAnsi="IBM Plex Sans"/>
          <w:sz w:val="22"/>
          <w:szCs w:val="22"/>
        </w:rPr>
        <w:t xml:space="preserve">Do not use em dashes anywhere. Use semicolons, colons, or separate sentences.</w:t>
      </w:r>
    </w:p>
    <w:p>
      <w:pPr>
        <w:pStyle w:val="ListParagraph"/>
        <w:numPr>
          <w:ilvl w:val="0"/>
          <w:numId w:val="2"/>
        </w:numPr>
        <w:spacing w:after="80"/>
      </w:pPr>
      <w:r>
        <w:rPr>
          <w:rFonts w:ascii="IBM Plex Sans" w:cs="IBM Plex Sans" w:eastAsia="IBM Plex Sans" w:hAnsi="IBM Plex Sans"/>
          <w:sz w:val="22"/>
          <w:szCs w:val="22"/>
        </w:rPr>
        <w:t xml:space="preserve">Do not use marketing language, competitive comparisons, or pricing pitches.</w:t>
      </w:r>
    </w:p>
    <w:p>
      <w:pPr>
        <w:pStyle w:val="ListParagraph"/>
        <w:numPr>
          <w:ilvl w:val="0"/>
          <w:numId w:val="2"/>
        </w:numPr>
        <w:spacing w:after="80"/>
      </w:pPr>
      <w:r>
        <w:rPr>
          <w:rFonts w:ascii="IBM Plex Sans" w:cs="IBM Plex Sans" w:eastAsia="IBM Plex Sans" w:hAnsi="IBM Plex Sans"/>
          <w:sz w:val="22"/>
          <w:szCs w:val="22"/>
        </w:rPr>
        <w:t xml:space="preserve">Write in a direct, knowledgeable tone. Avoid filler phrases and forced transitions. The goal is a knowledgeable colleague, not a chatbot.</w:t>
      </w:r>
    </w:p>
    <w:p>
      <w:pPr>
        <w:pStyle w:val="Heading2"/>
        <w:spacing w:before="280" w:after="160"/>
      </w:pPr>
      <w:r>
        <w:rPr>
          <w:rFonts w:ascii="IBM Plex Sans" w:cs="IBM Plex Sans" w:eastAsia="IBM Plex Sans" w:hAnsi="IBM Plex Sans"/>
          <w:b/>
          <w:bCs/>
          <w:color w:val="1B2A4A"/>
          <w:sz w:val="26"/>
          <w:szCs w:val="26"/>
        </w:rPr>
        <w:t xml:space="preserve">8.4 Quality Checks</w:t>
      </w:r>
    </w:p>
    <w:p>
      <w:pPr>
        <w:spacing w:after="160"/>
      </w:pPr>
      <w:r>
        <w:rPr>
          <w:rFonts w:ascii="IBM Plex Sans" w:cs="IBM Plex Sans" w:eastAsia="IBM Plex Sans" w:hAnsi="IBM Plex Sans"/>
          <w:sz w:val="22"/>
          <w:szCs w:val="22"/>
        </w:rPr>
        <w:t xml:space="preserve">After generating each article, verify:</w:t>
      </w:r>
    </w:p>
    <w:p>
      <w:pPr>
        <w:spacing w:after="80"/>
      </w:pPr>
    </w:p>
    <w:p>
      <w:pPr>
        <w:pStyle w:val="ListParagraph"/>
        <w:numPr>
          <w:ilvl w:val="0"/>
          <w:numId w:val="2"/>
        </w:numPr>
        <w:spacing w:after="80"/>
      </w:pPr>
      <w:r>
        <w:rPr>
          <w:rFonts w:ascii="IBM Plex Sans" w:cs="IBM Plex Sans" w:eastAsia="IBM Plex Sans" w:hAnsi="IBM Plex Sans"/>
          <w:sz w:val="22"/>
          <w:szCs w:val="22"/>
        </w:rPr>
        <w:t xml:space="preserve">Front matter is complete (all fields from Section 5.1 present).</w:t>
      </w:r>
    </w:p>
    <w:p>
      <w:pPr>
        <w:pStyle w:val="ListParagraph"/>
        <w:numPr>
          <w:ilvl w:val="0"/>
          <w:numId w:val="2"/>
        </w:numPr>
        <w:spacing w:after="80"/>
      </w:pPr>
      <w:r>
        <w:rPr>
          <w:rFonts w:ascii="IBM Plex Sans" w:cs="IBM Plex Sans" w:eastAsia="IBM Plex Sans" w:hAnsi="IBM Plex Sans"/>
          <w:sz w:val="22"/>
          <w:szCs w:val="22"/>
        </w:rPr>
        <w:t xml:space="preserve">No em dashes appear anywhere in the file.</w:t>
      </w:r>
    </w:p>
    <w:p>
      <w:pPr>
        <w:pStyle w:val="ListParagraph"/>
        <w:numPr>
          <w:ilvl w:val="0"/>
          <w:numId w:val="2"/>
        </w:numPr>
        <w:spacing w:after="80"/>
      </w:pPr>
      <w:r>
        <w:rPr>
          <w:rFonts w:ascii="IBM Plex Sans" w:cs="IBM Plex Sans" w:eastAsia="IBM Plex Sans" w:hAnsi="IBM Plex Sans"/>
          <w:sz w:val="22"/>
          <w:szCs w:val="22"/>
        </w:rPr>
        <w:t xml:space="preserve">No placeholder or “coming soon” language.</w:t>
      </w:r>
    </w:p>
    <w:p>
      <w:pPr>
        <w:pStyle w:val="ListParagraph"/>
        <w:numPr>
          <w:ilvl w:val="0"/>
          <w:numId w:val="2"/>
        </w:numPr>
        <w:spacing w:after="80"/>
      </w:pPr>
      <w:r>
        <w:rPr>
          <w:rFonts w:ascii="IBM Plex Sans" w:cs="IBM Plex Sans" w:eastAsia="IBM Plex Sans" w:hAnsi="IBM Plex Sans"/>
          <w:sz w:val="22"/>
          <w:szCs w:val="22"/>
        </w:rPr>
        <w:t xml:space="preserve">Abbreviations are spelled out on first use.</w:t>
      </w:r>
    </w:p>
    <w:p>
      <w:pPr>
        <w:pStyle w:val="ListParagraph"/>
        <w:numPr>
          <w:ilvl w:val="0"/>
          <w:numId w:val="2"/>
        </w:numPr>
        <w:spacing w:after="80"/>
      </w:pPr>
      <w:r>
        <w:rPr>
          <w:rFonts w:ascii="IBM Plex Sans" w:cs="IBM Plex Sans" w:eastAsia="IBM Plex Sans" w:hAnsi="IBM Plex Sans"/>
          <w:sz w:val="22"/>
          <w:szCs w:val="22"/>
        </w:rPr>
        <w:t xml:space="preserve">Word count falls within the target range for the article type.</w:t>
      </w:r>
    </w:p>
    <w:p>
      <w:pPr>
        <w:pStyle w:val="ListParagraph"/>
        <w:numPr>
          <w:ilvl w:val="0"/>
          <w:numId w:val="2"/>
        </w:numPr>
        <w:spacing w:after="80"/>
      </w:pPr>
      <w:r>
        <w:rPr>
          <w:rFonts w:ascii="IBM Plex Sans" w:cs="IBM Plex Sans" w:eastAsia="IBM Plex Sans" w:hAnsi="IBM Plex Sans"/>
          <w:sz w:val="22"/>
          <w:szCs w:val="22"/>
        </w:rPr>
        <w:t xml:space="preserve">Cross-links point to articles that exist (or will exist in the same pass).</w:t>
      </w:r>
    </w:p>
    <w:p>
      <w:pPr>
        <w:pStyle w:val="ListParagraph"/>
        <w:numPr>
          <w:ilvl w:val="0"/>
          <w:numId w:val="2"/>
        </w:numPr>
        <w:spacing w:after="80"/>
      </w:pPr>
      <w:r>
        <w:rPr>
          <w:rFonts w:ascii="IBM Plex Sans" w:cs="IBM Plex Sans" w:eastAsia="IBM Plex Sans" w:hAnsi="IBM Plex Sans"/>
          <w:sz w:val="22"/>
          <w:szCs w:val="22"/>
        </w:rPr>
        <w:t xml:space="preserve">No copyrighted rate tables or fee schedules are reproduced.</w:t>
      </w:r>
    </w:p>
    <w:p>
      <w:pPr>
        <w:pStyle w:val="ListParagraph"/>
        <w:numPr>
          <w:ilvl w:val="0"/>
          <w:numId w:val="2"/>
        </w:numPr>
        <w:spacing w:after="80"/>
      </w:pPr>
      <w:r>
        <w:rPr>
          <w:rFonts w:ascii="IBM Plex Sans" w:cs="IBM Plex Sans" w:eastAsia="IBM Plex Sans" w:hAnsi="IBM Plex Sans"/>
          <w:sz w:val="22"/>
          <w:szCs w:val="22"/>
        </w:rPr>
        <w:t xml:space="preserve">The article reads naturally and does not sound AI-generated.</w:t>
      </w:r>
    </w:p>
    <w:p>
      <w:pPr>
        <w:spacing w:after="80"/>
      </w:pPr>
    </w:p>
    <w:p>
      <w:pPr>
        <w:spacing w:after="80"/>
      </w:pPr>
    </w:p>
    <w:p>
      <w:pPr>
        <w:spacing w:before="400"/>
      </w:pPr>
      <w:r>
        <w:rPr>
          <w:rFonts w:ascii="IBM Plex Sans" w:cs="IBM Plex Sans" w:eastAsia="IBM Plex Sans" w:hAnsi="IBM Plex Sans"/>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BM Plex Sans" w:cs="IBM Plex Sans" w:eastAsia="IBM Plex Sans" w:hAnsi="IBM Plex Sans"/>
      <w:b/>
      <w:bCs/>
      <w:color w:val="1B2A4A"/>
      <w:sz w:val="32"/>
      <w:szCs w:val="32"/>
    </w:rPr>
  </w:style>
  <w:style w:type="paragraph" w:styleId="Heading2">
    <w:name w:val="Heading 2"/>
    <w:basedOn w:val="Normal"/>
    <w:next w:val="Normal"/>
    <w:qFormat/>
    <w:pPr>
      <w:spacing w:before="280" w:after="160"/>
      <w:outlineLvl w:val="1"/>
    </w:pPr>
    <w:rPr>
      <w:rFonts w:ascii="IBM Plex Sans" w:cs="IBM Plex Sans" w:eastAsia="IBM Plex Sans" w:hAnsi="IBM Plex Sans"/>
      <w:b/>
      <w:bCs/>
      <w:color w:val="1B2A4A"/>
      <w:sz w:val="26"/>
      <w:szCs w:val="26"/>
    </w:rPr>
  </w:style>
  <w:style w:type="paragraph" w:styleId="Heading3">
    <w:name w:val="Heading 3"/>
    <w:basedOn w:val="Normal"/>
    <w:next w:val="Normal"/>
    <w:qFormat/>
    <w:pPr>
      <w:spacing w:before="240" w:after="120"/>
      <w:outlineLvl w:val="2"/>
    </w:pPr>
    <w:rPr>
      <w:rFonts w:ascii="IBM Plex Sans" w:cs="IBM Plex Sans" w:eastAsia="IBM Plex Sans" w:hAnsi="IBM Plex Sans"/>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2026-02-25T16:22:24.858Z</dcterms:created>
  <dcterms:modified xsi:type="dcterms:W3CDTF">2026-02-25T16:22:24.860Z</dcterms:modified>
</cp:coreProperties>
</file>

<file path=docProps/custom.xml><?xml version="1.0" encoding="utf-8"?>
<Properties xmlns="http://schemas.openxmlformats.org/officeDocument/2006/custom-properties" xmlns:vt="http://schemas.openxmlformats.org/officeDocument/2006/docPropsVTypes"/>
</file>