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pPr>
      <w:r>
        <w:rPr>
          <w:rFonts w:ascii="Arial" w:cs="Arial" w:eastAsia="Arial" w:hAnsi="Arial"/>
          <w:b/>
          <w:bCs/>
          <w:color w:val="C2973E"/>
          <w:sz w:val="20"/>
          <w:szCs w:val="20"/>
        </w:rPr>
        <w:t xml:space="preserve">MERITUM HEALTH TECHNOLOGIES LTD.</w:t>
      </w:r>
    </w:p>
    <w:p>
      <w:pPr>
        <w:pBdr>
          <w:bottom w:val="single" w:color="1B2A4A" w:sz="6" w:space="8"/>
        </w:pBdr>
        <w:spacing w:after="80"/>
      </w:pPr>
      <w:r>
        <w:rPr>
          <w:rFonts w:ascii="Arial" w:cs="Arial" w:eastAsia="Arial" w:hAnsi="Arial"/>
          <w:b/>
          <w:bCs/>
          <w:color w:val="1B2A4A"/>
          <w:sz w:val="48"/>
          <w:szCs w:val="48"/>
        </w:rPr>
        <w:t xml:space="preserve">MVP Feature Set</w:t>
      </w:r>
    </w:p>
    <w:p>
      <w:pPr>
        <w:spacing w:before="200" w:after="600"/>
      </w:pPr>
      <w:r>
        <w:rPr>
          <w:rFonts w:ascii="Arial" w:cs="Arial" w:eastAsia="Arial" w:hAnsi="Arial"/>
          <w:color w:val="C2973E"/>
          <w:sz w:val="32"/>
          <w:szCs w:val="32"/>
        </w:rPr>
        <w:t xml:space="preserve">Functionality Document</w:t>
      </w:r>
    </w:p>
    <w:p>
      <w:pPr>
        <w:spacing w:after="120"/>
      </w:pPr>
      <w:r>
        <w:rPr>
          <w:rFonts w:ascii="Arial" w:cs="Arial" w:eastAsia="Arial" w:hAnsi="Arial"/>
          <w:b/>
          <w:bCs/>
          <w:sz w:val="20"/>
          <w:szCs w:val="20"/>
        </w:rPr>
        <w:t xml:space="preserve">Document ID: </w:t>
      </w:r>
      <w:r>
        <w:rPr>
          <w:rFonts w:ascii="Arial" w:cs="Arial" w:eastAsia="Arial" w:hAnsi="Arial"/>
          <w:sz w:val="20"/>
          <w:szCs w:val="20"/>
        </w:rPr>
        <w:t xml:space="preserve">MHT-FUNC-MVP-002</w:t>
      </w:r>
    </w:p>
    <w:p>
      <w:pPr>
        <w:spacing w:after="120"/>
      </w:pPr>
      <w:r>
        <w:rPr>
          <w:rFonts w:ascii="Arial" w:cs="Arial" w:eastAsia="Arial" w:hAnsi="Arial"/>
          <w:b/>
          <w:bCs/>
          <w:sz w:val="20"/>
          <w:szCs w:val="20"/>
        </w:rPr>
        <w:t xml:space="preserve">Version: </w:t>
      </w:r>
      <w:r>
        <w:rPr>
          <w:rFonts w:ascii="Arial" w:cs="Arial" w:eastAsia="Arial" w:hAnsi="Arial"/>
          <w:sz w:val="20"/>
          <w:szCs w:val="20"/>
        </w:rPr>
        <w:t xml:space="preserve">2.0 DRAFT</w:t>
      </w:r>
    </w:p>
    <w:p>
      <w:pPr>
        <w:spacing w:after="120"/>
      </w:pPr>
      <w:r>
        <w:rPr>
          <w:rFonts w:ascii="Arial" w:cs="Arial" w:eastAsia="Arial" w:hAnsi="Arial"/>
          <w:b/>
          <w:bCs/>
          <w:sz w:val="20"/>
          <w:szCs w:val="20"/>
        </w:rPr>
        <w:t xml:space="preserve">Date: </w:t>
      </w:r>
      <w:r>
        <w:rPr>
          <w:rFonts w:ascii="Arial" w:cs="Arial" w:eastAsia="Arial" w:hAnsi="Arial"/>
          <w:sz w:val="20"/>
          <w:szCs w:val="20"/>
        </w:rPr>
        <w:t xml:space="preserve">25 February 2026</w:t>
      </w:r>
    </w:p>
    <w:p>
      <w:pPr>
        <w:spacing w:after="120"/>
      </w:pPr>
      <w:r>
        <w:rPr>
          <w:rFonts w:ascii="Arial" w:cs="Arial" w:eastAsia="Arial" w:hAnsi="Arial"/>
          <w:b/>
          <w:bCs/>
          <w:sz w:val="20"/>
          <w:szCs w:val="20"/>
        </w:rPr>
        <w:t xml:space="preserve">Author: </w:t>
      </w:r>
      <w:r>
        <w:rPr>
          <w:rFonts w:ascii="Arial" w:cs="Arial" w:eastAsia="Arial" w:hAnsi="Arial"/>
          <w:sz w:val="20"/>
          <w:szCs w:val="20"/>
        </w:rPr>
        <w:t xml:space="preserve">Meritum Product &amp; Engineering</w:t>
      </w:r>
    </w:p>
    <w:p>
      <w:pPr>
        <w:spacing w:after="120"/>
      </w:pPr>
      <w:r>
        <w:rPr>
          <w:rFonts w:ascii="Arial" w:cs="Arial" w:eastAsia="Arial" w:hAnsi="Arial"/>
          <w:b/>
          <w:bCs/>
          <w:sz w:val="20"/>
          <w:szCs w:val="20"/>
        </w:rPr>
        <w:t xml:space="preserve">Classification: </w:t>
      </w:r>
      <w:r>
        <w:rPr>
          <w:rFonts w:ascii="Arial" w:cs="Arial" w:eastAsia="Arial" w:hAnsi="Arial"/>
          <w:sz w:val="20"/>
          <w:szCs w:val="20"/>
        </w:rPr>
        <w:t xml:space="preserve">Internal / Confidential</w:t>
      </w:r>
    </w:p>
    <w:p>
      <w:pPr>
        <w:spacing w:after="120"/>
      </w:pPr>
      <w:r>
        <w:rPr>
          <w:rFonts w:ascii="Arial" w:cs="Arial" w:eastAsia="Arial" w:hAnsi="Arial"/>
          <w:b/>
          <w:bCs/>
          <w:sz w:val="20"/>
          <w:szCs w:val="20"/>
        </w:rPr>
        <w:t xml:space="preserve">Related: </w:t>
      </w:r>
      <w:r>
        <w:rPr>
          <w:rFonts w:ascii="Arial" w:cs="Arial" w:eastAsia="Arial" w:hAnsi="Arial"/>
          <w:sz w:val="20"/>
          <w:szCs w:val="20"/>
        </w:rPr>
        <w:t xml:space="preserve">MHT-FUNC-CC-001 (Connect Care / SCC Integration)</w:t>
      </w:r>
    </w:p>
    <w:p>
      <w:pPr>
        <w:spacing w:before="800"/>
      </w:pPr>
    </w:p>
    <w:p>
      <w:pPr>
        <w:spacing w:after="120"/>
      </w:pPr>
      <w:r>
        <w:rPr>
          <w:rFonts w:ascii="Arial" w:cs="Arial" w:eastAsia="Arial" w:hAnsi="Arial"/>
          <w:b/>
          <w:bCs/>
          <w:sz w:val="20"/>
          <w:szCs w:val="20"/>
        </w:rPr>
        <w:t xml:space="preserve">Purpose: </w:t>
      </w:r>
      <w:r>
        <w:rPr>
          <w:rFonts w:ascii="Arial" w:cs="Arial" w:eastAsia="Arial" w:hAnsi="Arial"/>
          <w:sz w:val="20"/>
          <w:szCs w:val="20"/>
        </w:rPr>
        <w:t xml:space="preserve">This document defines functional requirements for eleven MVP features organised in two parts. Part A covers core billing features: Referral Provider Search, PHN/Eligibility Verification, Invoice Templates &amp; Favourites, Revenue Optimisation Alerts, ARP/APP Shadow Billing, and In-App Billing Guidance. Part B covers advanced billing logic: Anesthesia Benefit Calculations, Reciprocal (Out-of-Province) Billing, Multi-Procedure Bundling/Unbundling, Mixed FFS/ARP Smart Routing, and Text Justification Templates.</w:t>
      </w:r>
    </w:p>
    <w:p>
      <w:r>
        <w:br w:type="page"/>
      </w:r>
    </w:p>
    <w:p>
      <w:pPr>
        <w:sectPr>
          <w:pgSz w:w="12240" w:h="15840" w:orient="portrait"/>
          <w:pgMar w:top="1440" w:right="1440" w:bottom="1440" w:left="1440" w:header="708" w:footer="708" w:gutter="0"/>
          <w:pgNumType/>
          <w:docGrid w:linePitch="360"/>
        </w:sectPr>
      </w:pPr>
    </w:p>
    <w:p>
      <w:pPr>
        <w:pStyle w:val="Heading1"/>
      </w:pPr>
      <w:r>
        <w:t xml:space="preserve">1. Introduction and Scope</w:t>
      </w:r>
    </w:p>
    <w:p>
      <w:pPr>
        <w:spacing w:after="120"/>
      </w:pPr>
      <w:r>
        <w:rPr>
          <w:rFonts w:ascii="Arial" w:cs="Arial" w:eastAsia="Arial" w:hAnsi="Arial"/>
          <w:sz w:val="20"/>
          <w:szCs w:val="20"/>
        </w:rPr>
        <w:t xml:space="preserve">This document defines the functional requirements for eleven features identified as must-haves for Meritum’s MVP release. These features were selected through competitive analysis against the Alberta medical billing market (particularly ResolvMD, Dr.Bill, and ClinicAid) and an assessment of what a physician evaluating Meritum would consider baseline functionality.</w:t>
      </w:r>
    </w:p>
    <w:p>
      <w:pPr>
        <w:spacing w:after="120"/>
      </w:pPr>
      <w:r>
        <w:rPr>
          <w:rFonts w:ascii="Arial" w:cs="Arial" w:eastAsia="Arial" w:hAnsi="Arial"/>
          <w:sz w:val="20"/>
          <w:szCs w:val="20"/>
        </w:rPr>
        <w:t xml:space="preserve">Each section is intended to serve as the foundation for a standalone FRD. The features are organised into two groups:</w:t>
      </w:r>
    </w:p>
    <w:p>
      <w:pPr>
        <w:spacing w:after="120"/>
      </w:pPr>
      <w:r>
        <w:rPr>
          <w:rFonts w:ascii="Arial" w:cs="Arial" w:eastAsia="Arial" w:hAnsi="Arial"/>
          <w:b/>
          <w:bCs/>
          <w:sz w:val="20"/>
          <w:szCs w:val="20"/>
        </w:rPr>
        <w:t xml:space="preserve">Core Billing Features: </w:t>
      </w:r>
      <w:r>
        <w:rPr>
          <w:rFonts w:ascii="Arial" w:cs="Arial" w:eastAsia="Arial" w:hAnsi="Arial"/>
          <w:sz w:val="20"/>
          <w:szCs w:val="20"/>
        </w:rPr>
        <w:t xml:space="preserve">(1) Referral Provider Search, (2) PHN / Eligibility Verification, (3) Invoice Templates and Favourites, (4) Revenue Optimisation Alerts, (5) ARP / APP Shadow Billing Support, (6) In-App Billing Guidance.</w:t>
      </w:r>
    </w:p>
    <w:p>
      <w:pPr>
        <w:spacing w:after="120"/>
      </w:pPr>
      <w:r>
        <w:rPr>
          <w:rFonts w:ascii="Arial" w:cs="Arial" w:eastAsia="Arial" w:hAnsi="Arial"/>
          <w:b/>
          <w:bCs/>
          <w:sz w:val="20"/>
          <w:szCs w:val="20"/>
        </w:rPr>
        <w:t xml:space="preserve">Advanced Billing Logic: </w:t>
      </w:r>
      <w:r>
        <w:rPr>
          <w:rFonts w:ascii="Arial" w:cs="Arial" w:eastAsia="Arial" w:hAnsi="Arial"/>
          <w:sz w:val="20"/>
          <w:szCs w:val="20"/>
        </w:rPr>
        <w:t xml:space="preserve">(7) Anesthesia Benefit Calculations, (8) Reciprocal (Out-of-Province) Billing, (9) Multi-Procedure Bundling and Unbundling, (10) Mixed FFS/ARP Smart Routing, (11) Text Justification Templates.</w:t>
      </w:r>
    </w:p>
    <w:p>
      <w:pPr>
        <w:spacing w:after="120"/>
      </w:pPr>
      <w:r>
        <w:rPr>
          <w:rFonts w:ascii="Arial" w:cs="Arial" w:eastAsia="Arial" w:hAnsi="Arial"/>
          <w:sz w:val="20"/>
          <w:szCs w:val="20"/>
        </w:rPr>
        <w:t xml:space="preserve">These features are in addition to the Connect Care / SCC Integration (MHT-FUNC-CC-001) and the core claim lifecycle, H-Link submission, and WCB submission capabilities already defined in existing FRDs.</w:t>
      </w:r>
    </w:p>
    <w:p>
      <w:r>
        <w:br w:type="page"/>
      </w:r>
    </w:p>
    <w:p>
      <w:pPr>
        <w:spacing w:before="200" w:after="300"/>
      </w:pPr>
      <w:r>
        <w:rPr>
          <w:rFonts w:ascii="Arial" w:cs="Arial" w:eastAsia="Arial" w:hAnsi="Arial"/>
          <w:b/>
          <w:bCs/>
          <w:color w:val="C2973E"/>
          <w:sz w:val="28"/>
          <w:szCs w:val="28"/>
        </w:rPr>
        <w:t xml:space="preserve">PART A: CORE BILLING FEATURES</w:t>
      </w:r>
    </w:p>
    <w:p>
      <w:pPr>
        <w:pStyle w:val="Heading1"/>
      </w:pPr>
      <w:r>
        <w:t xml:space="preserve">2. Referral Provider Search</w:t>
      </w:r>
    </w:p>
    <w:p>
      <w:pPr>
        <w:pStyle w:val="Heading2"/>
      </w:pPr>
      <w:r>
        <w:t xml:space="preserve">2.1 Context</w:t>
      </w:r>
    </w:p>
    <w:p>
      <w:pPr>
        <w:spacing w:after="120"/>
      </w:pPr>
      <w:r>
        <w:rPr>
          <w:rFonts w:ascii="Arial" w:cs="Arial" w:eastAsia="Arial" w:hAnsi="Arial"/>
          <w:sz w:val="20"/>
          <w:szCs w:val="20"/>
        </w:rPr>
        <w:t xml:space="preserve">Alberta Health requires that claims for specialist consultations include the referring physician’s Practitioner ID. Claims submitted without a valid referral provider number are rejected outright. This is one of the most common rejection reasons for specialists, and ClinicAid already handles it with built-in referral provider search fields drawn from Alberta Health’s provider registry.</w:t>
      </w:r>
    </w:p>
    <w:p>
      <w:pPr>
        <w:spacing w:after="120"/>
      </w:pPr>
      <w:r>
        <w:rPr>
          <w:rFonts w:ascii="Arial" w:cs="Arial" w:eastAsia="Arial" w:hAnsi="Arial"/>
          <w:sz w:val="20"/>
          <w:szCs w:val="20"/>
        </w:rPr>
        <w:t xml:space="preserve">For Meritum’s target market of rural specialists, this is non-negotiable. A specialist billing without a referral number lookup will generate rejection volume in their first week that destroys confidence in the platform.</w:t>
      </w:r>
    </w:p>
    <w:p>
      <w:pPr>
        <w:pStyle w:val="Heading2"/>
      </w:pPr>
      <w:r>
        <w:t xml:space="preserve">2.2 Data 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Field / Element</w:t>
            </w:r>
          </w:p>
        </w:tc>
        <w:tc>
          <w:tcPr>
            <w:tcW w:type="dxa" w:w="6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Alberta Health Provider Registry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 authoritative source of Practitioner IDs, BA Numbers, and practice status. Updated by Alberta Health. Data is typically obtained through Alberta Health’s data distribution channels or H-Link inquiry transactions.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Provincial Provider Registry (PPR)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Maintained under the Health Professions Act. Contains regulated health professional information sourced from the CPSA and other colleges. Each provider is assigned a Health Services Provider Identifier (HSPID).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CPSA Physician Directory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Publicly searchable directory (search.cpsa.ca) with physician name, practice discipline, practice location, and registration status. Does not include Practitioner IDs but is useful for verification.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Alberta Referral Directory (ARD)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AHS-maintained directory (albertareferraldirectory.ca) of consulting physicians and referral-accepting services. Includes referral guidelines, required investigations, and physician demographics.</w:t>
            </w:r>
          </w:p>
        </w:tc>
      </w:tr>
    </w:tbl>
    <w:p>
      <w:pPr>
        <w:spacing w:before="160"/>
      </w:pPr>
    </w:p>
    <w:p>
      <w:pPr>
        <w:spacing w:after="120"/>
      </w:pPr>
      <w:r>
        <w:rPr>
          <w:rFonts w:ascii="Arial" w:cs="Arial" w:eastAsia="Arial" w:hAnsi="Arial"/>
          <w:sz w:val="20"/>
          <w:szCs w:val="20"/>
        </w:rPr>
        <w:t xml:space="preserve">The most practical data source is the Alberta Health Provider Registry data available through H-Link inquiry transactions or a periodically-refreshed reference data set obtained from Alberta Health.</w:t>
      </w:r>
    </w:p>
    <w:p>
      <w:pPr>
        <w:pStyle w:val="Heading2"/>
      </w:pPr>
      <w:r>
        <w:t xml:space="preserve">2.3 Functional Requirements</w:t>
      </w:r>
    </w:p>
    <w:p>
      <w:pPr>
        <w:pStyle w:val="ListParagraph"/>
        <w:numPr>
          <w:ilvl w:val="0"/>
          <w:numId w:val="2"/>
        </w:numPr>
        <w:spacing w:after="80"/>
      </w:pPr>
      <w:r>
        <w:rPr>
          <w:rFonts w:ascii="Arial" w:cs="Arial" w:eastAsia="Arial" w:hAnsi="Arial"/>
          <w:sz w:val="20"/>
          <w:szCs w:val="20"/>
        </w:rPr>
        <w:t xml:space="preserve">The system shall provide a searchable referral provider lookup accessible from the claim creation form whenever a SOMB service code requires a referring physician (consultation codes, certain diagnostic codes, and any code where Alberta Health mandates referral information).</w:t>
      </w:r>
    </w:p>
    <w:p>
      <w:pPr>
        <w:pStyle w:val="ListParagraph"/>
        <w:numPr>
          <w:ilvl w:val="0"/>
          <w:numId w:val="2"/>
        </w:numPr>
        <w:spacing w:after="80"/>
      </w:pPr>
      <w:r>
        <w:rPr>
          <w:rFonts w:ascii="Arial" w:cs="Arial" w:eastAsia="Arial" w:hAnsi="Arial"/>
          <w:sz w:val="20"/>
          <w:szCs w:val="20"/>
        </w:rPr>
        <w:t xml:space="preserve">The lookup shall support search by: physician last name, first name, Practitioner ID (partial or full), practice location/city, and practice discipline/specialty.</w:t>
      </w:r>
    </w:p>
    <w:p>
      <w:pPr>
        <w:pStyle w:val="ListParagraph"/>
        <w:numPr>
          <w:ilvl w:val="0"/>
          <w:numId w:val="2"/>
        </w:numPr>
        <w:spacing w:after="80"/>
      </w:pPr>
      <w:r>
        <w:rPr>
          <w:rFonts w:ascii="Arial" w:cs="Arial" w:eastAsia="Arial" w:hAnsi="Arial"/>
          <w:sz w:val="20"/>
          <w:szCs w:val="20"/>
        </w:rPr>
        <w:t xml:space="preserve">Search results shall display: physician full name, Practitioner ID (the billing number placed on the claim), practice discipline, primary practice city, and registration status (active/inactive). Only active physicians appear in default results.</w:t>
      </w:r>
    </w:p>
    <w:p>
      <w:pPr>
        <w:pStyle w:val="ListParagraph"/>
        <w:numPr>
          <w:ilvl w:val="0"/>
          <w:numId w:val="2"/>
        </w:numPr>
        <w:spacing w:after="80"/>
      </w:pPr>
      <w:r>
        <w:rPr>
          <w:rFonts w:ascii="Arial" w:cs="Arial" w:eastAsia="Arial" w:hAnsi="Arial"/>
          <w:sz w:val="20"/>
          <w:szCs w:val="20"/>
        </w:rPr>
        <w:t xml:space="preserve">When the physician selects a referring provider, the Practitioner ID and provider name shall auto-populate into the corresponding claim fields.</w:t>
      </w:r>
    </w:p>
    <w:p>
      <w:pPr>
        <w:pStyle w:val="ListParagraph"/>
        <w:numPr>
          <w:ilvl w:val="0"/>
          <w:numId w:val="2"/>
        </w:numPr>
        <w:spacing w:after="80"/>
      </w:pPr>
      <w:r>
        <w:rPr>
          <w:rFonts w:ascii="Arial" w:cs="Arial" w:eastAsia="Arial" w:hAnsi="Arial"/>
          <w:sz w:val="20"/>
          <w:szCs w:val="20"/>
        </w:rPr>
        <w:t xml:space="preserve">The system shall maintain a “Recent Referrers” list per provider (last 20 used), displayed as a quick-select option above the search interface.</w:t>
      </w:r>
    </w:p>
    <w:p>
      <w:pPr>
        <w:pStyle w:val="ListParagraph"/>
        <w:numPr>
          <w:ilvl w:val="0"/>
          <w:numId w:val="2"/>
        </w:numPr>
        <w:spacing w:after="80"/>
      </w:pPr>
      <w:r>
        <w:rPr>
          <w:rFonts w:ascii="Arial" w:cs="Arial" w:eastAsia="Arial" w:hAnsi="Arial"/>
          <w:sz w:val="20"/>
          <w:szCs w:val="20"/>
        </w:rPr>
        <w:t xml:space="preserve">Provider reference data shall be refreshed at minimum monthly. The system shall display the data currency date in the lookup interface.</w:t>
      </w:r>
    </w:p>
    <w:p>
      <w:pPr>
        <w:pStyle w:val="ListParagraph"/>
        <w:numPr>
          <w:ilvl w:val="0"/>
          <w:numId w:val="2"/>
        </w:numPr>
        <w:spacing w:after="80"/>
      </w:pPr>
      <w:r>
        <w:rPr>
          <w:rFonts w:ascii="Arial" w:cs="Arial" w:eastAsia="Arial" w:hAnsi="Arial"/>
          <w:sz w:val="20"/>
          <w:szCs w:val="20"/>
        </w:rPr>
        <w:t xml:space="preserve">If a SOMB code requires a referring provider and the field is left blank at submission time, the system shall block submission with a clear validation message.</w:t>
      </w:r>
    </w:p>
    <w:p>
      <w:pPr>
        <w:pStyle w:val="ListParagraph"/>
        <w:numPr>
          <w:ilvl w:val="0"/>
          <w:numId w:val="2"/>
        </w:numPr>
        <w:spacing w:after="80"/>
      </w:pPr>
      <w:r>
        <w:rPr>
          <w:rFonts w:ascii="Arial" w:cs="Arial" w:eastAsia="Arial" w:hAnsi="Arial"/>
          <w:sz w:val="20"/>
          <w:szCs w:val="20"/>
        </w:rPr>
        <w:t xml:space="preserve">The system shall support manual entry of a Practitioner ID for newly registered physicians not yet in reference data. Manual entries shall be flagged for review but not blocked.</w:t>
      </w:r>
    </w:p>
    <w:p>
      <w:r>
        <w:br w:type="page"/>
      </w:r>
    </w:p>
    <w:p>
      <w:pPr>
        <w:pStyle w:val="Heading1"/>
      </w:pPr>
      <w:r>
        <w:t xml:space="preserve">3. PHN / Eligibility Verification</w:t>
      </w:r>
    </w:p>
    <w:p>
      <w:pPr>
        <w:pStyle w:val="Heading2"/>
      </w:pPr>
      <w:r>
        <w:t xml:space="preserve">3.1 Context</w:t>
      </w:r>
    </w:p>
    <w:p>
      <w:pPr>
        <w:spacing w:after="120"/>
      </w:pPr>
      <w:r>
        <w:rPr>
          <w:rFonts w:ascii="Arial" w:cs="Arial" w:eastAsia="Arial" w:hAnsi="Arial"/>
          <w:sz w:val="20"/>
          <w:szCs w:val="20"/>
        </w:rPr>
        <w:t xml:space="preserve">Claims submitted with an invalid or ineligible PHN are rejected by Alberta Health with action code C8 (“No record of this beneficiary”). This is one of the highest-volume rejection reasons across all Alberta billing. Alberta Health provides multiple verification mechanisms: a 24-hour IVR telephone system (1-888-422-6257), the Alberta Netcare Person Directory (the authoritative source for AHCIP eligibility), and patient demographic information within Connect Care for hospital-based encounters.</w:t>
      </w:r>
    </w:p>
    <w:p>
      <w:pPr>
        <w:pStyle w:val="Heading2"/>
      </w:pPr>
      <w:r>
        <w:t xml:space="preserve">3.2 Verification Mechanisms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Field / Element</w:t>
            </w:r>
          </w:p>
        </w:tc>
        <w:tc>
          <w:tcPr>
            <w:tcW w:type="dxa" w:w="6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H-Link Eligibility Inquiry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H-Link supports eligibility inquiry transactions returning a patient’s coverage status for a given date of service. As an H-Link Accredited Submitter, Meritum should have access to this transaction type. This is the preferred real-time verification path.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PHN Format Validation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Alberta PHNs are exactly 9 digits, numeric only, following a check-digit algorithm. This catches typographical errors before any network call.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Alberta Netcare Person Directory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Source of truth for AHCIP eligibility. Accessible to authorised custodians; Meritum is unlikely to have direct access, but H-Link eligibility inquiries draw from the same data.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IVR Telephone (Fallback)</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24-hour phone-based verification at 1-888-422-6257. Not programmatically accessible; a manual fallback for edge cases.</w:t>
            </w:r>
          </w:p>
        </w:tc>
      </w:tr>
    </w:tbl>
    <w:p>
      <w:pPr>
        <w:spacing w:before="160"/>
      </w:pPr>
    </w:p>
    <w:p>
      <w:pPr>
        <w:pStyle w:val="Heading2"/>
      </w:pPr>
      <w:r>
        <w:t xml:space="preserve">3.3 Functional Requirements</w:t>
      </w:r>
    </w:p>
    <w:p>
      <w:pPr>
        <w:pStyle w:val="ListParagraph"/>
        <w:numPr>
          <w:ilvl w:val="0"/>
          <w:numId w:val="3"/>
        </w:numPr>
        <w:spacing w:after="80"/>
      </w:pPr>
      <w:r>
        <w:rPr>
          <w:rFonts w:ascii="Arial" w:cs="Arial" w:eastAsia="Arial" w:hAnsi="Arial"/>
          <w:sz w:val="20"/>
          <w:szCs w:val="20"/>
        </w:rPr>
        <w:t xml:space="preserve">The system shall perform PHN format validation on every claim at point of entry. Invalid formats (non-numeric, wrong digit count, failed check-digit) shall generate an immediate inline error.</w:t>
      </w:r>
    </w:p>
    <w:p>
      <w:pPr>
        <w:pStyle w:val="ListParagraph"/>
        <w:numPr>
          <w:ilvl w:val="0"/>
          <w:numId w:val="3"/>
        </w:numPr>
        <w:spacing w:after="80"/>
      </w:pPr>
      <w:r>
        <w:rPr>
          <w:rFonts w:ascii="Arial" w:cs="Arial" w:eastAsia="Arial" w:hAnsi="Arial"/>
          <w:sz w:val="20"/>
          <w:szCs w:val="20"/>
        </w:rPr>
        <w:t xml:space="preserve">The system shall provide a real-time eligibility check via H-Link eligibility inquiry when a valid-format PHN is entered. The check shall verify coverage status for the claim’s date of service. Results displayed inline: “Eligible” (green), “Not Currently Eligible” (red with guidance), or “Query Failed” (amber with retry).</w:t>
      </w:r>
    </w:p>
    <w:p>
      <w:pPr>
        <w:pStyle w:val="ListParagraph"/>
        <w:numPr>
          <w:ilvl w:val="0"/>
          <w:numId w:val="3"/>
        </w:numPr>
        <w:spacing w:after="80"/>
      </w:pPr>
      <w:r>
        <w:rPr>
          <w:rFonts w:ascii="Arial" w:cs="Arial" w:eastAsia="Arial" w:hAnsi="Arial"/>
          <w:sz w:val="20"/>
          <w:szCs w:val="20"/>
        </w:rPr>
        <w:t xml:space="preserve">If eligibility returns “Not Currently Eligible,” the system shall display guidance explaining common reasons (lapsed coverage, out-of-province, opted out) and options (verify with patient, check for clerical error, reciprocal billing, direct patient billing).</w:t>
      </w:r>
    </w:p>
    <w:p>
      <w:pPr>
        <w:pStyle w:val="ListParagraph"/>
        <w:numPr>
          <w:ilvl w:val="0"/>
          <w:numId w:val="3"/>
        </w:numPr>
        <w:spacing w:after="80"/>
      </w:pPr>
      <w:r>
        <w:rPr>
          <w:rFonts w:ascii="Arial" w:cs="Arial" w:eastAsia="Arial" w:hAnsi="Arial"/>
          <w:sz w:val="20"/>
          <w:szCs w:val="20"/>
        </w:rPr>
        <w:t xml:space="preserve">The system shall cache eligibility results for a PHN + date of service combination for 24 hours to avoid redundant H-Link calls for multiple same-patient claims.</w:t>
      </w:r>
    </w:p>
    <w:p>
      <w:pPr>
        <w:pStyle w:val="ListParagraph"/>
        <w:numPr>
          <w:ilvl w:val="0"/>
          <w:numId w:val="3"/>
        </w:numPr>
        <w:spacing w:after="80"/>
      </w:pPr>
      <w:r>
        <w:rPr>
          <w:rFonts w:ascii="Arial" w:cs="Arial" w:eastAsia="Arial" w:hAnsi="Arial"/>
          <w:sz w:val="20"/>
          <w:szCs w:val="20"/>
        </w:rPr>
        <w:t xml:space="preserve">The physician shall be able to override a failed eligibility check with a logged warning, supporting Alberta’s Good Faith Policy for patients whose coverage has not yet been processed.</w:t>
      </w:r>
    </w:p>
    <w:p>
      <w:pPr>
        <w:pStyle w:val="ListParagraph"/>
        <w:numPr>
          <w:ilvl w:val="0"/>
          <w:numId w:val="3"/>
        </w:numPr>
        <w:spacing w:after="80"/>
      </w:pPr>
      <w:r>
        <w:rPr>
          <w:rFonts w:ascii="Arial" w:cs="Arial" w:eastAsia="Arial" w:hAnsi="Arial"/>
          <w:sz w:val="20"/>
          <w:szCs w:val="20"/>
        </w:rPr>
        <w:t xml:space="preserve">On bulk operations (e.g. imported Connect Care claims), the system shall run eligibility checks in the background and flag ineligible claims without blocking the workflow.</w:t>
      </w:r>
    </w:p>
    <w:p>
      <w:pPr>
        <w:pStyle w:val="ListParagraph"/>
        <w:numPr>
          <w:ilvl w:val="0"/>
          <w:numId w:val="3"/>
        </w:numPr>
        <w:spacing w:after="80"/>
      </w:pPr>
      <w:r>
        <w:rPr>
          <w:rFonts w:ascii="Arial" w:cs="Arial" w:eastAsia="Arial" w:hAnsi="Arial"/>
          <w:sz w:val="20"/>
          <w:szCs w:val="20"/>
        </w:rPr>
        <w:t xml:space="preserve">The system shall maintain a patient record cache: once verified, subsequent claims within 90 days display cached status with a “Last verified: [date]” indicator and one-click re-check.</w:t>
      </w:r>
    </w:p>
    <w:p>
      <w:pPr>
        <w:pStyle w:val="ListParagraph"/>
        <w:numPr>
          <w:ilvl w:val="0"/>
          <w:numId w:val="3"/>
        </w:numPr>
        <w:spacing w:after="80"/>
      </w:pPr>
      <w:r>
        <w:rPr>
          <w:rFonts w:ascii="Arial" w:cs="Arial" w:eastAsia="Arial" w:hAnsi="Arial"/>
          <w:sz w:val="20"/>
          <w:szCs w:val="20"/>
        </w:rPr>
        <w:t xml:space="preserve">If H-Link eligibility inquiry is not available at launch, the system shall fall back to: (a) format validation only, (b) a prompt to verify via Netcare or IVR, and (c) a “I have verified this PHN” checkbox. Full H-Link integration follows as soon as the transaction type is accessible.</w:t>
      </w:r>
    </w:p>
    <w:p>
      <w:r>
        <w:br w:type="page"/>
      </w:r>
    </w:p>
    <w:p>
      <w:pPr>
        <w:pStyle w:val="Heading1"/>
      </w:pPr>
      <w:r>
        <w:t xml:space="preserve">4. Invoice Templates and Favourites</w:t>
      </w:r>
    </w:p>
    <w:p>
      <w:pPr>
        <w:pStyle w:val="Heading2"/>
      </w:pPr>
      <w:r>
        <w:t xml:space="preserve">4.1 Context</w:t>
      </w:r>
    </w:p>
    <w:p>
      <w:pPr>
        <w:spacing w:after="120"/>
      </w:pPr>
      <w:r>
        <w:rPr>
          <w:rFonts w:ascii="Arial" w:cs="Arial" w:eastAsia="Arial" w:hAnsi="Arial"/>
          <w:sz w:val="20"/>
          <w:szCs w:val="20"/>
        </w:rPr>
        <w:t xml:space="preserve">A rural GP billing the same 15–20 service codes daily will abandon a platform requiring full manual entry for every claim. Dr.Bill handles this with a “favourites” system; ClinicAid provides invoice templates and defaults. For a self-serve platform without a billing agent doing data entry, templates and favourites are the mechanism that makes billing fast enough to be practical. This is arguably the single most important usability feature for daily engagement.</w:t>
      </w:r>
    </w:p>
    <w:p>
      <w:pPr>
        <w:pStyle w:val="Heading2"/>
      </w:pPr>
      <w:r>
        <w:t xml:space="preserve">4.2 Functional Requirements: Favourites</w:t>
      </w:r>
    </w:p>
    <w:p>
      <w:pPr>
        <w:pStyle w:val="ListParagraph"/>
        <w:numPr>
          <w:ilvl w:val="0"/>
          <w:numId w:val="4"/>
        </w:numPr>
        <w:spacing w:after="80"/>
      </w:pPr>
      <w:r>
        <w:rPr>
          <w:rFonts w:ascii="Arial" w:cs="Arial" w:eastAsia="Arial" w:hAnsi="Arial"/>
          <w:sz w:val="20"/>
          <w:szCs w:val="20"/>
        </w:rPr>
        <w:t xml:space="preserve">The physician shall be able to mark any SOMB service code as a “Favourite.” Favourited codes appear in a dedicated quick-access panel at the top of the service code selection interface.</w:t>
      </w:r>
    </w:p>
    <w:p>
      <w:pPr>
        <w:pStyle w:val="ListParagraph"/>
        <w:numPr>
          <w:ilvl w:val="0"/>
          <w:numId w:val="4"/>
        </w:numPr>
        <w:spacing w:after="80"/>
      </w:pPr>
      <w:r>
        <w:rPr>
          <w:rFonts w:ascii="Arial" w:cs="Arial" w:eastAsia="Arial" w:hAnsi="Arial"/>
          <w:sz w:val="20"/>
          <w:szCs w:val="20"/>
        </w:rPr>
        <w:t xml:space="preserve">Favourites shall be ordered by usage frequency (most-used first) by default, with manual drag-and-drop reordering.</w:t>
      </w:r>
    </w:p>
    <w:p>
      <w:pPr>
        <w:pStyle w:val="ListParagraph"/>
        <w:numPr>
          <w:ilvl w:val="0"/>
          <w:numId w:val="4"/>
        </w:numPr>
        <w:spacing w:after="80"/>
      </w:pPr>
      <w:r>
        <w:rPr>
          <w:rFonts w:ascii="Arial" w:cs="Arial" w:eastAsia="Arial" w:hAnsi="Arial"/>
          <w:sz w:val="20"/>
          <w:szCs w:val="20"/>
        </w:rPr>
        <w:t xml:space="preserve">Each favourite stores: service code, physician-defined display label (optional; defaults to SOMB description), and commonly-used modifiers for that code.</w:t>
      </w:r>
    </w:p>
    <w:p>
      <w:pPr>
        <w:pStyle w:val="ListParagraph"/>
        <w:numPr>
          <w:ilvl w:val="0"/>
          <w:numId w:val="4"/>
        </w:numPr>
        <w:spacing w:after="80"/>
      </w:pPr>
      <w:r>
        <w:rPr>
          <w:rFonts w:ascii="Arial" w:cs="Arial" w:eastAsia="Arial" w:hAnsi="Arial"/>
          <w:sz w:val="20"/>
          <w:szCs w:val="20"/>
        </w:rPr>
        <w:t xml:space="preserve">The system shall auto-suggest frequently-used codes as favourites after 5+ billings without the code being favourited. Non-intrusive prompt: “You bill [code] often. Add to favourites?”</w:t>
      </w:r>
    </w:p>
    <w:p>
      <w:pPr>
        <w:pStyle w:val="ListParagraph"/>
        <w:numPr>
          <w:ilvl w:val="0"/>
          <w:numId w:val="4"/>
        </w:numPr>
        <w:spacing w:after="80"/>
      </w:pPr>
      <w:r>
        <w:rPr>
          <w:rFonts w:ascii="Arial" w:cs="Arial" w:eastAsia="Arial" w:hAnsi="Arial"/>
          <w:sz w:val="20"/>
          <w:szCs w:val="20"/>
        </w:rPr>
        <w:t xml:space="preserve">Favourites are scoped per provider for future multi-provider support.</w:t>
      </w:r>
    </w:p>
    <w:p>
      <w:pPr>
        <w:pStyle w:val="Heading2"/>
      </w:pPr>
      <w:r>
        <w:t xml:space="preserve">4.3 Functional Requirements: Claim Templates</w:t>
      </w:r>
    </w:p>
    <w:p>
      <w:pPr>
        <w:pStyle w:val="ListParagraph"/>
        <w:numPr>
          <w:ilvl w:val="0"/>
          <w:numId w:val="5"/>
        </w:numPr>
        <w:spacing w:after="80"/>
      </w:pPr>
      <w:r>
        <w:rPr>
          <w:rFonts w:ascii="Arial" w:cs="Arial" w:eastAsia="Arial" w:hAnsi="Arial"/>
          <w:sz w:val="20"/>
          <w:szCs w:val="20"/>
        </w:rPr>
        <w:t xml:space="preserve">The physician shall be able to save a complete or partial claim as a named template. Templates capture: service code(s), modifiers, diagnostic code(s), facility code, and any other claim fields except patient-specific data (PHN, name, date of service).</w:t>
      </w:r>
    </w:p>
    <w:p>
      <w:pPr>
        <w:pStyle w:val="ListParagraph"/>
        <w:numPr>
          <w:ilvl w:val="0"/>
          <w:numId w:val="5"/>
        </w:numPr>
        <w:spacing w:after="80"/>
      </w:pPr>
      <w:r>
        <w:rPr>
          <w:rFonts w:ascii="Arial" w:cs="Arial" w:eastAsia="Arial" w:hAnsi="Arial"/>
          <w:sz w:val="20"/>
          <w:szCs w:val="20"/>
        </w:rPr>
        <w:t xml:space="preserve">Templates are accessible from a “New Claim from Template” action. Selecting a template pre-populates all stored fields; the physician adds patient-specific information and submits.</w:t>
      </w:r>
    </w:p>
    <w:p>
      <w:pPr>
        <w:pStyle w:val="ListParagraph"/>
        <w:numPr>
          <w:ilvl w:val="0"/>
          <w:numId w:val="5"/>
        </w:numPr>
        <w:spacing w:after="80"/>
      </w:pPr>
      <w:r>
        <w:rPr>
          <w:rFonts w:ascii="Arial" w:cs="Arial" w:eastAsia="Arial" w:hAnsi="Arial"/>
          <w:sz w:val="20"/>
          <w:szCs w:val="20"/>
        </w:rPr>
        <w:t xml:space="preserve">Multi-line templates: a single template can contain multiple service codes (e.g. consultation + procedure + time modifier). Applying the template creates a claim with all lines pre-populated.</w:t>
      </w:r>
    </w:p>
    <w:p>
      <w:pPr>
        <w:pStyle w:val="ListParagraph"/>
        <w:numPr>
          <w:ilvl w:val="0"/>
          <w:numId w:val="5"/>
        </w:numPr>
        <w:spacing w:after="80"/>
      </w:pPr>
      <w:r>
        <w:rPr>
          <w:rFonts w:ascii="Arial" w:cs="Arial" w:eastAsia="Arial" w:hAnsi="Arial"/>
          <w:sz w:val="20"/>
          <w:szCs w:val="20"/>
        </w:rPr>
        <w:t xml:space="preserve">The system shall provide starter templates based on the physician’s self-reported specialty during onboarding (e.g. Family Medicine: Standard Office Visit 03.03A, Complete Physical 03.04A, Phone Consult 03.01F). Editable and deletable.</w:t>
      </w:r>
    </w:p>
    <w:p>
      <w:pPr>
        <w:pStyle w:val="ListParagraph"/>
        <w:numPr>
          <w:ilvl w:val="0"/>
          <w:numId w:val="5"/>
        </w:numPr>
        <w:spacing w:after="80"/>
      </w:pPr>
      <w:r>
        <w:rPr>
          <w:rFonts w:ascii="Arial" w:cs="Arial" w:eastAsia="Arial" w:hAnsi="Arial"/>
          <w:sz w:val="20"/>
          <w:szCs w:val="20"/>
        </w:rPr>
        <w:t xml:space="preserve">Templates shall display the current SOMB fee value for each included service code. Fee values update automatically when SOMB is revised.</w:t>
      </w:r>
    </w:p>
    <w:p>
      <w:pPr>
        <w:pStyle w:val="ListParagraph"/>
        <w:numPr>
          <w:ilvl w:val="0"/>
          <w:numId w:val="5"/>
        </w:numPr>
        <w:spacing w:after="80"/>
      </w:pPr>
      <w:r>
        <w:rPr>
          <w:rFonts w:ascii="Arial" w:cs="Arial" w:eastAsia="Arial" w:hAnsi="Arial"/>
          <w:sz w:val="20"/>
          <w:szCs w:val="20"/>
        </w:rPr>
        <w:t xml:space="preserve">“Quick Bill” workflow: physician selects a template and a patient (from recent patients or search), and the system creates and optionally auto-submits the claim in a single action. Two-click billing is the target for routine work.</w:t>
      </w:r>
    </w:p>
    <w:p>
      <w:r>
        <w:br w:type="page"/>
      </w:r>
    </w:p>
    <w:p>
      <w:pPr>
        <w:pStyle w:val="Heading1"/>
      </w:pPr>
      <w:r>
        <w:t xml:space="preserve">5. Revenue Optimisation Alerts</w:t>
      </w:r>
    </w:p>
    <w:p>
      <w:pPr>
        <w:pStyle w:val="Heading2"/>
      </w:pPr>
      <w:r>
        <w:t xml:space="preserve">5.1 Context</w:t>
      </w:r>
    </w:p>
    <w:p>
      <w:pPr>
        <w:spacing w:after="120"/>
      </w:pPr>
      <w:r>
        <w:rPr>
          <w:rFonts w:ascii="Arial" w:cs="Arial" w:eastAsia="Arial" w:hAnsi="Arial"/>
          <w:sz w:val="20"/>
          <w:szCs w:val="20"/>
        </w:rPr>
        <w:t xml:space="preserve">ResolvMD claims almost one-third of Canadian physicians miss 10% or more of eligible billings. Meritum does not need full AI at MVP, but basic rule-based alerts catching common missed-billing scenarios provide concrete value justifying the subscription fee.</w:t>
      </w:r>
    </w:p>
    <w:p>
      <w:pPr>
        <w:pStyle w:val="Heading2"/>
      </w:pPr>
      <w:r>
        <w:t xml:space="preserve">5.2 Alert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Alert Category</w:t>
            </w:r>
          </w:p>
        </w:tc>
        <w:tc>
          <w:tcPr>
            <w:tcW w:type="dxa" w:w="3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Trigger Logic</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Missed Time Premium</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After-hours, weekend, and holiday premiums are frequently missed.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Claim date of service falls outside 08:00–17:00 weekdays, or on weekend/holiday, with no premium modifier present.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Age-Based Supplement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SOMB codes providing additional benefits for patients ≤12 or ≥65.</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Patient age qualifies for supplement; service code is eligible; no supplement modifier present.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Complexity / Time Modifier</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Base codes billed without capturing additional time or complexity.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Physician consistently bills at base level for a code that allows higher-value variants. Periodic summary alert.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Unbilled WCB Opportunity</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Service billed to AHCIP when WCB may apply.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Claim submitted to AHCIP for a patient with an active WCB claim number in Meritum.</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Stale Unbilled Claims</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Draft claims with service dates approaching the 90-day rejection threshold.</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Any unsubmitted claim with date of service older than 60 days.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Missing Diagnostic Code</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Repeated use of generic ICD-9 codes.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Physician uses the same broad code (e.g. 799.9) across many claims. Periodic alert.</w:t>
            </w:r>
          </w:p>
        </w:tc>
      </w:tr>
    </w:tbl>
    <w:p>
      <w:pPr>
        <w:spacing w:before="160"/>
      </w:pPr>
    </w:p>
    <w:p>
      <w:pPr>
        <w:pStyle w:val="Heading2"/>
      </w:pPr>
      <w:r>
        <w:t xml:space="preserve">5.3 Functional Requirements</w:t>
      </w:r>
    </w:p>
    <w:p>
      <w:pPr>
        <w:pStyle w:val="ListParagraph"/>
        <w:numPr>
          <w:ilvl w:val="0"/>
          <w:numId w:val="6"/>
        </w:numPr>
        <w:spacing w:after="80"/>
      </w:pPr>
      <w:r>
        <w:rPr>
          <w:rFonts w:ascii="Arial" w:cs="Arial" w:eastAsia="Arial" w:hAnsi="Arial"/>
          <w:sz w:val="20"/>
          <w:szCs w:val="20"/>
        </w:rPr>
        <w:t xml:space="preserve">The system shall implement a rules engine evaluating claims at point of creation (real-time) and on schedule against claim history (periodic summaries).</w:t>
      </w:r>
    </w:p>
    <w:p>
      <w:pPr>
        <w:pStyle w:val="ListParagraph"/>
        <w:numPr>
          <w:ilvl w:val="0"/>
          <w:numId w:val="6"/>
        </w:numPr>
        <w:spacing w:after="80"/>
      </w:pPr>
      <w:r>
        <w:rPr>
          <w:rFonts w:ascii="Arial" w:cs="Arial" w:eastAsia="Arial" w:hAnsi="Arial"/>
          <w:sz w:val="20"/>
          <w:szCs w:val="20"/>
        </w:rPr>
        <w:t xml:space="preserve">Real-time alerts appear as non-blocking inline suggestions (amber/gold indicator) within the claim form. The physician can dismiss or act on each.</w:t>
      </w:r>
    </w:p>
    <w:p>
      <w:pPr>
        <w:pStyle w:val="ListParagraph"/>
        <w:numPr>
          <w:ilvl w:val="0"/>
          <w:numId w:val="6"/>
        </w:numPr>
        <w:spacing w:after="80"/>
      </w:pPr>
      <w:r>
        <w:rPr>
          <w:rFonts w:ascii="Arial" w:cs="Arial" w:eastAsia="Arial" w:hAnsi="Arial"/>
          <w:sz w:val="20"/>
          <w:szCs w:val="20"/>
        </w:rPr>
        <w:t xml:space="preserve">Periodic summaries appear on the dashboard and optionally via weekly email digest.</w:t>
      </w:r>
    </w:p>
    <w:p>
      <w:pPr>
        <w:pStyle w:val="ListParagraph"/>
        <w:numPr>
          <w:ilvl w:val="0"/>
          <w:numId w:val="6"/>
        </w:numPr>
        <w:spacing w:after="80"/>
      </w:pPr>
      <w:r>
        <w:rPr>
          <w:rFonts w:ascii="Arial" w:cs="Arial" w:eastAsia="Arial" w:hAnsi="Arial"/>
          <w:sz w:val="20"/>
          <w:szCs w:val="20"/>
        </w:rPr>
        <w:t xml:space="preserve">Each alert includes: plain-language explanation, estimated revenue impact where calculable, and a one-click action to apply the suggested change.</w:t>
      </w:r>
    </w:p>
    <w:p>
      <w:pPr>
        <w:pStyle w:val="ListParagraph"/>
        <w:numPr>
          <w:ilvl w:val="0"/>
          <w:numId w:val="6"/>
        </w:numPr>
        <w:spacing w:after="80"/>
      </w:pPr>
      <w:r>
        <w:rPr>
          <w:rFonts w:ascii="Arial" w:cs="Arial" w:eastAsia="Arial" w:hAnsi="Arial"/>
          <w:sz w:val="20"/>
          <w:szCs w:val="20"/>
        </w:rPr>
        <w:t xml:space="preserve">The physician can permanently dismiss a specific alert type via preference settings.</w:t>
      </w:r>
    </w:p>
    <w:p>
      <w:pPr>
        <w:pStyle w:val="ListParagraph"/>
        <w:numPr>
          <w:ilvl w:val="0"/>
          <w:numId w:val="6"/>
        </w:numPr>
        <w:spacing w:after="80"/>
      </w:pPr>
      <w:r>
        <w:rPr>
          <w:rFonts w:ascii="Arial" w:cs="Arial" w:eastAsia="Arial" w:hAnsi="Arial"/>
          <w:sz w:val="20"/>
          <w:szCs w:val="20"/>
        </w:rPr>
        <w:t xml:space="preserve">The rules engine shall be data-driven (rules in reference data, not hardcoded) to allow updates without code deployment.</w:t>
      </w:r>
    </w:p>
    <w:p>
      <w:pPr>
        <w:pStyle w:val="ListParagraph"/>
        <w:numPr>
          <w:ilvl w:val="0"/>
          <w:numId w:val="6"/>
        </w:numPr>
        <w:spacing w:after="80"/>
      </w:pPr>
      <w:r>
        <w:rPr>
          <w:rFonts w:ascii="Arial" w:cs="Arial" w:eastAsia="Arial" w:hAnsi="Arial"/>
          <w:sz w:val="20"/>
          <w:szCs w:val="20"/>
        </w:rPr>
        <w:t xml:space="preserve">The system shall track alert effectiveness (acted on, dismissed, ignored) to inform future rules refinement.</w:t>
      </w:r>
    </w:p>
    <w:p>
      <w:r>
        <w:br w:type="page"/>
      </w:r>
    </w:p>
    <w:p>
      <w:pPr>
        <w:pStyle w:val="Heading1"/>
      </w:pPr>
      <w:r>
        <w:t xml:space="preserve">6. ARP / APP Shadow Billing Support</w:t>
      </w:r>
    </w:p>
    <w:p>
      <w:pPr>
        <w:pStyle w:val="Heading2"/>
      </w:pPr>
      <w:r>
        <w:t xml:space="preserve">6.1 Context</w:t>
      </w:r>
    </w:p>
    <w:p>
      <w:pPr>
        <w:spacing w:after="120"/>
      </w:pPr>
      <w:r>
        <w:rPr>
          <w:rFonts w:ascii="Arial" w:cs="Arial" w:eastAsia="Arial" w:hAnsi="Arial"/>
          <w:sz w:val="20"/>
          <w:szCs w:val="20"/>
        </w:rPr>
        <w:t xml:space="preserve">Approximately 3,200 Alberta physicians participate in Alternative Relationship Plans. ARP physicians are compensated through annualised salaries, sessional rates, or blended capitation rather than fee-for-service, but they must still submit all claims through H-Link. These “shadow billed” claims are submitted under a designated ARP Business Arrangement Number and returned at $0 payment. Shadow billing data is the primary clinical accountability metric for ARP programs and directly affects future funding.</w:t>
      </w:r>
    </w:p>
    <w:p>
      <w:pPr>
        <w:spacing w:after="120"/>
      </w:pPr>
      <w:r>
        <w:rPr>
          <w:rFonts w:ascii="Arial" w:cs="Arial" w:eastAsia="Arial" w:hAnsi="Arial"/>
          <w:sz w:val="20"/>
          <w:szCs w:val="20"/>
        </w:rPr>
        <w:t xml:space="preserve">Rural Alberta has significant ARP penetration; many rural GPs and hospital-based physicians are on sessional or annualised ARPs. If Meritum cannot handle ARP shadow billing, it excludes a large portion of its target market.</w:t>
      </w:r>
    </w:p>
    <w:p>
      <w:pPr>
        <w:pStyle w:val="Heading2"/>
      </w:pPr>
      <w:r>
        <w:t xml:space="preserve">6.2 ARP Billing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Field / Element</w:t>
            </w:r>
          </w:p>
        </w:tc>
        <w:tc>
          <w:tcPr>
            <w:tcW w:type="dxa" w:w="6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ARP Business Arrangement Number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ARP claims use a dedicated ARP BA number, separate from FFS. Assigned by Alberta Health when the physician joins the ARP. A physician may hold both FFS and ARP BAs simultaneously.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 Payment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Claims under an ARP BA are assessed and returned at $0. Remittances still contain assessment results and rejection codes; only payment differs.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Service Codes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Standard SOMB codes for clinical services. Where no SOMB code exists for indirect services (phone calls, report writing, lab review), physicians use approved ARP S-codes billed in 5-minute increments.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TM Modifier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All ARP claims require a TM (Time) modifier tracking time per patient. Critical for program accountability reporting.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Mixed FFS/ARP</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Many physicians do some work under ARP and some under FFS (e.g. hospital shifts on ARP, clinic on FFS). The system must route claims to the correct BA based on context. See Section 10 for smart routing logic.</w:t>
            </w:r>
          </w:p>
        </w:tc>
      </w:tr>
    </w:tbl>
    <w:p>
      <w:pPr>
        <w:spacing w:before="160"/>
      </w:pPr>
    </w:p>
    <w:p>
      <w:pPr>
        <w:pStyle w:val="Heading2"/>
      </w:pPr>
      <w:r>
        <w:t xml:space="preserve">6.3 Functional Requirements</w:t>
      </w:r>
    </w:p>
    <w:p>
      <w:pPr>
        <w:pStyle w:val="ListParagraph"/>
        <w:numPr>
          <w:ilvl w:val="0"/>
          <w:numId w:val="7"/>
        </w:numPr>
        <w:spacing w:after="80"/>
      </w:pPr>
      <w:r>
        <w:rPr>
          <w:rFonts w:ascii="Arial" w:cs="Arial" w:eastAsia="Arial" w:hAnsi="Arial"/>
          <w:sz w:val="20"/>
          <w:szCs w:val="20"/>
        </w:rPr>
        <w:t xml:space="preserve">The system shall support multiple Business Arrangement Numbers per provider. During onboarding, the physician registers both FFS and ARP BAs. Each BA is labelled with its type (FFS, ARP Annualised, ARP Sessional, ARP BCM).</w:t>
      </w:r>
    </w:p>
    <w:p>
      <w:pPr>
        <w:pStyle w:val="ListParagraph"/>
        <w:numPr>
          <w:ilvl w:val="0"/>
          <w:numId w:val="7"/>
        </w:numPr>
        <w:spacing w:after="80"/>
      </w:pPr>
      <w:r>
        <w:rPr>
          <w:rFonts w:ascii="Arial" w:cs="Arial" w:eastAsia="Arial" w:hAnsi="Arial"/>
          <w:sz w:val="20"/>
          <w:szCs w:val="20"/>
        </w:rPr>
        <w:t xml:space="preserve">During claim creation, the system allows BA selection. If only one BA exists, selection is implicit. If multiple, a selector shows the BA label (e.g. “FFS – Clinic” vs “ARP Sessional – Hospital”).</w:t>
      </w:r>
    </w:p>
    <w:p>
      <w:pPr>
        <w:pStyle w:val="ListParagraph"/>
        <w:numPr>
          <w:ilvl w:val="0"/>
          <w:numId w:val="7"/>
        </w:numPr>
        <w:spacing w:after="80"/>
      </w:pPr>
      <w:r>
        <w:rPr>
          <w:rFonts w:ascii="Arial" w:cs="Arial" w:eastAsia="Arial" w:hAnsi="Arial"/>
          <w:sz w:val="20"/>
          <w:szCs w:val="20"/>
        </w:rPr>
        <w:t xml:space="preserve">When billing under an ARP BA, the system automatically applies the TM modifier and prompts for time spent (5-minute increments). TM is mandatory for ARP claims.</w:t>
      </w:r>
    </w:p>
    <w:p>
      <w:pPr>
        <w:pStyle w:val="ListParagraph"/>
        <w:numPr>
          <w:ilvl w:val="0"/>
          <w:numId w:val="7"/>
        </w:numPr>
        <w:spacing w:after="80"/>
      </w:pPr>
      <w:r>
        <w:rPr>
          <w:rFonts w:ascii="Arial" w:cs="Arial" w:eastAsia="Arial" w:hAnsi="Arial"/>
          <w:sz w:val="20"/>
          <w:szCs w:val="20"/>
        </w:rPr>
        <w:t xml:space="preserve">ARP S-codes shall be included in code search/lookup and labelled as ARP-specific. They are only available when the selected BA is an ARP BA.</w:t>
      </w:r>
    </w:p>
    <w:p>
      <w:pPr>
        <w:pStyle w:val="ListParagraph"/>
        <w:numPr>
          <w:ilvl w:val="0"/>
          <w:numId w:val="7"/>
        </w:numPr>
        <w:spacing w:after="80"/>
      </w:pPr>
      <w:r>
        <w:rPr>
          <w:rFonts w:ascii="Arial" w:cs="Arial" w:eastAsia="Arial" w:hAnsi="Arial"/>
          <w:sz w:val="20"/>
          <w:szCs w:val="20"/>
        </w:rPr>
        <w:t xml:space="preserve">ARP claims follow the same H-Link submission pipeline as FFS. The system correctly handles $0 payment on ARP remittances without flagging as errors.</w:t>
      </w:r>
    </w:p>
    <w:p>
      <w:pPr>
        <w:pStyle w:val="ListParagraph"/>
        <w:numPr>
          <w:ilvl w:val="0"/>
          <w:numId w:val="7"/>
        </w:numPr>
        <w:spacing w:after="80"/>
      </w:pPr>
      <w:r>
        <w:rPr>
          <w:rFonts w:ascii="Arial" w:cs="Arial" w:eastAsia="Arial" w:hAnsi="Arial"/>
          <w:sz w:val="20"/>
          <w:szCs w:val="20"/>
        </w:rPr>
        <w:t xml:space="preserve">Remittance reconciliation distinguishes ARP from FFS claims in all reporting. ARP claims have their own dashboard section/filter showing: total claims, total TM units, rejection rate, and assessment results.</w:t>
      </w:r>
    </w:p>
    <w:p>
      <w:pPr>
        <w:pStyle w:val="ListParagraph"/>
        <w:numPr>
          <w:ilvl w:val="0"/>
          <w:numId w:val="7"/>
        </w:numPr>
        <w:spacing w:after="80"/>
      </w:pPr>
      <w:r>
        <w:rPr>
          <w:rFonts w:ascii="Arial" w:cs="Arial" w:eastAsia="Arial" w:hAnsi="Arial"/>
          <w:sz w:val="20"/>
          <w:szCs w:val="20"/>
        </w:rPr>
        <w:t xml:space="preserve">A TM summary report per billing period shows total time units by date and service type, supporting the physician’s ARP program reporting obligations.</w:t>
      </w:r>
    </w:p>
    <w:p>
      <w:pPr>
        <w:pStyle w:val="ListParagraph"/>
        <w:numPr>
          <w:ilvl w:val="0"/>
          <w:numId w:val="7"/>
        </w:numPr>
        <w:spacing w:after="80"/>
      </w:pPr>
      <w:r>
        <w:rPr>
          <w:rFonts w:ascii="Arial" w:cs="Arial" w:eastAsia="Arial" w:hAnsi="Arial"/>
          <w:sz w:val="20"/>
          <w:szCs w:val="20"/>
        </w:rPr>
        <w:t xml:space="preserve">The system generates an alert if an ARP physician submits a claim without the TM modifier.</w:t>
      </w:r>
    </w:p>
    <w:p>
      <w:r>
        <w:br w:type="page"/>
      </w:r>
    </w:p>
    <w:p>
      <w:pPr>
        <w:pStyle w:val="Heading1"/>
      </w:pPr>
      <w:r>
        <w:t xml:space="preserve">7. In-App Billing Guidance</w:t>
      </w:r>
    </w:p>
    <w:p>
      <w:pPr>
        <w:pStyle w:val="Heading2"/>
      </w:pPr>
      <w:r>
        <w:t xml:space="preserve">7.1 Context</w:t>
      </w:r>
    </w:p>
    <w:p>
      <w:pPr>
        <w:spacing w:after="120"/>
      </w:pPr>
      <w:r>
        <w:rPr>
          <w:rFonts w:ascii="Arial" w:cs="Arial" w:eastAsia="Arial" w:hAnsi="Arial"/>
          <w:sz w:val="20"/>
          <w:szCs w:val="20"/>
        </w:rPr>
        <w:t xml:space="preserve">Meritum’s target physician is often billing without a dedicated MOA or billing agent. The platform must be the knowledgeable guide replacing the human expertise of ResolvMD’s 20+ billing specialists or Alberta Medical Billing’s hands-on coaching. This is contextual, inline intelligence at the moment of need during claim creation.</w:t>
      </w:r>
    </w:p>
    <w:p>
      <w:pPr>
        <w:pStyle w:val="Heading2"/>
      </w:pPr>
      <w:r>
        <w:t xml:space="preserve">7.2 Guidance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Field / Element</w:t>
            </w:r>
          </w:p>
        </w:tc>
        <w:tc>
          <w:tcPr>
            <w:tcW w:type="dxa" w:w="6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SOMB Code Tooltips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 code selection/search: official description, current fee value, applicable modifiers and fee impact, common pairing codes, and governing rules/restrictions (frequency limits, sex/age restrictions, time-of-day rules).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Rejection Prevention Hints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Based on common rejection reasons per service code: e.g. “Code 03.08A requires a referring physician” or “Code 08.19A has a frequency limit of once per patient per 365 days.”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Modifier Guidance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Contextual prompts when modifiers are added or omitted. E.g. weekend service without CALL modifier: “This service was provided on a Saturday. The CALL modifier may apply.”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ICD-9 Code Assistance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 diagnostic code entry: description, common SOMB associations, and flags if the code is commonly questioned by Alberta Health for the selected service code.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Governing Rules Display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 complex codes: concise summary of bundling restrictions, time-based rules, facility-specific rules. Sourced from SOMB governing rules and AMA billing tips.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New-to-Practice Mode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Enhanced guidance for new graduates or new-to-Alberta physicians: additional detail on billing concepts (BA numbers, remittance cycles, action codes). Disableable at any time.</w:t>
            </w:r>
          </w:p>
        </w:tc>
      </w:tr>
    </w:tbl>
    <w:p>
      <w:pPr>
        <w:spacing w:before="160"/>
      </w:pPr>
    </w:p>
    <w:p>
      <w:pPr>
        <w:pStyle w:val="Heading2"/>
      </w:pPr>
      <w:r>
        <w:t xml:space="preserve">7.3 Functional Requirements</w:t>
      </w:r>
    </w:p>
    <w:p>
      <w:pPr>
        <w:pStyle w:val="ListParagraph"/>
        <w:numPr>
          <w:ilvl w:val="0"/>
          <w:numId w:val="8"/>
        </w:numPr>
        <w:spacing w:after="80"/>
      </w:pPr>
      <w:r>
        <w:rPr>
          <w:rFonts w:ascii="Arial" w:cs="Arial" w:eastAsia="Arial" w:hAnsi="Arial"/>
          <w:sz w:val="20"/>
          <w:szCs w:val="20"/>
        </w:rPr>
        <w:t xml:space="preserve">All guidance content stored in reference data as structured data (not hardcoded UI strings). Updateable when SOMB changes without code deployment.</w:t>
      </w:r>
    </w:p>
    <w:p>
      <w:pPr>
        <w:pStyle w:val="ListParagraph"/>
        <w:numPr>
          <w:ilvl w:val="0"/>
          <w:numId w:val="8"/>
        </w:numPr>
        <w:spacing w:after="80"/>
      </w:pPr>
      <w:r>
        <w:rPr>
          <w:rFonts w:ascii="Arial" w:cs="Arial" w:eastAsia="Arial" w:hAnsi="Arial"/>
          <w:sz w:val="20"/>
          <w:szCs w:val="20"/>
        </w:rPr>
        <w:t xml:space="preserve">Tooltips and hints appear inline within the claim creation form, adjacent to the relevant field. No navigation away from the claim required.</w:t>
      </w:r>
    </w:p>
    <w:p>
      <w:pPr>
        <w:pStyle w:val="ListParagraph"/>
        <w:numPr>
          <w:ilvl w:val="0"/>
          <w:numId w:val="8"/>
        </w:numPr>
        <w:spacing w:after="80"/>
      </w:pPr>
      <w:r>
        <w:rPr>
          <w:rFonts w:ascii="Arial" w:cs="Arial" w:eastAsia="Arial" w:hAnsi="Arial"/>
          <w:sz w:val="20"/>
          <w:szCs w:val="20"/>
        </w:rPr>
        <w:t xml:space="preserve">Progressive disclosure: minimal for experienced users (icon indicators expanding on hover/click); expanded by default for new-to-practice users.</w:t>
      </w:r>
    </w:p>
    <w:p>
      <w:pPr>
        <w:pStyle w:val="ListParagraph"/>
        <w:numPr>
          <w:ilvl w:val="0"/>
          <w:numId w:val="8"/>
        </w:numPr>
        <w:spacing w:after="80"/>
      </w:pPr>
      <w:r>
        <w:rPr>
          <w:rFonts w:ascii="Arial" w:cs="Arial" w:eastAsia="Arial" w:hAnsi="Arial"/>
          <w:sz w:val="20"/>
          <w:szCs w:val="20"/>
        </w:rPr>
        <w:t xml:space="preserve">Rejection prevention hints shown only for codes with rejection rate above a configurable threshold (default: 5%).</w:t>
      </w:r>
    </w:p>
    <w:p>
      <w:pPr>
        <w:pStyle w:val="ListParagraph"/>
        <w:numPr>
          <w:ilvl w:val="0"/>
          <w:numId w:val="8"/>
        </w:numPr>
        <w:spacing w:after="80"/>
      </w:pPr>
      <w:r>
        <w:rPr>
          <w:rFonts w:ascii="Arial" w:cs="Arial" w:eastAsia="Arial" w:hAnsi="Arial"/>
          <w:sz w:val="20"/>
          <w:szCs w:val="20"/>
        </w:rPr>
        <w:t xml:space="preserve">A persistent “Billing Help” search function accessible from any screen for looking up SOMB codes, modifiers, or billing concepts.</w:t>
      </w:r>
    </w:p>
    <w:p>
      <w:pPr>
        <w:pStyle w:val="ListParagraph"/>
        <w:numPr>
          <w:ilvl w:val="0"/>
          <w:numId w:val="8"/>
        </w:numPr>
        <w:spacing w:after="80"/>
      </w:pPr>
      <w:r>
        <w:rPr>
          <w:rFonts w:ascii="Arial" w:cs="Arial" w:eastAsia="Arial" w:hAnsi="Arial"/>
          <w:sz w:val="20"/>
          <w:szCs w:val="20"/>
        </w:rPr>
        <w:t xml:space="preserve">Where guidance references external authoritative sources (SOMB, AMA billing tips, Physician’s Resource Guide), the system links to the source document.</w:t>
      </w:r>
    </w:p>
    <w:p>
      <w:pPr>
        <w:pStyle w:val="ListParagraph"/>
        <w:numPr>
          <w:ilvl w:val="0"/>
          <w:numId w:val="8"/>
        </w:numPr>
        <w:spacing w:after="80"/>
      </w:pPr>
      <w:r>
        <w:rPr>
          <w:rFonts w:ascii="Arial" w:cs="Arial" w:eastAsia="Arial" w:hAnsi="Arial"/>
          <w:sz w:val="20"/>
          <w:szCs w:val="20"/>
        </w:rPr>
        <w:t xml:space="preserve">Usage tracking: which guidance elements are accessed vs dismissed. Informs content prioritisation.</w:t>
      </w:r>
    </w:p>
    <w:p>
      <w:r>
        <w:br w:type="page"/>
      </w:r>
    </w:p>
    <w:p>
      <w:pPr>
        <w:spacing w:before="200" w:after="300"/>
      </w:pPr>
      <w:r>
        <w:rPr>
          <w:rFonts w:ascii="Arial" w:cs="Arial" w:eastAsia="Arial" w:hAnsi="Arial"/>
          <w:b/>
          <w:bCs/>
          <w:color w:val="C2973E"/>
          <w:sz w:val="28"/>
          <w:szCs w:val="28"/>
        </w:rPr>
        <w:t xml:space="preserve">PART B: ADVANCED BILLING LOGIC</w:t>
      </w:r>
    </w:p>
    <w:p>
      <w:pPr>
        <w:pStyle w:val="Heading1"/>
      </w:pPr>
      <w:r>
        <w:t xml:space="preserve">8. Anesthesia Benefit Calculations</w:t>
      </w:r>
    </w:p>
    <w:p>
      <w:pPr>
        <w:pStyle w:val="Heading2"/>
      </w:pPr>
      <w:r>
        <w:t xml:space="preserve">8.1 Context</w:t>
      </w:r>
    </w:p>
    <w:p>
      <w:pPr>
        <w:spacing w:after="120"/>
      </w:pPr>
      <w:r>
        <w:rPr>
          <w:rFonts w:ascii="Arial" w:cs="Arial" w:eastAsia="Arial" w:hAnsi="Arial"/>
          <w:sz w:val="20"/>
          <w:szCs w:val="20"/>
        </w:rPr>
        <w:t xml:space="preserve">Anesthesia billing under SOMB Governing Rule 12 is the most computationally complex area of Alberta medical billing. The anaesthetic benefit is not a simple fee-per-code lookup; it requires multi-step calculations involving the primary procedure, additional procedures, time-based components, and a series of conditional modifiers. ResolvMD explicitly markets an “anesthesia-specific optimisation tool” claiming an average 4% billing increase for anaesthesiologists. That 4% comes from the calculation complexity that most physicians get wrong when billing without specialist support.</w:t>
      </w:r>
    </w:p>
    <w:p>
      <w:pPr>
        <w:spacing w:after="120"/>
      </w:pPr>
      <w:r>
        <w:rPr>
          <w:rFonts w:ascii="Arial" w:cs="Arial" w:eastAsia="Arial" w:hAnsi="Arial"/>
          <w:sz w:val="20"/>
          <w:szCs w:val="20"/>
        </w:rPr>
        <w:t xml:space="preserve">The governing rules are entirely deterministic: every calculation path is defined by SOMB. If the rules are structured as reference data, the claim form can compute the correct benefit automatically.</w:t>
      </w:r>
    </w:p>
    <w:p>
      <w:pPr>
        <w:pStyle w:val="Heading2"/>
      </w:pPr>
      <w:r>
        <w:t xml:space="preserve">8.2 Governing Rule 12: Calculation Logic</w:t>
      </w:r>
    </w:p>
    <w:p>
      <w:pPr>
        <w:spacing w:after="120"/>
      </w:pPr>
      <w:r>
        <w:rPr>
          <w:rFonts w:ascii="Arial" w:cs="Arial" w:eastAsia="Arial" w:hAnsi="Arial"/>
          <w:sz w:val="20"/>
          <w:szCs w:val="20"/>
        </w:rPr>
        <w:t xml:space="preserve">The following summarises the key calculation rules that must be implemented. All rules are sourced from SOMB Governing Rule 12 (Anesthesia) and should be stored as structured, versioned reference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Field / Element</w:t>
            </w:r>
          </w:p>
        </w:tc>
        <w:tc>
          <w:tcPr>
            <w:tcW w:type="dxa" w:w="6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Single Procedure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 anaesthetic benefit is the listed anesthetic value for the surgical procedure code. This is a direct lookup from the SOMB code’s anesthesia benefit field.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Multiple Procedures, Same Anaesthetic</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 anaesthetic benefit for the major procedure (highest listed value) is paid at full rate. Each additional procedure is paid at a reduced percentage defined by SOMB (typically the anesthetic benefit for the secondary procedure at a defined fraction). The system must identify the major procedure automatically.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Compound Fractures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Compound fractures requiring extensive debridement receive a 50% uplift on the listed anaesthetic benefit.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Multiple Closed-Reduction Fractures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 listed anaesthetic benefit for the major fracture at full rate, plus 50% of the anaesthetic benefit for each additional fracture treated by closed reduction.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Open-Reduction Fractures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Each fracture requiring open reduction, continuous traction, or extensive skeletal fixation is payable at the full anaesthetic benefit, in addition to the full benefit for the major fracture.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Redo Cardiac/Thoracic/Vascular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150% of the listed anaesthetic benefit if the procedure is performed entirely through a previous incision; 125% if partly through a previous incision. The system must prompt the anaesthesiologist to indicate whether the incision is reused.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Sequential Unrelated Procedures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If unrelated surgical procedures are performed by two physicians in sequence using the same anaesthetic, the anaesthetic benefit for the major procedure applies at full rate, with additional procedures at the defined reduced rate.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Time-Based Claims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Anaesthetic services for unlisted procedures, or where no anaesthetic value is listed, are claimed on a time basis. The system must support time entry (start/end or duration) and calculate the benefit using the SOMB time-based anaesthesia rate.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Oral Surgery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Anesthesia for oral surgical procedures insured under the Schedule of Oral and Maxillofacial Surgery Benefits follows GR 6.9 rules. Separate rate table applies.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Multiple Skin Lesions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Surgical treatment of multiple benign skin lesions under anaesthesia of less than 35 minutes may only be claimed according to the single anaesthetic benefit, regardless of the number of lesions.</w:t>
            </w:r>
          </w:p>
        </w:tc>
      </w:tr>
    </w:tbl>
    <w:p>
      <w:pPr>
        <w:spacing w:before="160"/>
      </w:pPr>
    </w:p>
    <w:p>
      <w:pPr>
        <w:pStyle w:val="Heading2"/>
      </w:pPr>
      <w:r>
        <w:t xml:space="preserve">8.3 Functional Requirements</w:t>
      </w:r>
    </w:p>
    <w:p>
      <w:pPr>
        <w:pStyle w:val="ListParagraph"/>
        <w:numPr>
          <w:ilvl w:val="0"/>
          <w:numId w:val="9"/>
        </w:numPr>
        <w:spacing w:after="80"/>
      </w:pPr>
      <w:r>
        <w:rPr>
          <w:rFonts w:ascii="Arial" w:cs="Arial" w:eastAsia="Arial" w:hAnsi="Arial"/>
          <w:sz w:val="20"/>
          <w:szCs w:val="20"/>
        </w:rPr>
        <w:t xml:space="preserve">The system shall implement an anesthesia benefit calculator as a specialised component of the claim creation form, activated when the billing physician’s specialty is anaesthesia or when an anesthesia-category service code is selected.</w:t>
      </w:r>
    </w:p>
    <w:p>
      <w:pPr>
        <w:pStyle w:val="ListParagraph"/>
        <w:numPr>
          <w:ilvl w:val="0"/>
          <w:numId w:val="9"/>
        </w:numPr>
        <w:spacing w:after="80"/>
      </w:pPr>
      <w:r>
        <w:rPr>
          <w:rFonts w:ascii="Arial" w:cs="Arial" w:eastAsia="Arial" w:hAnsi="Arial"/>
          <w:sz w:val="20"/>
          <w:szCs w:val="20"/>
        </w:rPr>
        <w:t xml:space="preserve">When multiple surgical procedure codes are entered on an anesthesia claim, the system shall automatically identify the major procedure (highest listed anaesthetic benefit), calculate the full benefit for the major procedure, and apply the correct reduced-rate calculation for each additional procedure.</w:t>
      </w:r>
    </w:p>
    <w:p>
      <w:pPr>
        <w:pStyle w:val="ListParagraph"/>
        <w:numPr>
          <w:ilvl w:val="0"/>
          <w:numId w:val="9"/>
        </w:numPr>
        <w:spacing w:after="80"/>
      </w:pPr>
      <w:r>
        <w:rPr>
          <w:rFonts w:ascii="Arial" w:cs="Arial" w:eastAsia="Arial" w:hAnsi="Arial"/>
          <w:sz w:val="20"/>
          <w:szCs w:val="20"/>
        </w:rPr>
        <w:t xml:space="preserve">The system shall prompt the anaesthesiologist with conditional questions where the calculation depends on clinical context: (a) “Is this a redo procedure through a previous incision?” (triggers 125/150% calculation); (b) “Does this compound fracture require extensive debridement?” (triggers 50% uplift); (c) “Is this an open reduction with skeletal fixation?” (triggers full-rate-per-fracture rule).</w:t>
      </w:r>
    </w:p>
    <w:p>
      <w:pPr>
        <w:pStyle w:val="ListParagraph"/>
        <w:numPr>
          <w:ilvl w:val="0"/>
          <w:numId w:val="9"/>
        </w:numPr>
        <w:spacing w:after="80"/>
      </w:pPr>
      <w:r>
        <w:rPr>
          <w:rFonts w:ascii="Arial" w:cs="Arial" w:eastAsia="Arial" w:hAnsi="Arial"/>
          <w:sz w:val="20"/>
          <w:szCs w:val="20"/>
        </w:rPr>
        <w:t xml:space="preserve">The system shall support time-based anesthesia claims with start time, end time, and/or duration entry. The calculated benefit shall be displayed in real-time as the physician enters time values.</w:t>
      </w:r>
    </w:p>
    <w:p>
      <w:pPr>
        <w:pStyle w:val="ListParagraph"/>
        <w:numPr>
          <w:ilvl w:val="0"/>
          <w:numId w:val="9"/>
        </w:numPr>
        <w:spacing w:after="80"/>
      </w:pPr>
      <w:r>
        <w:rPr>
          <w:rFonts w:ascii="Arial" w:cs="Arial" w:eastAsia="Arial" w:hAnsi="Arial"/>
          <w:sz w:val="20"/>
          <w:szCs w:val="20"/>
        </w:rPr>
        <w:t xml:space="preserve">The system shall display a transparent calculation breakdown showing each component of the total anaesthetic benefit (major procedure value, additional procedure values at reduced rates, any uplifts applied). The physician must be able to see exactly how the total was computed.</w:t>
      </w:r>
    </w:p>
    <w:p>
      <w:pPr>
        <w:pStyle w:val="ListParagraph"/>
        <w:numPr>
          <w:ilvl w:val="0"/>
          <w:numId w:val="9"/>
        </w:numPr>
        <w:spacing w:after="80"/>
      </w:pPr>
      <w:r>
        <w:rPr>
          <w:rFonts w:ascii="Arial" w:cs="Arial" w:eastAsia="Arial" w:hAnsi="Arial"/>
          <w:sz w:val="20"/>
          <w:szCs w:val="20"/>
        </w:rPr>
        <w:t xml:space="preserve">For skin lesion procedures under 35 minutes of anaesthesia, the system shall enforce the single-benefit cap and display guidance explaining the rule.</w:t>
      </w:r>
    </w:p>
    <w:p>
      <w:pPr>
        <w:pStyle w:val="ListParagraph"/>
        <w:numPr>
          <w:ilvl w:val="0"/>
          <w:numId w:val="9"/>
        </w:numPr>
        <w:spacing w:after="80"/>
      </w:pPr>
      <w:r>
        <w:rPr>
          <w:rFonts w:ascii="Arial" w:cs="Arial" w:eastAsia="Arial" w:hAnsi="Arial"/>
          <w:sz w:val="20"/>
          <w:szCs w:val="20"/>
        </w:rPr>
        <w:t xml:space="preserve">All calculation rules shall be stored as structured reference data in the SOMB governing rules data set, versioned and updateable without code deployment.</w:t>
      </w:r>
    </w:p>
    <w:p>
      <w:pPr>
        <w:pStyle w:val="ListParagraph"/>
        <w:numPr>
          <w:ilvl w:val="0"/>
          <w:numId w:val="9"/>
        </w:numPr>
        <w:spacing w:after="80"/>
      </w:pPr>
      <w:r>
        <w:rPr>
          <w:rFonts w:ascii="Arial" w:cs="Arial" w:eastAsia="Arial" w:hAnsi="Arial"/>
          <w:sz w:val="20"/>
          <w:szCs w:val="20"/>
        </w:rPr>
        <w:t xml:space="preserve">The system shall validate that the calculated benefit matches SOMB rules before submission. If the physician manually overrides the calculated value, the override shall be logged and flagged for review.</w:t>
      </w:r>
    </w:p>
    <w:p>
      <w:r>
        <w:br w:type="page"/>
      </w:r>
    </w:p>
    <w:p>
      <w:pPr>
        <w:pStyle w:val="Heading1"/>
      </w:pPr>
      <w:r>
        <w:t xml:space="preserve">9. Reciprocal (Out-of-Province) Billing</w:t>
      </w:r>
    </w:p>
    <w:p>
      <w:pPr>
        <w:pStyle w:val="Heading2"/>
      </w:pPr>
      <w:r>
        <w:t xml:space="preserve">9.1 Context</w:t>
      </w:r>
    </w:p>
    <w:p>
      <w:pPr>
        <w:spacing w:after="120"/>
      </w:pPr>
      <w:r>
        <w:rPr>
          <w:rFonts w:ascii="Arial" w:cs="Arial" w:eastAsia="Arial" w:hAnsi="Arial"/>
          <w:sz w:val="20"/>
          <w:szCs w:val="20"/>
        </w:rPr>
        <w:t xml:space="preserve">Alberta physicians, particularly those working in emergency departments, regularly treat patients from other Canadian provinces. Under interprovincial reciprocal billing agreements, Alberta Health accepts claims for these patients and settles with the patient’s home province. All provinces and territories participate except Quebec, where the patient must be billed directly. This is especially important for Meritum’s ED physician user base: a rural ED in a border or tourism area may see out-of-province patients on a daily basis.</w:t>
      </w:r>
    </w:p>
    <w:p>
      <w:pPr>
        <w:pStyle w:val="Heading2"/>
      </w:pPr>
      <w:r>
        <w:t xml:space="preserve">9.2 Reciprocal Billing Mechanics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Field / Element</w:t>
            </w:r>
          </w:p>
        </w:tc>
        <w:tc>
          <w:tcPr>
            <w:tcW w:type="dxa" w:w="6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Claim Submission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Reciprocal claims are submitted through H-Link like standard AHCIP claims. The key difference is the patient identifier: the out-of-province health number is used instead of an Alberta PHN. Alberta Health handles the interprovincial settlement with the home province.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Province Identification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Each province issues health numbers in a distinct format (varying digit counts, letter prefixes, check-digit algorithms). The system must detect the province of origin from the health number format and populate the claim’s province field accordingly.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Eligibility Verification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Standard H-Link eligibility inquiry may not return results for out-of-province numbers. The physician’s primary verification method is the patient’s physical health card. The system should accept the out-of-province number with a reduced verification expectation and display guidance.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Covered Services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Most physician services covered under AHCIP are also covered under reciprocal agreements. Specific exclusions exist (e.g. certain elective procedures, some outpatient diagnostic services). The system should flag codes with known reciprocal exclusions.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Quebec Exception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Quebec does not participate in interprovincial physician reciprocal billing. Patients from Quebec must be billed directly (private billing). The system must detect Quebec health numbers and route to the private billing workflow instead of H-Link.</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Payment Cycle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Reciprocal claims are assessed and paid by Alberta Health on the same weekly cycle as AHCIP claims. Alberta Health then recovers the cost from the home province. From the physician’s perspective, the payment experience is identical to a standard claim.</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Card Expiry</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Out-of-province health cards may have expiry dates. A card with a past expiry date may indicate lapsed coverage. The system should prompt the physician to verify coverage if the entered card details suggest expiry.</w:t>
            </w:r>
          </w:p>
        </w:tc>
      </w:tr>
    </w:tbl>
    <w:p>
      <w:pPr>
        <w:spacing w:before="160"/>
      </w:pPr>
    </w:p>
    <w:p>
      <w:pPr>
        <w:pStyle w:val="Heading2"/>
      </w:pPr>
      <w:r>
        <w:t xml:space="preserve">9.3 Provincial Health Number Formats</w:t>
      </w:r>
    </w:p>
    <w:p>
      <w:pPr>
        <w:spacing w:after="120"/>
      </w:pPr>
      <w:r>
        <w:rPr>
          <w:rFonts w:ascii="Arial" w:cs="Arial" w:eastAsia="Arial" w:hAnsi="Arial"/>
          <w:sz w:val="20"/>
          <w:szCs w:val="20"/>
        </w:rPr>
        <w:t xml:space="preserve">The system must recognise the following health number formats to auto-detect the patient’s home province. These formats should be maintained as reference data, as provinces occasionally update their numbering schemes.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Field / Element</w:t>
            </w:r>
          </w:p>
        </w:tc>
        <w:tc>
          <w:tcPr>
            <w:tcW w:type="dxa" w:w="6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Alberta</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 digits, numeric only. Check-digit algorithm (Luhn variant).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British Columbia</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 digits, numeric only.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Saskatchewan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 digits, numeric only.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Manitoba</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 digits + optional check letter, or 9 digits (newer format).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Ontario</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 digits, numeric only. Often displayed as XXXX-XXX-XXX.</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Quebec</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 letters + 8 digits (RAMC format). Detection of this format triggers private billing workflow.</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New Brunswick</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9 digits, numeric only.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Nova Scotia</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 digits, numeric only.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PEI</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8 digits, numeric only (may include leading zeros).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Newfoundland &amp; Labrador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 digits in older format, or MCP number format.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Territories (YT, NT, NU)</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Variable formats; typically 7–9 digits. Lower volume; manual province selection acceptable as fallback.</w:t>
            </w:r>
          </w:p>
        </w:tc>
      </w:tr>
    </w:tbl>
    <w:p>
      <w:pPr>
        <w:spacing w:before="160"/>
      </w:pPr>
    </w:p>
    <w:p>
      <w:pPr>
        <w:pStyle w:val="Heading2"/>
      </w:pPr>
      <w:r>
        <w:t xml:space="preserve">9.4 Functional Requirements</w:t>
      </w:r>
    </w:p>
    <w:p>
      <w:pPr>
        <w:pStyle w:val="ListParagraph"/>
        <w:numPr>
          <w:ilvl w:val="0"/>
          <w:numId w:val="10"/>
        </w:numPr>
        <w:spacing w:after="80"/>
      </w:pPr>
      <w:r>
        <w:rPr>
          <w:rFonts w:ascii="Arial" w:cs="Arial" w:eastAsia="Arial" w:hAnsi="Arial"/>
          <w:sz w:val="20"/>
          <w:szCs w:val="20"/>
        </w:rPr>
        <w:t xml:space="preserve">When a health number is entered on a claim, the system shall attempt to auto-detect the province of origin based on the number format. If a non-Alberta format is detected, the system shall automatically switch the claim to reciprocal billing mode and populate the province field.</w:t>
      </w:r>
    </w:p>
    <w:p>
      <w:pPr>
        <w:pStyle w:val="ListParagraph"/>
        <w:numPr>
          <w:ilvl w:val="0"/>
          <w:numId w:val="10"/>
        </w:numPr>
        <w:spacing w:after="80"/>
      </w:pPr>
      <w:r>
        <w:rPr>
          <w:rFonts w:ascii="Arial" w:cs="Arial" w:eastAsia="Arial" w:hAnsi="Arial"/>
          <w:sz w:val="20"/>
          <w:szCs w:val="20"/>
        </w:rPr>
        <w:t xml:space="preserve">In reciprocal billing mode, the claim form shall display the identified province, suppress the Alberta-specific PHN validation (which would reject a valid out-of-province number), and apply province-specific format validation instead.</w:t>
      </w:r>
    </w:p>
    <w:p>
      <w:pPr>
        <w:pStyle w:val="ListParagraph"/>
        <w:numPr>
          <w:ilvl w:val="0"/>
          <w:numId w:val="10"/>
        </w:numPr>
        <w:spacing w:after="80"/>
      </w:pPr>
      <w:r>
        <w:rPr>
          <w:rFonts w:ascii="Arial" w:cs="Arial" w:eastAsia="Arial" w:hAnsi="Arial"/>
          <w:sz w:val="20"/>
          <w:szCs w:val="20"/>
        </w:rPr>
        <w:t xml:space="preserve">If a Quebec health number (4 letters + 8 digits) is detected, the system shall not submit the claim through H-Link. Instead, it shall redirect the physician to the private billing workflow with a clear explanation: “Quebec does not participate in reciprocal physician billing. This patient must be invoiced directly.”</w:t>
      </w:r>
    </w:p>
    <w:p>
      <w:pPr>
        <w:pStyle w:val="ListParagraph"/>
        <w:numPr>
          <w:ilvl w:val="0"/>
          <w:numId w:val="10"/>
        </w:numPr>
        <w:spacing w:after="80"/>
      </w:pPr>
      <w:r>
        <w:rPr>
          <w:rFonts w:ascii="Arial" w:cs="Arial" w:eastAsia="Arial" w:hAnsi="Arial"/>
          <w:sz w:val="20"/>
          <w:szCs w:val="20"/>
        </w:rPr>
        <w:t xml:space="preserve">The system shall flag service codes with known reciprocal billing exclusions and display a warning: “This service code may not be covered under reciprocal billing for [province] patients. Verify coverage before submitting.”</w:t>
      </w:r>
    </w:p>
    <w:p>
      <w:pPr>
        <w:pStyle w:val="ListParagraph"/>
        <w:numPr>
          <w:ilvl w:val="0"/>
          <w:numId w:val="10"/>
        </w:numPr>
        <w:spacing w:after="80"/>
      </w:pPr>
      <w:r>
        <w:rPr>
          <w:rFonts w:ascii="Arial" w:cs="Arial" w:eastAsia="Arial" w:hAnsi="Arial"/>
          <w:sz w:val="20"/>
          <w:szCs w:val="20"/>
        </w:rPr>
        <w:t xml:space="preserve">Reciprocal claims shall be tagged with the patient’s home province and tracked separately in reporting. The dashboard shall show reciprocal claim volume, acceptance rate, and any province-specific rejection patterns.</w:t>
      </w:r>
    </w:p>
    <w:p>
      <w:pPr>
        <w:pStyle w:val="ListParagraph"/>
        <w:numPr>
          <w:ilvl w:val="0"/>
          <w:numId w:val="10"/>
        </w:numPr>
        <w:spacing w:after="80"/>
      </w:pPr>
      <w:r>
        <w:rPr>
          <w:rFonts w:ascii="Arial" w:cs="Arial" w:eastAsia="Arial" w:hAnsi="Arial"/>
          <w:sz w:val="20"/>
          <w:szCs w:val="20"/>
        </w:rPr>
        <w:t xml:space="preserve">The system shall support manual province selection as an override for cases where the health number format is ambiguous or belongs to a territory with variable numbering.</w:t>
      </w:r>
    </w:p>
    <w:p>
      <w:pPr>
        <w:pStyle w:val="ListParagraph"/>
        <w:numPr>
          <w:ilvl w:val="0"/>
          <w:numId w:val="10"/>
        </w:numPr>
        <w:spacing w:after="80"/>
      </w:pPr>
      <w:r>
        <w:rPr>
          <w:rFonts w:ascii="Arial" w:cs="Arial" w:eastAsia="Arial" w:hAnsi="Arial"/>
          <w:sz w:val="20"/>
          <w:szCs w:val="20"/>
        </w:rPr>
        <w:t xml:space="preserve">Provincial health number format definitions shall be maintained as reference data, updateable without code deployment.</w:t>
      </w:r>
    </w:p>
    <w:p>
      <w:r>
        <w:br w:type="page"/>
      </w:r>
    </w:p>
    <w:p>
      <w:pPr>
        <w:pStyle w:val="Heading1"/>
      </w:pPr>
      <w:r>
        <w:t xml:space="preserve">10. Multi-Procedure Bundling and Unbundling</w:t>
      </w:r>
    </w:p>
    <w:p>
      <w:pPr>
        <w:pStyle w:val="Heading2"/>
      </w:pPr>
      <w:r>
        <w:t xml:space="preserve">10.1 Context</w:t>
      </w:r>
    </w:p>
    <w:p>
      <w:pPr>
        <w:spacing w:after="120"/>
      </w:pPr>
      <w:r>
        <w:rPr>
          <w:rFonts w:ascii="Arial" w:cs="Arial" w:eastAsia="Arial" w:hAnsi="Arial"/>
          <w:sz w:val="20"/>
          <w:szCs w:val="20"/>
        </w:rPr>
        <w:t xml:space="preserve">SOMB defines complex rules about which procedure codes can be billed together on the same claim and which are considered intrinsically linked (and therefore bundled into a single fee). These bundling rules are one of the primary sources of claim rejections and audit triggers: overbilling bundled procedures gets claims rejected and may initiate a compliance review; underbilling by failing to claim separately billable procedures leaves money on the table.</w:t>
      </w:r>
    </w:p>
    <w:p>
      <w:pPr>
        <w:spacing w:after="120"/>
      </w:pPr>
      <w:r>
        <w:rPr>
          <w:rFonts w:ascii="Arial" w:cs="Arial" w:eastAsia="Arial" w:hAnsi="Arial"/>
          <w:sz w:val="20"/>
          <w:szCs w:val="20"/>
        </w:rPr>
        <w:t xml:space="preserve">Critically, WCB Alberta uses the opposite approach for the same procedures. Under WCB, physicians are entitled to a separate, unbundled fee payable at 100% for each distinct part of a procedure, except where components are intrinsically linked. The same physician performing the same procedures bills them differently depending on the payer. This is exactly the kind of complexity that a rules engine handles better than a human billing agent.</w:t>
      </w:r>
    </w:p>
    <w:p>
      <w:pPr>
        <w:pStyle w:val="Heading2"/>
      </w:pPr>
      <w:r>
        <w:t xml:space="preserve">10.2 Bundling and Unbundling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Field / Element</w:t>
            </w:r>
          </w:p>
        </w:tc>
        <w:tc>
          <w:tcPr>
            <w:tcW w:type="dxa" w:w="6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AHCIP Bundling</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When multiple procedures are performed in the same session, SOMB defines which combinations are bundled (only the higher-value code is payable) and which are independently billable. The bundling rules are published as part of the SOMB governing rules, typically expressed as code-pair restrictions (e.g. “Code 92.8D cannot be billed with Code 92.32B”).</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WCB Unbundling</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WCB Alberta pays a separate, unbundled fee at 100% for each distinct procedure. The exception is when one part of a procedure is required to complete another (intrinsically linked components); in that case, normal Alberta Health bundling rules apply. This distinction requires the system to maintain both the bundling rules and the intrinsic-linkage exceptions.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Inclusive Care Periods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Surgical codes (SOMB category 1–15) carry pre-operative and post-operative inclusive care periods. Visits during these windows are considered part of the surgical benefit and are not separately billable, with two exceptions: (a) conservative measures in hospital to avoid surgery, and (b) post-operative complications. Both exceptions require text justification.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Multiple Procedure Reductions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When multiple independently billable procedures are performed in the same session, SOMB may apply a reduction to the secondary procedures (e.g. 50% of listed benefit for the second procedure). The reduction schedule varies by procedure category.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Modifier Interactions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Certain modifier combinations are invalid or trigger specific payment rules. The system must validate modifier combinations against SOMB rules.</w:t>
            </w:r>
          </w:p>
        </w:tc>
      </w:tr>
    </w:tbl>
    <w:p>
      <w:pPr>
        <w:spacing w:before="160"/>
      </w:pPr>
    </w:p>
    <w:p>
      <w:pPr>
        <w:pStyle w:val="Heading2"/>
      </w:pPr>
      <w:r>
        <w:t xml:space="preserve">10.3 Functional Requirements</w:t>
      </w:r>
    </w:p>
    <w:p>
      <w:pPr>
        <w:pStyle w:val="ListParagraph"/>
        <w:numPr>
          <w:ilvl w:val="0"/>
          <w:numId w:val="11"/>
        </w:numPr>
        <w:spacing w:after="80"/>
      </w:pPr>
      <w:r>
        <w:rPr>
          <w:rFonts w:ascii="Arial" w:cs="Arial" w:eastAsia="Arial" w:hAnsi="Arial"/>
          <w:sz w:val="20"/>
          <w:szCs w:val="20"/>
        </w:rPr>
        <w:t xml:space="preserve">The system shall maintain a structured bundling rules data set derived from SOMB governing rules, defining which code pairs are bundled (only higher-value payable), which are independently billable, and which are intrinsically linked.</w:t>
      </w:r>
    </w:p>
    <w:p>
      <w:pPr>
        <w:pStyle w:val="ListParagraph"/>
        <w:numPr>
          <w:ilvl w:val="0"/>
          <w:numId w:val="11"/>
        </w:numPr>
        <w:spacing w:after="80"/>
      </w:pPr>
      <w:r>
        <w:rPr>
          <w:rFonts w:ascii="Arial" w:cs="Arial" w:eastAsia="Arial" w:hAnsi="Arial"/>
          <w:sz w:val="20"/>
          <w:szCs w:val="20"/>
        </w:rPr>
        <w:t xml:space="preserve">When a physician enters multiple procedure codes on a single AHCIP claim, the system shall automatically check each code pair against the bundling rules. If a bundled pair is detected, the system shall: (a) alert the physician that the codes are bundled, (b) identify which code is the higher-value code, and (c) recommend removing or replacing the lower-value code.</w:t>
      </w:r>
    </w:p>
    <w:p>
      <w:pPr>
        <w:pStyle w:val="ListParagraph"/>
        <w:numPr>
          <w:ilvl w:val="0"/>
          <w:numId w:val="11"/>
        </w:numPr>
        <w:spacing w:after="80"/>
      </w:pPr>
      <w:r>
        <w:rPr>
          <w:rFonts w:ascii="Arial" w:cs="Arial" w:eastAsia="Arial" w:hAnsi="Arial"/>
          <w:sz w:val="20"/>
          <w:szCs w:val="20"/>
        </w:rPr>
        <w:t xml:space="preserve">When the same procedure codes are entered on a WCB claim, the system shall apply WCB unbundling rules: each distinct procedure is billable at 100% unless the codes are intrinsically linked. The system shall display the per-procedure fee and the total claim value.</w:t>
      </w:r>
    </w:p>
    <w:p>
      <w:pPr>
        <w:pStyle w:val="ListParagraph"/>
        <w:numPr>
          <w:ilvl w:val="0"/>
          <w:numId w:val="11"/>
        </w:numPr>
        <w:spacing w:after="80"/>
      </w:pPr>
      <w:r>
        <w:rPr>
          <w:rFonts w:ascii="Arial" w:cs="Arial" w:eastAsia="Arial" w:hAnsi="Arial"/>
          <w:sz w:val="20"/>
          <w:szCs w:val="20"/>
        </w:rPr>
        <w:t xml:space="preserve">The system shall enforce inclusive care period rules for surgical codes. If a physician creates a visit claim for a patient who has a surgical claim within the inclusive care window, the system shall alert: “This visit falls within the inclusive care period for [surgical code] performed on [date]. This visit is not separately billable unless it is for pre-operative conservative measures or a post-operative complication.” The physician can override with text justification (see Section 12).</w:t>
      </w:r>
    </w:p>
    <w:p>
      <w:pPr>
        <w:pStyle w:val="ListParagraph"/>
        <w:numPr>
          <w:ilvl w:val="0"/>
          <w:numId w:val="11"/>
        </w:numPr>
        <w:spacing w:after="80"/>
      </w:pPr>
      <w:r>
        <w:rPr>
          <w:rFonts w:ascii="Arial" w:cs="Arial" w:eastAsia="Arial" w:hAnsi="Arial"/>
          <w:sz w:val="20"/>
          <w:szCs w:val="20"/>
        </w:rPr>
        <w:t xml:space="preserve">When multiple independently billable procedures have a reduction schedule (e.g. secondary procedure at 50%), the system shall automatically apply the correct reduction and display the calculation transparently.</w:t>
      </w:r>
    </w:p>
    <w:p>
      <w:pPr>
        <w:pStyle w:val="ListParagraph"/>
        <w:numPr>
          <w:ilvl w:val="0"/>
          <w:numId w:val="11"/>
        </w:numPr>
        <w:spacing w:after="80"/>
      </w:pPr>
      <w:r>
        <w:rPr>
          <w:rFonts w:ascii="Arial" w:cs="Arial" w:eastAsia="Arial" w:hAnsi="Arial"/>
          <w:sz w:val="20"/>
          <w:szCs w:val="20"/>
        </w:rPr>
        <w:t xml:space="preserve">The system shall validate modifier combinations and flag invalid or contradictory modifier pairs before submission.</w:t>
      </w:r>
    </w:p>
    <w:p>
      <w:pPr>
        <w:pStyle w:val="ListParagraph"/>
        <w:numPr>
          <w:ilvl w:val="0"/>
          <w:numId w:val="11"/>
        </w:numPr>
        <w:spacing w:after="80"/>
      </w:pPr>
      <w:r>
        <w:rPr>
          <w:rFonts w:ascii="Arial" w:cs="Arial" w:eastAsia="Arial" w:hAnsi="Arial"/>
          <w:sz w:val="20"/>
          <w:szCs w:val="20"/>
        </w:rPr>
        <w:t xml:space="preserve">All bundling rules, intrinsic-linkage exceptions, inclusive care periods, and reduction schedules shall be stored as structured reference data, versioned and updateable without code deployment.</w:t>
      </w:r>
    </w:p>
    <w:p>
      <w:pPr>
        <w:pStyle w:val="ListParagraph"/>
        <w:numPr>
          <w:ilvl w:val="0"/>
          <w:numId w:val="11"/>
        </w:numPr>
        <w:spacing w:after="80"/>
      </w:pPr>
      <w:r>
        <w:rPr>
          <w:rFonts w:ascii="Arial" w:cs="Arial" w:eastAsia="Arial" w:hAnsi="Arial"/>
          <w:sz w:val="20"/>
          <w:szCs w:val="20"/>
        </w:rPr>
        <w:t xml:space="preserve">The system shall log every bundling/unbundling decision made (including physician overrides) for audit trail purposes.</w:t>
      </w:r>
    </w:p>
    <w:p>
      <w:r>
        <w:br w:type="page"/>
      </w:r>
    </w:p>
    <w:p>
      <w:pPr>
        <w:pStyle w:val="Heading1"/>
      </w:pPr>
      <w:r>
        <w:t xml:space="preserve">11. Mixed FFS/ARP Smart Routing</w:t>
      </w:r>
    </w:p>
    <w:p>
      <w:pPr>
        <w:pStyle w:val="Heading2"/>
      </w:pPr>
      <w:r>
        <w:t xml:space="preserve">11.1 Context</w:t>
      </w:r>
    </w:p>
    <w:p>
      <w:pPr>
        <w:spacing w:after="120"/>
      </w:pPr>
      <w:r>
        <w:rPr>
          <w:rFonts w:ascii="Arial" w:cs="Arial" w:eastAsia="Arial" w:hAnsi="Arial"/>
          <w:sz w:val="20"/>
          <w:szCs w:val="20"/>
        </w:rPr>
        <w:t xml:space="preserve">Many Alberta physicians split their practice between fee-for-service and ARP-compensated work. A common pattern is hospital shifts under a sessional ARP and clinic days under FFS. Getting the BA routing wrong has direct financial consequences: submitting a real FFS claim under the ARP BA means the physician is never paid for the service (it returns at $0). Submitting an ARP shadow-bill under the FFS BA means the physician receives payment for work they are already salaried for, creating an overpayment that Alberta Health will recover in audit, potentially triggering a compliance review.</w:t>
      </w:r>
    </w:p>
    <w:p>
      <w:pPr>
        <w:spacing w:after="120"/>
      </w:pPr>
      <w:r>
        <w:rPr>
          <w:rFonts w:ascii="Arial" w:cs="Arial" w:eastAsia="Arial" w:hAnsi="Arial"/>
          <w:sz w:val="20"/>
          <w:szCs w:val="20"/>
        </w:rPr>
        <w:t xml:space="preserve">ResolvMD handles this with dedicated billing agents who know each physician’s ARP arrangement. Meritum must replicate this knowledge computationally using the physician’s profile data and contextual claim information.</w:t>
      </w:r>
    </w:p>
    <w:p>
      <w:pPr>
        <w:pStyle w:val="Heading2"/>
      </w:pPr>
      <w:r>
        <w:t xml:space="preserve">11.2 Routing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Field / Element</w:t>
            </w:r>
          </w:p>
        </w:tc>
        <w:tc>
          <w:tcPr>
            <w:tcW w:type="dxa" w:w="6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Facility-Based Routing</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During onboarding, the physician maps each of their BAs to the facilities or practice locations where that BA applies (e.g. “ARP Sessional” → Foothills Medical Centre, Peter Lougheed Centre; “FFS” → Main Street Clinic). When a claim includes a facility code, the system uses this mapping to default to the correct BA.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Time-Based Routing</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Some ARP arrangements are time-bound (e.g. hospital shifts on specific days). The physician can optionally define a schedule (e.g. “ARP applies Monday/Wednesday/Friday”). When a claim’s date of service matches the schedule, the system defaults to the ARP BA.</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Service-Code Routing</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Certain service codes may be exclusively associated with ARP work (e.g. ARP S-codes) or exclusively FFS. The system shall use code type as a routing signal.</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Default + Override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If the system cannot determine the correct BA from context (no facility match, no schedule match), it defaults to the physician’s primary BA and prompts for confirmation. The physician can always override the default.</w:t>
            </w:r>
          </w:p>
        </w:tc>
      </w:tr>
    </w:tbl>
    <w:p>
      <w:pPr>
        <w:spacing w:before="160"/>
      </w:pPr>
    </w:p>
    <w:p>
      <w:pPr>
        <w:pStyle w:val="Heading2"/>
      </w:pPr>
      <w:r>
        <w:t xml:space="preserve">11.3 Functional Requirements</w:t>
      </w:r>
    </w:p>
    <w:p>
      <w:pPr>
        <w:pStyle w:val="ListParagraph"/>
        <w:numPr>
          <w:ilvl w:val="0"/>
          <w:numId w:val="12"/>
        </w:numPr>
        <w:spacing w:after="80"/>
      </w:pPr>
      <w:r>
        <w:rPr>
          <w:rFonts w:ascii="Arial" w:cs="Arial" w:eastAsia="Arial" w:hAnsi="Arial"/>
          <w:sz w:val="20"/>
          <w:szCs w:val="20"/>
        </w:rPr>
        <w:t xml:space="preserve">During provider onboarding, the system shall allow the physician to map each registered BA to one or more facility codes and/or practice locations.</w:t>
      </w:r>
    </w:p>
    <w:p>
      <w:pPr>
        <w:pStyle w:val="ListParagraph"/>
        <w:numPr>
          <w:ilvl w:val="0"/>
          <w:numId w:val="12"/>
        </w:numPr>
        <w:spacing w:after="80"/>
      </w:pPr>
      <w:r>
        <w:rPr>
          <w:rFonts w:ascii="Arial" w:cs="Arial" w:eastAsia="Arial" w:hAnsi="Arial"/>
          <w:sz w:val="20"/>
          <w:szCs w:val="20"/>
        </w:rPr>
        <w:t xml:space="preserve">The system shall optionally allow the physician to define a weekly schedule associating specific days or time ranges with specific BAs.</w:t>
      </w:r>
    </w:p>
    <w:p>
      <w:pPr>
        <w:pStyle w:val="ListParagraph"/>
        <w:numPr>
          <w:ilvl w:val="0"/>
          <w:numId w:val="12"/>
        </w:numPr>
        <w:spacing w:after="80"/>
      </w:pPr>
      <w:r>
        <w:rPr>
          <w:rFonts w:ascii="Arial" w:cs="Arial" w:eastAsia="Arial" w:hAnsi="Arial"/>
          <w:sz w:val="20"/>
          <w:szCs w:val="20"/>
        </w:rPr>
        <w:t xml:space="preserve">During claim creation, the system shall auto-select the BA based on the following priority: (1) service code type (ARP S-code forces ARP BA), (2) facility code mapping, (3) schedule mapping, (4) physician’s designated primary BA as fallback.</w:t>
      </w:r>
    </w:p>
    <w:p>
      <w:pPr>
        <w:pStyle w:val="ListParagraph"/>
        <w:numPr>
          <w:ilvl w:val="0"/>
          <w:numId w:val="12"/>
        </w:numPr>
        <w:spacing w:after="80"/>
      </w:pPr>
      <w:r>
        <w:rPr>
          <w:rFonts w:ascii="Arial" w:cs="Arial" w:eastAsia="Arial" w:hAnsi="Arial"/>
          <w:sz w:val="20"/>
          <w:szCs w:val="20"/>
        </w:rPr>
        <w:t xml:space="preserve">When the system auto-selects a BA, the selection shall be displayed prominently on the claim form with a clear label (e.g. “Billing under: ARP Sessional – Foothills Medical Centre”). The physician can change the selection with one click.</w:t>
      </w:r>
    </w:p>
    <w:p>
      <w:pPr>
        <w:pStyle w:val="ListParagraph"/>
        <w:numPr>
          <w:ilvl w:val="0"/>
          <w:numId w:val="12"/>
        </w:numPr>
        <w:spacing w:after="80"/>
      </w:pPr>
      <w:r>
        <w:rPr>
          <w:rFonts w:ascii="Arial" w:cs="Arial" w:eastAsia="Arial" w:hAnsi="Arial"/>
          <w:sz w:val="20"/>
          <w:szCs w:val="20"/>
        </w:rPr>
        <w:t xml:space="preserve">If the physician manually selects a BA that conflicts with the contextual routing logic (e.g. selecting FFS BA for a claim at a facility mapped to ARP), the system shall display a warning: “This facility is mapped to your ARP BA. Are you sure you want to bill this under FFS?” The physician can confirm or change.</w:t>
      </w:r>
    </w:p>
    <w:p>
      <w:pPr>
        <w:pStyle w:val="ListParagraph"/>
        <w:numPr>
          <w:ilvl w:val="0"/>
          <w:numId w:val="12"/>
        </w:numPr>
        <w:spacing w:after="80"/>
      </w:pPr>
      <w:r>
        <w:rPr>
          <w:rFonts w:ascii="Arial" w:cs="Arial" w:eastAsia="Arial" w:hAnsi="Arial"/>
          <w:sz w:val="20"/>
          <w:szCs w:val="20"/>
        </w:rPr>
        <w:t xml:space="preserve">The system shall generate a weekly summary alert if any claims appear to be mis-routed based on the routing rules (e.g. FFS claims at ARP-mapped facilities). This catch-net helps identify routing errors before they compound.</w:t>
      </w:r>
    </w:p>
    <w:p>
      <w:pPr>
        <w:pStyle w:val="ListParagraph"/>
        <w:numPr>
          <w:ilvl w:val="0"/>
          <w:numId w:val="12"/>
        </w:numPr>
        <w:spacing w:after="80"/>
      </w:pPr>
      <w:r>
        <w:rPr>
          <w:rFonts w:ascii="Arial" w:cs="Arial" w:eastAsia="Arial" w:hAnsi="Arial"/>
          <w:sz w:val="20"/>
          <w:szCs w:val="20"/>
        </w:rPr>
        <w:t xml:space="preserve">Routing configuration (facility mappings, schedules) shall be editable by the physician at any time. Changes apply to new claims only; existing claims are not retroactively re-routed.</w:t>
      </w:r>
    </w:p>
    <w:p>
      <w:r>
        <w:br w:type="page"/>
      </w:r>
    </w:p>
    <w:p>
      <w:pPr>
        <w:pStyle w:val="Heading1"/>
      </w:pPr>
      <w:r>
        <w:t xml:space="preserve">12. Text Justification Templates</w:t>
      </w:r>
    </w:p>
    <w:p>
      <w:pPr>
        <w:pStyle w:val="Heading2"/>
      </w:pPr>
      <w:r>
        <w:t xml:space="preserve">12.1 Context</w:t>
      </w:r>
    </w:p>
    <w:p>
      <w:pPr>
        <w:spacing w:after="120"/>
      </w:pPr>
      <w:r>
        <w:rPr>
          <w:rFonts w:ascii="Arial" w:cs="Arial" w:eastAsia="Arial" w:hAnsi="Arial"/>
          <w:sz w:val="20"/>
          <w:szCs w:val="20"/>
        </w:rPr>
        <w:t xml:space="preserve">Several SOMB billing scenarios require free-text clinical justification appended to the claim. These claims are manually reviewed by Alberta Health assessors rather than auto-adjudicated, and a poorly-structured or incomplete justification is the primary reason for rejection. The scenarios requiring text justification include: unlisted procedures (no SOMB code exists for the service performed), additional compensation requests under Governing Rule 2.6, pre-operative visits during the inclusive care period (conservative measures exception), post-operative complication visits during the inclusive care period, and certain high-value or unusual service combinations.</w:t>
      </w:r>
    </w:p>
    <w:p>
      <w:pPr>
        <w:spacing w:after="120"/>
      </w:pPr>
      <w:r>
        <w:rPr>
          <w:rFonts w:ascii="Arial" w:cs="Arial" w:eastAsia="Arial" w:hAnsi="Arial"/>
          <w:sz w:val="20"/>
          <w:szCs w:val="20"/>
        </w:rPr>
        <w:t xml:space="preserve">ResolvMD and Alberta Medical Billing both highlight their expertise in handling these scenarios as a competitive advantage. Meritum can provide comparable support through structured templates that scaffold the justification text, ensuring the physician includes all required elements while writing the clinical specifics themselves.</w:t>
      </w:r>
    </w:p>
    <w:p>
      <w:pPr>
        <w:pStyle w:val="Heading2"/>
      </w:pPr>
      <w:r>
        <w:t xml:space="preserve">12.2 Justification Scenarios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Field / Element</w:t>
            </w:r>
          </w:p>
        </w:tc>
        <w:tc>
          <w:tcPr>
            <w:tcW w:type="dxa" w:w="6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Unlisted Procedure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When no SOMB code covers the procedure performed, the physician submits under the applicable unlisted procedure code with text describing: the procedure performed, the clinical indication, the comparable listed procedure and its code (for fee benchmarking), the time involved, and the requested benefit amount. Alberta Health assesses manually.</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Additional Compensation (GR 2.6)</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When a procedure is significantly more complex or time-consuming than the listed benefit contemplates, the physician may request additional compensation. The text must explain: the nature of the additional complexity, the additional time required, the specific circumstances that distinguish this case from a standard procedure.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Pre-Operative Conservative Measures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When a patient is admitted under conservative orders intended to avoid surgery and subsequently requires surgery, the pre-operative visits are separately billable. The text must explain: the conservative treatment attempted, the clinical decision to proceed to surgery, and the dates of the pre-operative visits.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Post-Operative Complication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Visits during the inclusive care period for post-operative complications are separately billable. The text must describe: the original procedure and date, the nature of the complication, the clinical findings, and the treatment provided at the complication visit.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WCB Detailed Narrative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WCB claims for complex cases may require additional narrative beyond the standard claim fields. The WCB Medical Care Invoice (C568) includes sections for treatment description, progress notes, and work capacity assessment.</w:t>
            </w:r>
          </w:p>
        </w:tc>
      </w:tr>
    </w:tbl>
    <w:p>
      <w:pPr>
        <w:spacing w:before="160"/>
      </w:pPr>
    </w:p>
    <w:p>
      <w:pPr>
        <w:pStyle w:val="Heading2"/>
      </w:pPr>
      <w:r>
        <w:t xml:space="preserve">12.3 Functional Requirements</w:t>
      </w:r>
    </w:p>
    <w:p>
      <w:pPr>
        <w:pStyle w:val="ListParagraph"/>
        <w:numPr>
          <w:ilvl w:val="0"/>
          <w:numId w:val="13"/>
        </w:numPr>
        <w:spacing w:after="80"/>
      </w:pPr>
      <w:r>
        <w:rPr>
          <w:rFonts w:ascii="Arial" w:cs="Arial" w:eastAsia="Arial" w:hAnsi="Arial"/>
          <w:sz w:val="20"/>
          <w:szCs w:val="20"/>
        </w:rPr>
        <w:t xml:space="preserve">The system shall detect when a claim requires text justification based on the service code and claim context: (a) unlisted procedure codes trigger the unlisted procedure template; (b) inclusive care period conflicts trigger the pre-op or post-op template; (c) the physician can manually invoke additional compensation or WCB narrative templates from any claim.</w:t>
      </w:r>
    </w:p>
    <w:p>
      <w:pPr>
        <w:pStyle w:val="ListParagraph"/>
        <w:numPr>
          <w:ilvl w:val="0"/>
          <w:numId w:val="13"/>
        </w:numPr>
        <w:spacing w:after="80"/>
      </w:pPr>
      <w:r>
        <w:rPr>
          <w:rFonts w:ascii="Arial" w:cs="Arial" w:eastAsia="Arial" w:hAnsi="Arial"/>
          <w:sz w:val="20"/>
          <w:szCs w:val="20"/>
        </w:rPr>
        <w:t xml:space="preserve">Each template shall present structured, prompted fields specific to the scenario. For example, the post-operative complication template shall prompt: “Original procedure code: [auto-populated if linked claim exists], Original procedure date: [auto-populated], Nature of complication: [free text], Clinical findings: [free text], Treatment provided: [free text].”</w:t>
      </w:r>
    </w:p>
    <w:p>
      <w:pPr>
        <w:pStyle w:val="ListParagraph"/>
        <w:numPr>
          <w:ilvl w:val="0"/>
          <w:numId w:val="13"/>
        </w:numPr>
        <w:spacing w:after="80"/>
      </w:pPr>
      <w:r>
        <w:rPr>
          <w:rFonts w:ascii="Arial" w:cs="Arial" w:eastAsia="Arial" w:hAnsi="Arial"/>
          <w:sz w:val="20"/>
          <w:szCs w:val="20"/>
        </w:rPr>
        <w:t xml:space="preserve">The system shall combine the prompted field entries into a formatted text block that follows the structure Alberta Health assessors expect to see. The generated text is editable by the physician before submission.</w:t>
      </w:r>
    </w:p>
    <w:p>
      <w:pPr>
        <w:pStyle w:val="ListParagraph"/>
        <w:numPr>
          <w:ilvl w:val="0"/>
          <w:numId w:val="13"/>
        </w:numPr>
        <w:spacing w:after="80"/>
      </w:pPr>
      <w:r>
        <w:rPr>
          <w:rFonts w:ascii="Arial" w:cs="Arial" w:eastAsia="Arial" w:hAnsi="Arial"/>
          <w:sz w:val="20"/>
          <w:szCs w:val="20"/>
        </w:rPr>
        <w:t xml:space="preserve">The system shall validate that all required fields in the template are completed before allowing submission. For example, an unlisted procedure justification without a comparable listed procedure code shall trigger a warning.</w:t>
      </w:r>
    </w:p>
    <w:p>
      <w:pPr>
        <w:pStyle w:val="ListParagraph"/>
        <w:numPr>
          <w:ilvl w:val="0"/>
          <w:numId w:val="13"/>
        </w:numPr>
        <w:spacing w:after="80"/>
      </w:pPr>
      <w:r>
        <w:rPr>
          <w:rFonts w:ascii="Arial" w:cs="Arial" w:eastAsia="Arial" w:hAnsi="Arial"/>
          <w:sz w:val="20"/>
          <w:szCs w:val="20"/>
        </w:rPr>
        <w:t xml:space="preserve">The physician shall be able to save a completed justification as a personal template for reuse in similar future cases (e.g. a surgeon who regularly performs the same unlisted procedure can save their justification text and modify the patient-specific details).</w:t>
      </w:r>
    </w:p>
    <w:p>
      <w:pPr>
        <w:pStyle w:val="ListParagraph"/>
        <w:numPr>
          <w:ilvl w:val="0"/>
          <w:numId w:val="13"/>
        </w:numPr>
        <w:spacing w:after="80"/>
      </w:pPr>
      <w:r>
        <w:rPr>
          <w:rFonts w:ascii="Arial" w:cs="Arial" w:eastAsia="Arial" w:hAnsi="Arial"/>
          <w:sz w:val="20"/>
          <w:szCs w:val="20"/>
        </w:rPr>
        <w:t xml:space="preserve">For claims linked to prior surgical claims (complication visits, inclusive care period overrides), the system shall auto-populate the original procedure details from the linked claim, reducing manual data entry and ensuring consistency.</w:t>
      </w:r>
    </w:p>
    <w:p>
      <w:pPr>
        <w:pStyle w:val="ListParagraph"/>
        <w:numPr>
          <w:ilvl w:val="0"/>
          <w:numId w:val="13"/>
        </w:numPr>
        <w:spacing w:after="80"/>
      </w:pPr>
      <w:r>
        <w:rPr>
          <w:rFonts w:ascii="Arial" w:cs="Arial" w:eastAsia="Arial" w:hAnsi="Arial"/>
          <w:sz w:val="20"/>
          <w:szCs w:val="20"/>
        </w:rPr>
        <w:t xml:space="preserve">Template definitions (field prompts, required fields, formatting rules) shall be stored as reference data, updateable without code deployment. New templates can be added as additional justification scenarios are identified.</w:t>
      </w:r>
    </w:p>
    <w:p>
      <w:pPr>
        <w:pStyle w:val="ListParagraph"/>
        <w:numPr>
          <w:ilvl w:val="0"/>
          <w:numId w:val="13"/>
        </w:numPr>
        <w:spacing w:after="80"/>
      </w:pPr>
      <w:r>
        <w:rPr>
          <w:rFonts w:ascii="Arial" w:cs="Arial" w:eastAsia="Arial" w:hAnsi="Arial"/>
          <w:sz w:val="20"/>
          <w:szCs w:val="20"/>
        </w:rPr>
        <w:t xml:space="preserve">The system shall maintain a history of all text justifications submitted, searchable by scenario type and service code. This supports the physician in maintaining consistency across similar cases and provides an audit trail.</w:t>
      </w:r>
    </w:p>
    <w:p>
      <w:r>
        <w:br w:type="page"/>
      </w:r>
    </w:p>
    <w:p>
      <w:pPr>
        <w:pStyle w:val="Heading1"/>
      </w:pPr>
      <w:r>
        <w:t xml:space="preserve">13. Shared Reference Data Dependencies</w:t>
      </w:r>
    </w:p>
    <w:p>
      <w:pPr>
        <w:spacing w:after="120"/>
      </w:pPr>
      <w:r>
        <w:rPr>
          <w:rFonts w:ascii="Arial" w:cs="Arial" w:eastAsia="Arial" w:hAnsi="Arial"/>
          <w:sz w:val="20"/>
          <w:szCs w:val="20"/>
        </w:rPr>
        <w:t xml:space="preserve">All eleven features draw on shared reference data sets. The reference data domain must maintain the following, with defined refresh cadences: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Field / Element</w:t>
            </w:r>
          </w:p>
        </w:tc>
        <w:tc>
          <w:tcPr>
            <w:tcW w:type="dxa" w:w="65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SOMB Code Set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Complete Schedule of Medical Benefits: codes, descriptions, fees, governing rules, modifiers, restrictions, category codes, inclusive care periods. Source: Alberta Health. Refresh: within 5 business days of any update. Dep: all features.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SOMB Governing Rules (Structured)</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Machine-readable representation of governing rules including GR 12 (Anesthesia), GR 13 (Surgical Assist), GR 2.6 (Additional Compensation), bundling rules, inclusive care periods, and reduction schedules. Source: SOMB. Refresh: with SOMB. Dep: anesthesia calculations, bundling/unbundling, billing guidance, revenue alerts.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Bundling Rules Matrix</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Code-pair matrix defining which procedures are bundled, independently billable, or intrinsically linked. Separate columns for AHCIP and WCB applicability. Source: SOMB governing rules + WCB Physician’s Reference Guide. Refresh: with SOMB/WCB updates. Dep: bundling/unbundling.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ARP S-Code Set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ARP-specific service codes for indirect care. Source: Alberta Health. Refresh: within 5 business days. Dep: ARP billing, smart routing, guidance.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ICD-9 Code Set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Diagnostic codes with descriptions and Alberta-specific usage guidance. Source: Alberta Health. Refresh: annually. Dep: guidance, Connect Care import.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Provider Registry Data</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Practitioner IDs, names, specialties, locations, registration status. Source: AH Provider Registry. Refresh: monthly minimum. Dep: referral search.</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Modifier Reference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Complete SOMB modifiers with descriptions, applicability rules, fee impacts, and valid/invalid combination matrix. Refresh: with SOMB. Dep: templates, alerts, guidance, ARP, anesthesia, bundling.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Rejection Reason Reference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Alberta Health action codes with plain-language descriptions and resolution guidance. Source: Physician’s Resource Guide + Meritum operational data. Dep: guidance, rejection hints.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Provincial Health Number Formats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Format definitions (digit count, letter prefixes, check-digit algorithms) for all Canadian provinces and territories. Source: provincial health ministries. Refresh: annually or on change. Dep: reciprocal billing.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Reciprocal Billing Rules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Interprovincial coverage rules: participating provinces, excluded services, special handling requirements, Quebec exception. Source: Interprovincial Health Insurance Agreements. Refresh: annually. Dep: reciprocal billing.</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Text Justification Templates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Template definitions for each justification scenario: field prompts, required fields, formatting rules, guidance text. Source: Meritum (authored based on SOMB rules and Alberta Health assessor expectations). Refresh: as needed. Dep: text justification.</w:t>
            </w:r>
          </w:p>
        </w:tc>
      </w:tr>
    </w:tbl>
    <w:p>
      <w:r>
        <w:br w:type="page"/>
      </w:r>
    </w:p>
    <w:p>
      <w:pPr>
        <w:pStyle w:val="Heading1"/>
      </w:pPr>
      <w:r>
        <w:t xml:space="preserve">14. Implementation Priority and Dependencies</w:t>
      </w:r>
    </w:p>
    <w:p>
      <w:pPr>
        <w:spacing w:after="120"/>
      </w:pPr>
      <w:r>
        <w:rPr>
          <w:rFonts w:ascii="Arial" w:cs="Arial" w:eastAsia="Arial" w:hAnsi="Arial"/>
          <w:sz w:val="20"/>
          <w:szCs w:val="20"/>
        </w:rPr>
        <w:t xml:space="preserve">The following table summarises the implementation order. All eleven features are targeted for MVP; priorities indicate build sequencing based on dependencies.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760"/>
        <w:gridCol w:w="3000"/>
      </w:tblGrid>
      <w:tr>
        <w:tc>
          <w:tcPr>
            <w:tcW w:type="dxa" w:w="2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Priority</w:t>
            </w:r>
          </w:p>
        </w:tc>
        <w:tc>
          <w:tcPr>
            <w:tcW w:type="dxa" w:w="376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Feature</w:t>
            </w:r>
          </w:p>
        </w:tc>
        <w:tc>
          <w:tcPr>
            <w:tcW w:type="dxa" w:w="3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tcPr>
          <w:p>
            <w:r>
              <w:rPr>
                <w:rFonts w:ascii="Arial" w:cs="Arial" w:eastAsia="Arial" w:hAnsi="Arial"/>
                <w:b/>
                <w:bCs/>
                <w:color w:val="FFFFFF"/>
                <w:sz w:val="18"/>
                <w:szCs w:val="18"/>
              </w:rPr>
              <w:t xml:space="preserve">Key Dependencies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P0 (blocks all)</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Reference Data Domain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SOMB code set, governing rules (structured), bundling matrix, modifier reference, provincial health number formats. Foundational infrastructure; everything depends on this.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P1 (build first)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Invoice Templates &amp; Favourites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SOMB code set, claim creation form. Highest-impact usability feature for daily engagement.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P1 (build first)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Referral Provider Search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Provider registry data, claim creation form. Without this, specialists cannot bill consultations.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P1 (build first)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PHN / Eligibility Verification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H-Link eligibility inquiry (or fallback mode), provincial health number formats. Gateway to claim accuracy.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P1 (build first)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ARP / APP Shadow Billing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Multi-BA provider model, TM modifier, ARP S-code set. Data model requirement; must be architected from the start.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P1 (build first)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Multi-Procedure Bundling/Unbundling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Bundling rules matrix, inclusive care period data. Affects claim accuracy for every multi-procedure claim from day one.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P1 (build first)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Reciprocal Billing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Provincial health number formats, reciprocal billing rules. Required for any ED physician seeing out-of-province patients.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P1 (build first)</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Mixed FFS/ARP Smart Routing</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Multi-BA provider model (from ARP feature), facility code mapping. Prevents costly mis-routing from day one for mixed-practice physicians.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P2 (build second)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In-App Billing Guidance</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SOMB governing rules, rejection reference. Launch with top-20 codes; expand incrementally.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P2 (build second)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Revenue Optimisation Alerts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SOMB governing rules, claim history. Launch with highest-impact rules; add rules continuously.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P2 (build second)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Anesthesia Benefit Calculations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SOMB GR 12 (structured), anesthesia benefit values. Narrower user segment but high value per user.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P2 (build second)</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Text Justification Templates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Template definitions, linked claim data. Can launch with 3–4 core templates and expand.</w:t>
            </w:r>
          </w:p>
        </w:tc>
      </w:tr>
    </w:tbl>
    <w:p>
      <w:pPr>
        <w:spacing w:before="200"/>
      </w:pPr>
    </w:p>
    <w:p>
      <w:pPr>
        <w:spacing w:after="120"/>
      </w:pPr>
      <w:r>
        <w:rPr>
          <w:rFonts w:ascii="Arial" w:cs="Arial" w:eastAsia="Arial" w:hAnsi="Arial"/>
          <w:sz w:val="20"/>
          <w:szCs w:val="20"/>
        </w:rPr>
        <w:t xml:space="preserve">Implementation note: P1 and P2 both target MVP launch. The distinction is build sequencing, not release sequencing. P1 features should be built and tested first because they establish the data model and claim pipeline infrastructure that P2 features depend on. P2 features are additive capabilities that layer onto the P1 foundation.</w:t>
      </w:r>
    </w:p>
    <w:p>
      <w:pPr>
        <w:spacing w:before="400"/>
      </w:pPr>
    </w:p>
    <w:p>
      <w:pPr>
        <w:pBdr>
          <w:top w:val="single" w:color="1B2A4A" w:sz="4" w:space="8"/>
        </w:pBdr>
      </w:pPr>
      <w:r>
        <w:rPr>
          <w:rFonts w:ascii="Arial" w:cs="Arial" w:eastAsia="Arial" w:hAnsi="Arial"/>
          <w:i/>
          <w:iCs/>
          <w:color w:val="999999"/>
          <w:sz w:val="18"/>
          <w:szCs w:val="18"/>
        </w:rPr>
        <w:t xml:space="preserve">End of Document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pPr>
    <w:r>
      <w:rPr>
        <w:rFonts w:ascii="Arial" w:cs="Arial" w:eastAsia="Arial" w:hAnsi="Arial"/>
        <w:color w:val="999999"/>
        <w:sz w:val="14"/>
        <w:szCs w:val="14"/>
      </w:rPr>
      <w:t xml:space="preserve">Meritum Health Technologies Ltd.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2A4A" w:sz="4" w:space="4"/>
      </w:pBdr>
      <w:tabs>
        <w:tab w:val="right" w:pos="9360"/>
      </w:tabs>
    </w:pPr>
    <w:r>
      <w:rPr>
        <w:rFonts w:ascii="Arial" w:cs="Arial" w:eastAsia="Arial" w:hAnsi="Arial"/>
        <w:color w:val="C2973E"/>
        <w:sz w:val="16"/>
        <w:szCs w:val="16"/>
      </w:rPr>
      <w:t xml:space="preserve">MHT-FUNC-MVP-002 v2.0</w:t>
    </w:r>
    <w:r>
      <w:t xml:space="preserve">	</w:t>
    </w:r>
    <w:r>
      <w:rPr>
        <w:rFonts w:ascii="Arial" w:cs="Arial" w:eastAsia="Arial" w:hAnsi="Arial"/>
        <w:b/>
        <w:bCs/>
        <w:color w:val="1B2A4A"/>
        <w:sz w:val="16"/>
        <w:szCs w:val="16"/>
      </w:rPr>
      <w:t xml:space="preserve">MVP Feature Set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decimal"/>
      <w:lvlText w:val="%1."/>
      <w:lvlJc w:val="left"/>
      <w:pPr>
        <w:ind w:left="72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decimal"/>
      <w:lvlText w:val="%1."/>
      <w:lvlJc w:val="left"/>
      <w:pPr>
        <w:ind w:left="72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decimal"/>
      <w:lvlText w:val="%1."/>
      <w:lvlJc w:val="left"/>
      <w:pPr>
        <w:ind w:left="72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decimal"/>
      <w:lvlText w:val="%1."/>
      <w:lvlJc w:val="left"/>
      <w:pPr>
        <w:ind w:left="72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decimal"/>
      <w:lvlText w:val="%1."/>
      <w:lvlJc w:val="left"/>
      <w:pPr>
        <w:ind w:left="72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 w:numId="8">
    <w:abstractNumId w:val="8"/>
    <w:lvlOverride w:ilvl="0">
      <w:startOverride w:val="1"/>
    </w:lvlOverride>
  </w:num>
  <w:num w:numId="9">
    <w:abstractNumId w:val="9"/>
    <w:lvlOverride w:ilvl="0">
      <w:startOverride w:val="1"/>
    </w:lvlOverride>
  </w:num>
  <w:num w:numId="10">
    <w:abstractNumId w:val="10"/>
    <w:lvlOverride w:ilvl="0">
      <w:startOverride w:val="1"/>
    </w:lvlOverride>
  </w:num>
  <w:num w:numId="11">
    <w:abstractNumId w:val="11"/>
    <w:lvlOverride w:ilvl="0">
      <w:startOverride w:val="1"/>
    </w:lvlOverride>
  </w:num>
  <w:num w:numId="12">
    <w:abstractNumId w:val="12"/>
    <w:lvlOverride w:ilvl="0">
      <w:startOverride w:val="1"/>
    </w:lvlOverride>
  </w:num>
  <w:num w:numId="13">
    <w:abstractNumId w:val="1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28"/>
      <w:szCs w:val="28"/>
    </w:rPr>
  </w:style>
  <w:style w:type="paragraph" w:styleId="Heading2">
    <w:name w:val="Heading 2"/>
    <w:basedOn w:val="Normal"/>
    <w:next w:val="Normal"/>
    <w:qFormat/>
    <w:pPr>
      <w:spacing w:before="280" w:after="160"/>
      <w:outlineLvl w:val="1"/>
    </w:pPr>
    <w:rPr>
      <w:rFonts w:ascii="Arial" w:cs="Arial" w:eastAsia="Arial" w:hAnsi="Arial"/>
      <w:b/>
      <w:bCs/>
      <w:color w:val="1B2A4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2026-02-25T16:00:06.464Z</dcterms:created>
  <dcterms:modified xsi:type="dcterms:W3CDTF">2026-02-25T16:00:06.465Z</dcterms:modified>
</cp:coreProperties>
</file>

<file path=docProps/custom.xml><?xml version="1.0" encoding="utf-8"?>
<Properties xmlns="http://schemas.openxmlformats.org/officeDocument/2006/custom-properties" xmlns:vt="http://schemas.openxmlformats.org/officeDocument/2006/docPropsVTypes"/>
</file>