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Easy Work Management System (EWMS)</w:t>
        <w:br/>
        <w:t>Acronyms and Abbreviations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Acronimo</w:t>
            </w:r>
          </w:p>
        </w:tc>
        <w:tc>
          <w:tcPr>
            <w:tcW w:type="dxa" w:w="2880"/>
          </w:tcPr>
          <w:p>
            <w:r>
              <w:t>Significato Esteso</w:t>
            </w:r>
          </w:p>
        </w:tc>
        <w:tc>
          <w:tcPr>
            <w:tcW w:type="dxa" w:w="2880"/>
          </w:tcPr>
          <w:p>
            <w:r>
              <w:t>Descrizione</w:t>
            </w:r>
          </w:p>
        </w:tc>
      </w:tr>
      <w:tr>
        <w:tc>
          <w:tcPr>
            <w:tcW w:type="dxa" w:w="2880"/>
          </w:tcPr>
          <w:p>
            <w:r>
              <w:t>API</w:t>
            </w:r>
          </w:p>
        </w:tc>
        <w:tc>
          <w:tcPr>
            <w:tcW w:type="dxa" w:w="2880"/>
          </w:tcPr>
          <w:p>
            <w:r>
              <w:t>Application Programming Interface</w:t>
            </w:r>
          </w:p>
        </w:tc>
        <w:tc>
          <w:tcPr>
            <w:tcW w:type="dxa" w:w="2880"/>
          </w:tcPr>
          <w:p>
            <w:r>
              <w:t>Insieme di regole e specifiche che consentono la comunicazione tra applicazioni diverse.</w:t>
            </w:r>
          </w:p>
        </w:tc>
      </w:tr>
      <w:tr>
        <w:tc>
          <w:tcPr>
            <w:tcW w:type="dxa" w:w="2880"/>
          </w:tcPr>
          <w:p>
            <w:r>
              <w:t>DBMS</w:t>
            </w:r>
          </w:p>
        </w:tc>
        <w:tc>
          <w:tcPr>
            <w:tcW w:type="dxa" w:w="2880"/>
          </w:tcPr>
          <w:p>
            <w:r>
              <w:t>Database Management System</w:t>
            </w:r>
          </w:p>
        </w:tc>
        <w:tc>
          <w:tcPr>
            <w:tcW w:type="dxa" w:w="2880"/>
          </w:tcPr>
          <w:p>
            <w:r>
              <w:t>Sistema di gestione dei database relazionali.</w:t>
            </w:r>
          </w:p>
        </w:tc>
      </w:tr>
      <w:tr>
        <w:tc>
          <w:tcPr>
            <w:tcW w:type="dxa" w:w="2880"/>
          </w:tcPr>
          <w:p>
            <w:r>
              <w:t>DR</w:t>
            </w:r>
          </w:p>
        </w:tc>
        <w:tc>
          <w:tcPr>
            <w:tcW w:type="dxa" w:w="2880"/>
          </w:tcPr>
          <w:p>
            <w:r>
              <w:t>Disaster Recovery</w:t>
            </w:r>
          </w:p>
        </w:tc>
        <w:tc>
          <w:tcPr>
            <w:tcW w:type="dxa" w:w="2880"/>
          </w:tcPr>
          <w:p>
            <w:r>
              <w:t>Procedure e strumenti per il ripristino del sistema in caso di guasto.</w:t>
            </w:r>
          </w:p>
        </w:tc>
      </w:tr>
      <w:tr>
        <w:tc>
          <w:tcPr>
            <w:tcW w:type="dxa" w:w="2880"/>
          </w:tcPr>
          <w:p>
            <w:r>
              <w:t>KPI</w:t>
            </w:r>
          </w:p>
        </w:tc>
        <w:tc>
          <w:tcPr>
            <w:tcW w:type="dxa" w:w="2880"/>
          </w:tcPr>
          <w:p>
            <w:r>
              <w:t>Key Performance Indicator</w:t>
            </w:r>
          </w:p>
        </w:tc>
        <w:tc>
          <w:tcPr>
            <w:tcW w:type="dxa" w:w="2880"/>
          </w:tcPr>
          <w:p>
            <w:r>
              <w:t>Indicatore chiave di prestazione.</w:t>
            </w:r>
          </w:p>
        </w:tc>
      </w:tr>
      <w:tr>
        <w:tc>
          <w:tcPr>
            <w:tcW w:type="dxa" w:w="2880"/>
          </w:tcPr>
          <w:p>
            <w:r>
              <w:t>RAD</w:t>
            </w:r>
          </w:p>
        </w:tc>
        <w:tc>
          <w:tcPr>
            <w:tcW w:type="dxa" w:w="2880"/>
          </w:tcPr>
          <w:p>
            <w:r>
              <w:t>Requirements Analysis Document</w:t>
            </w:r>
          </w:p>
        </w:tc>
        <w:tc>
          <w:tcPr>
            <w:tcW w:type="dxa" w:w="2880"/>
          </w:tcPr>
          <w:p>
            <w:r>
              <w:t>Documento di analisi dei requisiti del progetto.</w:t>
            </w:r>
          </w:p>
        </w:tc>
      </w:tr>
      <w:tr>
        <w:tc>
          <w:tcPr>
            <w:tcW w:type="dxa" w:w="2880"/>
          </w:tcPr>
          <w:p>
            <w:r>
              <w:t>RPO</w:t>
            </w:r>
          </w:p>
        </w:tc>
        <w:tc>
          <w:tcPr>
            <w:tcW w:type="dxa" w:w="2880"/>
          </w:tcPr>
          <w:p>
            <w:r>
              <w:t>Recovery Point Objective</w:t>
            </w:r>
          </w:p>
        </w:tc>
        <w:tc>
          <w:tcPr>
            <w:tcW w:type="dxa" w:w="2880"/>
          </w:tcPr>
          <w:p>
            <w:r>
              <w:t>Quantità massima di dati che può andare persa in caso di guasto.</w:t>
            </w:r>
          </w:p>
        </w:tc>
      </w:tr>
      <w:tr>
        <w:tc>
          <w:tcPr>
            <w:tcW w:type="dxa" w:w="2880"/>
          </w:tcPr>
          <w:p>
            <w:r>
              <w:t>RTO</w:t>
            </w:r>
          </w:p>
        </w:tc>
        <w:tc>
          <w:tcPr>
            <w:tcW w:type="dxa" w:w="2880"/>
          </w:tcPr>
          <w:p>
            <w:r>
              <w:t>Recovery Time Objective</w:t>
            </w:r>
          </w:p>
        </w:tc>
        <w:tc>
          <w:tcPr>
            <w:tcW w:type="dxa" w:w="2880"/>
          </w:tcPr>
          <w:p>
            <w:r>
              <w:t>Tempo massimo entro il quale un sistema deve essere ripristinato dopo un’interruzione.</w:t>
            </w:r>
          </w:p>
        </w:tc>
      </w:tr>
      <w:tr>
        <w:tc>
          <w:tcPr>
            <w:tcW w:type="dxa" w:w="2880"/>
          </w:tcPr>
          <w:p>
            <w:r>
              <w:t>SLA</w:t>
            </w:r>
          </w:p>
        </w:tc>
        <w:tc>
          <w:tcPr>
            <w:tcW w:type="dxa" w:w="2880"/>
          </w:tcPr>
          <w:p>
            <w:r>
              <w:t>Service Level Agreement</w:t>
            </w:r>
          </w:p>
        </w:tc>
        <w:tc>
          <w:tcPr>
            <w:tcW w:type="dxa" w:w="2880"/>
          </w:tcPr>
          <w:p>
            <w:r>
              <w:t>Accordo formale sui livelli minimi di servizio garantiti.</w:t>
            </w:r>
          </w:p>
        </w:tc>
      </w:tr>
      <w:tr>
        <w:tc>
          <w:tcPr>
            <w:tcW w:type="dxa" w:w="2880"/>
          </w:tcPr>
          <w:p>
            <w:r>
              <w:t>SQL</w:t>
            </w:r>
          </w:p>
        </w:tc>
        <w:tc>
          <w:tcPr>
            <w:tcW w:type="dxa" w:w="2880"/>
          </w:tcPr>
          <w:p>
            <w:r>
              <w:t>Structured Query Language</w:t>
            </w:r>
          </w:p>
        </w:tc>
        <w:tc>
          <w:tcPr>
            <w:tcW w:type="dxa" w:w="2880"/>
          </w:tcPr>
          <w:p>
            <w:r>
              <w:t>Linguaggio standard per la gestione dei database relazionali.</w:t>
            </w:r>
          </w:p>
        </w:tc>
      </w:tr>
      <w:tr>
        <w:tc>
          <w:tcPr>
            <w:tcW w:type="dxa" w:w="2880"/>
          </w:tcPr>
          <w:p>
            <w:r>
              <w:t>SUS</w:t>
            </w:r>
          </w:p>
        </w:tc>
        <w:tc>
          <w:tcPr>
            <w:tcW w:type="dxa" w:w="2880"/>
          </w:tcPr>
          <w:p>
            <w:r>
              <w:t>System Usability Scale</w:t>
            </w:r>
          </w:p>
        </w:tc>
        <w:tc>
          <w:tcPr>
            <w:tcW w:type="dxa" w:w="2880"/>
          </w:tcPr>
          <w:p>
            <w:r>
              <w:t>Scala di usabilità standardizzata per valutare la qualità dell’esperienza utente.</w:t>
            </w:r>
          </w:p>
        </w:tc>
      </w:tr>
      <w:tr>
        <w:tc>
          <w:tcPr>
            <w:tcW w:type="dxa" w:w="2880"/>
          </w:tcPr>
          <w:p>
            <w:r>
              <w:t>UI</w:t>
            </w:r>
          </w:p>
        </w:tc>
        <w:tc>
          <w:tcPr>
            <w:tcW w:type="dxa" w:w="2880"/>
          </w:tcPr>
          <w:p>
            <w:r>
              <w:t>User Interface</w:t>
            </w:r>
          </w:p>
        </w:tc>
        <w:tc>
          <w:tcPr>
            <w:tcW w:type="dxa" w:w="2880"/>
          </w:tcPr>
          <w:p>
            <w:r>
              <w:t>Interfaccia utente grafica del sistema.</w:t>
            </w:r>
          </w:p>
        </w:tc>
      </w:tr>
      <w:tr>
        <w:tc>
          <w:tcPr>
            <w:tcW w:type="dxa" w:w="2880"/>
          </w:tcPr>
          <w:p>
            <w:r>
              <w:t>UX</w:t>
            </w:r>
          </w:p>
        </w:tc>
        <w:tc>
          <w:tcPr>
            <w:tcW w:type="dxa" w:w="2880"/>
          </w:tcPr>
          <w:p>
            <w:r>
              <w:t>User Experience</w:t>
            </w:r>
          </w:p>
        </w:tc>
        <w:tc>
          <w:tcPr>
            <w:tcW w:type="dxa" w:w="2880"/>
          </w:tcPr>
          <w:p>
            <w:r>
              <w:t>Esperienza complessiva dell’utente nell’interazione con il sistema.</w:t>
            </w:r>
          </w:p>
        </w:tc>
      </w:tr>
      <w:tr>
        <w:tc>
          <w:tcPr>
            <w:tcW w:type="dxa" w:w="2880"/>
          </w:tcPr>
          <w:p>
            <w:r>
              <w:t>VM</w:t>
            </w:r>
          </w:p>
        </w:tc>
        <w:tc>
          <w:tcPr>
            <w:tcW w:type="dxa" w:w="2880"/>
          </w:tcPr>
          <w:p>
            <w:r>
              <w:t>Virtual Machine</w:t>
            </w:r>
          </w:p>
        </w:tc>
        <w:tc>
          <w:tcPr>
            <w:tcW w:type="dxa" w:w="2880"/>
          </w:tcPr>
          <w:p>
            <w:r>
              <w:t>Macchina virtuale per l’esecuzione isolata di applicazioni o server.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