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8973613"/>
        <w:docPartObj>
          <w:docPartGallery w:val="Cover Pages"/>
          <w:docPartUnique/>
        </w:docPartObj>
      </w:sdtPr>
      <w:sdtContent>
        <w:p w14:paraId="3A488C7C" w14:textId="796C1BDF" w:rsidR="007C0540" w:rsidRPr="00A16B08" w:rsidRDefault="007C0540">
          <w:r w:rsidRPr="00A16B08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F0E692A" wp14:editId="25493D6F">
                <wp:simplePos x="0" y="0"/>
                <wp:positionH relativeFrom="column">
                  <wp:posOffset>1304773</wp:posOffset>
                </wp:positionH>
                <wp:positionV relativeFrom="paragraph">
                  <wp:posOffset>-1186331</wp:posOffset>
                </wp:positionV>
                <wp:extent cx="6242359" cy="8830101"/>
                <wp:effectExtent l="0" t="0" r="6350" b="0"/>
                <wp:wrapNone/>
                <wp:docPr id="20665934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593487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359" cy="8830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6B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0DAB77" wp14:editId="29D8CCFF">
                    <wp:simplePos x="0" y="0"/>
                    <wp:positionH relativeFrom="column">
                      <wp:posOffset>-1194435</wp:posOffset>
                    </wp:positionH>
                    <wp:positionV relativeFrom="paragraph">
                      <wp:posOffset>8568055</wp:posOffset>
                    </wp:positionV>
                    <wp:extent cx="1471955" cy="1268730"/>
                    <wp:effectExtent l="0" t="0" r="0" b="7620"/>
                    <wp:wrapNone/>
                    <wp:docPr id="1152218962" name="Isosceles Tri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1955" cy="126873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6CA4B7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" adj="0" fillcolor="#00c" stroked="f" strokeweight="1pt"/>
                </w:pict>
              </mc:Fallback>
            </mc:AlternateContent>
          </w:r>
        </w:p>
        <w:p w14:paraId="07D6D082" w14:textId="74BF10A2" w:rsidR="007C0540" w:rsidRPr="00A16B08" w:rsidRDefault="00375BA7">
          <w:r w:rsidRPr="00A16B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424738" wp14:editId="3671F213">
                    <wp:simplePos x="0" y="0"/>
                    <wp:positionH relativeFrom="column">
                      <wp:posOffset>-588010</wp:posOffset>
                    </wp:positionH>
                    <wp:positionV relativeFrom="paragraph">
                      <wp:posOffset>4095750</wp:posOffset>
                    </wp:positionV>
                    <wp:extent cx="5663565" cy="2286000"/>
                    <wp:effectExtent l="0" t="0" r="0" b="0"/>
                    <wp:wrapNone/>
                    <wp:docPr id="864567776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3565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EC4E09" w14:textId="531362CB" w:rsidR="007C0540" w:rsidRPr="00A16B08" w:rsidRDefault="00541A39">
                                <w:pPr>
                                  <w:rPr>
                                    <w:b/>
                                    <w:bCs/>
                                    <w:color w:val="0000CC"/>
                                    <w:sz w:val="110"/>
                                    <w:szCs w:val="110"/>
                                  </w:rPr>
                                </w:pPr>
                                <w:r w:rsidRPr="00A16B08">
                                  <w:rPr>
                                    <w:b/>
                                    <w:bCs/>
                                    <w:color w:val="0000CC"/>
                                    <w:sz w:val="110"/>
                                    <w:szCs w:val="110"/>
                                  </w:rPr>
                                  <w:t>MANUAL DE ADMINISTRACIÓN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247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-46.3pt;margin-top:322.5pt;width:445.9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q1GAIAAC0EAAAOAAAAZHJzL2Uyb0RvYy54bWysU01vGyEQvVfqf0Dc6127tpusvI7cRK4q&#10;RUkkp8oZs+BdCRgK2Lvur+/Arj+U9lT1AgMzzMd7j8VdpxU5COcbMCUdj3JKhOFQNWZX0h+v608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" filled="f" stroked="f" strokeweight=".5pt">
                    <v:textbox>
                      <w:txbxContent>
                        <w:p w14:paraId="65EC4E09" w14:textId="531362CB" w:rsidR="007C0540" w:rsidRPr="00A16B08" w:rsidRDefault="00541A39">
                          <w:pPr>
                            <w:rPr>
                              <w:b/>
                              <w:bCs/>
                              <w:color w:val="0000CC"/>
                              <w:sz w:val="110"/>
                              <w:szCs w:val="110"/>
                            </w:rPr>
                          </w:pPr>
                          <w:r w:rsidRPr="00A16B08">
                            <w:rPr>
                              <w:b/>
                              <w:bCs/>
                              <w:color w:val="0000CC"/>
                              <w:sz w:val="110"/>
                              <w:szCs w:val="110"/>
                            </w:rPr>
                            <w:t>MANUAL DE ADMINISTRACIÓN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16B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AB8DF2" wp14:editId="36AE32E0">
                    <wp:simplePos x="0" y="0"/>
                    <wp:positionH relativeFrom="column">
                      <wp:posOffset>-492760</wp:posOffset>
                    </wp:positionH>
                    <wp:positionV relativeFrom="paragraph">
                      <wp:posOffset>7546340</wp:posOffset>
                    </wp:positionV>
                    <wp:extent cx="3636645" cy="95250"/>
                    <wp:effectExtent l="0" t="0" r="1905" b="0"/>
                    <wp:wrapNone/>
                    <wp:docPr id="1905690564" name="Parallelogram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36645" cy="95250"/>
                            </a:xfrm>
                            <a:prstGeom prst="parallelogram">
                              <a:avLst/>
                            </a:prstGeom>
                            <a:solidFill>
                              <a:srgbClr val="0B102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3098E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" o:spid="_x0000_s1026" type="#_x0000_t7" style="position:absolute;margin-left:-38.8pt;margin-top:594.2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" adj="141" fillcolor="#0b1023" stroked="f" strokeweight="1pt"/>
                </w:pict>
              </mc:Fallback>
            </mc:AlternateContent>
          </w:r>
          <w:r w:rsidRPr="00A16B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1B00D8" wp14:editId="504EE3A5">
                    <wp:simplePos x="0" y="0"/>
                    <wp:positionH relativeFrom="column">
                      <wp:posOffset>-493281</wp:posOffset>
                    </wp:positionH>
                    <wp:positionV relativeFrom="paragraph">
                      <wp:posOffset>6006825</wp:posOffset>
                    </wp:positionV>
                    <wp:extent cx="3799205" cy="1760561"/>
                    <wp:effectExtent l="0" t="0" r="0" b="0"/>
                    <wp:wrapNone/>
                    <wp:docPr id="1993328892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9205" cy="1760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833B1" w14:textId="5F6A43C5" w:rsidR="007C0540" w:rsidRPr="00A16B08" w:rsidRDefault="00375BA7" w:rsidP="00450A55">
                                <w:pPr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A16B08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Este documento está diseñado para servir como guía para el administrador de la base de datos, detallando la configuración inicial del entorno, políticas de respaldo y tareas de mantenimiento.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1B00D8" id="_x0000_s1027" type="#_x0000_t202" style="position:absolute;margin-left:-38.85pt;margin-top:473pt;width:299.15pt;height:1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fN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" filled="f" stroked="f" strokeweight=".5pt">
                    <v:textbox>
                      <w:txbxContent>
                        <w:p w14:paraId="3D8833B1" w14:textId="5F6A43C5" w:rsidR="007C0540" w:rsidRPr="00A16B08" w:rsidRDefault="00375BA7" w:rsidP="00450A55">
                          <w:pPr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A16B08"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Este documento está diseñado para servir como guía para el administrador de la base de datos, detallando la configuración inicial del entorno, políticas de respaldo y tareas de mantenimiento.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C0540" w:rsidRPr="00A16B0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AR"/>
        </w:rPr>
        <w:id w:val="1525755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6CA93D" w14:textId="1F5EA982" w:rsidR="00A16B08" w:rsidRPr="00A16B08" w:rsidRDefault="00A16B08">
          <w:pPr>
            <w:pStyle w:val="TOCHeading"/>
            <w:rPr>
              <w:lang w:val="es-AR"/>
            </w:rPr>
          </w:pPr>
          <w:r>
            <w:rPr>
              <w:lang w:val="es-AR"/>
            </w:rPr>
            <w:t>Contenido</w:t>
          </w:r>
        </w:p>
        <w:p w14:paraId="7CD0A176" w14:textId="53B9BA6B" w:rsidR="00AC2840" w:rsidRDefault="00A16B08" w:rsidP="00DE08B6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r w:rsidRPr="00A16B08">
            <w:fldChar w:fldCharType="begin"/>
          </w:r>
          <w:r w:rsidRPr="00A16B08">
            <w:instrText xml:space="preserve"> TOC \o "1-3" \h \z \u </w:instrText>
          </w:r>
          <w:r w:rsidRPr="00A16B08">
            <w:fldChar w:fldCharType="separate"/>
          </w:r>
          <w:hyperlink w:anchor="_Toc193039763" w:history="1">
            <w:r w:rsidR="00AC2840" w:rsidRPr="00950979">
              <w:rPr>
                <w:rStyle w:val="Hyperlink"/>
                <w:noProof/>
              </w:rPr>
              <w:t>Introducción</w:t>
            </w:r>
            <w:r w:rsidR="00AC2840">
              <w:rPr>
                <w:noProof/>
                <w:webHidden/>
              </w:rPr>
              <w:tab/>
            </w:r>
            <w:r w:rsidR="00AC2840">
              <w:rPr>
                <w:noProof/>
                <w:webHidden/>
              </w:rPr>
              <w:fldChar w:fldCharType="begin"/>
            </w:r>
            <w:r w:rsidR="00AC2840">
              <w:rPr>
                <w:noProof/>
                <w:webHidden/>
              </w:rPr>
              <w:instrText xml:space="preserve"> PAGEREF _Toc193039763 \h </w:instrText>
            </w:r>
            <w:r w:rsidR="00AC2840">
              <w:rPr>
                <w:noProof/>
                <w:webHidden/>
              </w:rPr>
            </w:r>
            <w:r w:rsidR="00AC2840">
              <w:rPr>
                <w:noProof/>
                <w:webHidden/>
              </w:rPr>
              <w:fldChar w:fldCharType="separate"/>
            </w:r>
            <w:r w:rsidR="00AC2840">
              <w:rPr>
                <w:noProof/>
                <w:webHidden/>
              </w:rPr>
              <w:t>2</w:t>
            </w:r>
            <w:r w:rsidR="00AC2840">
              <w:rPr>
                <w:noProof/>
                <w:webHidden/>
              </w:rPr>
              <w:fldChar w:fldCharType="end"/>
            </w:r>
          </w:hyperlink>
        </w:p>
        <w:p w14:paraId="6ACF29BF" w14:textId="3C725C18" w:rsidR="00AC2840" w:rsidRDefault="00AC2840" w:rsidP="00DE08B6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4" w:history="1">
            <w:r w:rsidRPr="00950979">
              <w:rPr>
                <w:rStyle w:val="Hyperlink"/>
                <w:noProof/>
              </w:rPr>
              <w:t>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6439" w14:textId="6DA63C63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5" w:history="1">
            <w:r w:rsidRPr="00950979">
              <w:rPr>
                <w:rStyle w:val="Hyperlink"/>
                <w:noProof/>
                <w:lang w:val="es-ES"/>
              </w:rPr>
              <w:t>Ubicaciones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9E7A" w14:textId="5E33719E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6" w:history="1">
            <w:r w:rsidRPr="00950979">
              <w:rPr>
                <w:rStyle w:val="Hyperlink"/>
                <w:noProof/>
                <w:lang w:val="es-ES"/>
              </w:rPr>
              <w:t>Collate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518A" w14:textId="1F9DF760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7" w:history="1">
            <w:r w:rsidRPr="00950979">
              <w:rPr>
                <w:rStyle w:val="Hyperlink"/>
                <w:noProof/>
                <w:lang w:val="es-ES"/>
              </w:rPr>
              <w:t>Configuración de Puertos y 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DCD9" w14:textId="0CD6A579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8" w:history="1">
            <w:r w:rsidRPr="00950979">
              <w:rPr>
                <w:rStyle w:val="Hyperlink"/>
                <w:noProof/>
                <w:lang w:val="es-ES"/>
              </w:rPr>
              <w:t>Configuración de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2FC6" w14:textId="536C0295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69" w:history="1">
            <w:r w:rsidRPr="00950979">
              <w:rPr>
                <w:rStyle w:val="Hyperlink"/>
                <w:noProof/>
                <w:lang w:val="es-ES"/>
              </w:rPr>
              <w:t>Modo de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8895" w14:textId="2C94C572" w:rsidR="00AC2840" w:rsidRDefault="00AC2840" w:rsidP="00DE08B6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70" w:history="1">
            <w:r w:rsidRPr="00950979">
              <w:rPr>
                <w:rStyle w:val="Hyperlink"/>
                <w:noProof/>
                <w:lang w:val="es-ES"/>
              </w:rPr>
              <w:t>Backups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AB2D" w14:textId="5775A365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71" w:history="1">
            <w:r w:rsidRPr="00950979">
              <w:rPr>
                <w:rStyle w:val="Hyperlink"/>
                <w:noProof/>
                <w:lang w:val="es-ES"/>
              </w:rPr>
              <w:t>Tipos de Backup, frecuencia y retención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982A" w14:textId="19EF6E1E" w:rsidR="00AC2840" w:rsidRDefault="00AC2840" w:rsidP="00DE08B6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72" w:history="1">
            <w:r w:rsidRPr="00950979">
              <w:rPr>
                <w:rStyle w:val="Hyperlink"/>
                <w:noProof/>
                <w:lang w:val="es-ES"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73A7" w14:textId="1B364C78" w:rsidR="00AC2840" w:rsidRDefault="00AC2840" w:rsidP="00DE08B6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73" w:history="1">
            <w:r w:rsidRPr="00950979">
              <w:rPr>
                <w:rStyle w:val="Hyperlink"/>
                <w:noProof/>
                <w:lang w:val="es-ES"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2D4" w14:textId="517B5011" w:rsidR="00AC2840" w:rsidRDefault="00AC2840" w:rsidP="00DE08B6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noProof/>
            </w:rPr>
          </w:pPr>
          <w:hyperlink w:anchor="_Toc193039774" w:history="1">
            <w:r w:rsidRPr="00950979">
              <w:rPr>
                <w:rStyle w:val="Hyperlink"/>
                <w:noProof/>
                <w:lang w:val="es-ES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4A59" w14:textId="127B9B98" w:rsidR="00A16B08" w:rsidRPr="00A16B08" w:rsidRDefault="00A16B08" w:rsidP="00DE08B6">
          <w:pPr>
            <w:spacing w:line="360" w:lineRule="auto"/>
            <w:jc w:val="both"/>
          </w:pPr>
          <w:r w:rsidRPr="00A16B08">
            <w:rPr>
              <w:b/>
              <w:bCs/>
            </w:rPr>
            <w:fldChar w:fldCharType="end"/>
          </w:r>
        </w:p>
      </w:sdtContent>
    </w:sdt>
    <w:p w14:paraId="6A90DBCA" w14:textId="2BBEF3DD" w:rsidR="00A16B08" w:rsidRPr="00A16B08" w:rsidRDefault="00A16B08" w:rsidP="00DE08B6">
      <w:pPr>
        <w:spacing w:line="360" w:lineRule="auto"/>
        <w:jc w:val="both"/>
      </w:pPr>
    </w:p>
    <w:p w14:paraId="579E27AC" w14:textId="77777777" w:rsidR="00A16B08" w:rsidRPr="00A16B08" w:rsidRDefault="00A16B08" w:rsidP="00DE08B6">
      <w:pPr>
        <w:spacing w:line="360" w:lineRule="auto"/>
        <w:jc w:val="both"/>
      </w:pPr>
      <w:r w:rsidRPr="00A16B08">
        <w:br w:type="page"/>
      </w:r>
    </w:p>
    <w:p w14:paraId="202C38D0" w14:textId="3EFAEE2D" w:rsidR="00E943D1" w:rsidRDefault="00E943D1" w:rsidP="00DE08B6">
      <w:pPr>
        <w:pStyle w:val="Heading1"/>
        <w:spacing w:line="360" w:lineRule="auto"/>
        <w:jc w:val="both"/>
      </w:pPr>
      <w:bookmarkStart w:id="0" w:name="_Toc193039763"/>
      <w:r>
        <w:lastRenderedPageBreak/>
        <w:t>Introducción</w:t>
      </w:r>
      <w:bookmarkEnd w:id="0"/>
    </w:p>
    <w:p w14:paraId="1FB1024B" w14:textId="0C0807B7" w:rsidR="00E943D1" w:rsidRDefault="00E943D1" w:rsidP="00DE08B6">
      <w:pPr>
        <w:spacing w:line="360" w:lineRule="auto"/>
        <w:jc w:val="both"/>
      </w:pPr>
      <w:r w:rsidRPr="00E943D1">
        <w:t xml:space="preserve">Este documento proporciona las directrices técnicas para la administración de la base de datos del sistema de gestión de ventas de </w:t>
      </w:r>
      <w:r>
        <w:t>“</w:t>
      </w:r>
      <w:r w:rsidRPr="00E943D1">
        <w:t>Aurora</w:t>
      </w:r>
      <w:r>
        <w:t xml:space="preserve"> </w:t>
      </w:r>
      <w:r w:rsidRPr="00E943D1">
        <w:t>S</w:t>
      </w:r>
      <w:r>
        <w:t>.</w:t>
      </w:r>
      <w:r w:rsidRPr="00E943D1">
        <w:t>A</w:t>
      </w:r>
      <w:r>
        <w:t>.”</w:t>
      </w:r>
      <w:r w:rsidRPr="00E943D1">
        <w:t>, desarrollado en Microsoft SQL Server. Su objetivo es garantizar la disponibilidad, integridad y seguridad de los datos, alineándose con los requisitos funcionales y no funcionales establecidos en el SRS</w:t>
      </w:r>
      <w:r>
        <w:t>.</w:t>
      </w:r>
    </w:p>
    <w:p w14:paraId="108F9A1C" w14:textId="77777777" w:rsidR="00E943D1" w:rsidRPr="00E943D1" w:rsidRDefault="00E943D1" w:rsidP="00DE08B6">
      <w:pPr>
        <w:spacing w:line="360" w:lineRule="auto"/>
        <w:jc w:val="both"/>
      </w:pPr>
    </w:p>
    <w:p w14:paraId="06C4174F" w14:textId="6F68BD1F" w:rsidR="00EB1166" w:rsidRPr="00A16B08" w:rsidRDefault="00A16B08" w:rsidP="00DE08B6">
      <w:pPr>
        <w:pStyle w:val="Heading1"/>
        <w:spacing w:line="360" w:lineRule="auto"/>
        <w:jc w:val="both"/>
      </w:pPr>
      <w:bookmarkStart w:id="1" w:name="_Toc193039764"/>
      <w:r w:rsidRPr="00A16B08">
        <w:t>Configuración inicial</w:t>
      </w:r>
      <w:bookmarkEnd w:id="1"/>
    </w:p>
    <w:p w14:paraId="18542CA8" w14:textId="4263B053" w:rsidR="00A16B08" w:rsidRPr="00A16B08" w:rsidRDefault="00A16B08" w:rsidP="00DE08B6">
      <w:pPr>
        <w:spacing w:line="360" w:lineRule="auto"/>
        <w:jc w:val="both"/>
      </w:pPr>
      <w:r w:rsidRPr="00A16B08">
        <w:rPr>
          <w:lang w:val="es-ES"/>
        </w:rPr>
        <w:t>El sistema se implementa en Microsoft SQL Server</w:t>
      </w:r>
      <w:r w:rsidR="0051297E">
        <w:rPr>
          <w:lang w:val="es-ES"/>
        </w:rPr>
        <w:t xml:space="preserve"> 2019 o superior. L</w:t>
      </w:r>
      <w:r w:rsidRPr="00A16B08">
        <w:rPr>
          <w:lang w:val="es-ES"/>
        </w:rPr>
        <w:t xml:space="preserve">a instalación debe realizarse siguiendo las mejores prácticas, configurando una instancia dedicada para el proyecto </w:t>
      </w:r>
      <w:r>
        <w:rPr>
          <w:lang w:val="es-ES"/>
        </w:rPr>
        <w:t>“</w:t>
      </w:r>
      <w:r w:rsidRPr="00A16B08">
        <w:rPr>
          <w:lang w:val="es-ES"/>
        </w:rPr>
        <w:t>Aurora</w:t>
      </w:r>
      <w:r>
        <w:rPr>
          <w:lang w:val="es-ES"/>
        </w:rPr>
        <w:t xml:space="preserve"> </w:t>
      </w:r>
      <w:r w:rsidRPr="00A16B08">
        <w:rPr>
          <w:lang w:val="es-ES"/>
        </w:rPr>
        <w:t>S</w:t>
      </w:r>
      <w:r>
        <w:rPr>
          <w:lang w:val="es-ES"/>
        </w:rPr>
        <w:t>.</w:t>
      </w:r>
      <w:r w:rsidRPr="00A16B08">
        <w:rPr>
          <w:lang w:val="es-ES"/>
        </w:rPr>
        <w:t>A</w:t>
      </w:r>
      <w:r>
        <w:rPr>
          <w:lang w:val="es-ES"/>
        </w:rPr>
        <w:t>.”</w:t>
      </w:r>
      <w:r w:rsidRPr="00A16B08">
        <w:rPr>
          <w:lang w:val="es-ES"/>
        </w:rPr>
        <w:t>. Se recomienda utilizar SQL Server Data Tools (SSDT) para la administración y despliegue de scripts.</w:t>
      </w:r>
    </w:p>
    <w:p w14:paraId="05AAAF9A" w14:textId="2DAB1BBF" w:rsidR="00A16B08" w:rsidRPr="00A16B08" w:rsidRDefault="00A16B08" w:rsidP="00DE08B6">
      <w:pPr>
        <w:pStyle w:val="Heading2"/>
        <w:spacing w:line="360" w:lineRule="auto"/>
        <w:jc w:val="both"/>
        <w:rPr>
          <w:lang w:val="es-ES"/>
        </w:rPr>
      </w:pPr>
      <w:bookmarkStart w:id="2" w:name="_Toc193039765"/>
      <w:r w:rsidRPr="00A16B08">
        <w:rPr>
          <w:lang w:val="es-ES"/>
        </w:rPr>
        <w:t>Ubicaciones de Almacenamiento</w:t>
      </w:r>
      <w:bookmarkEnd w:id="2"/>
    </w:p>
    <w:p w14:paraId="001F4EF6" w14:textId="77777777" w:rsidR="00A16B08" w:rsidRPr="00A16B08" w:rsidRDefault="00A16B08" w:rsidP="00DE08B6">
      <w:pPr>
        <w:spacing w:line="360" w:lineRule="auto"/>
        <w:jc w:val="both"/>
        <w:rPr>
          <w:lang w:val="es-ES"/>
        </w:rPr>
      </w:pPr>
      <w:r w:rsidRPr="00A16B08">
        <w:rPr>
          <w:lang w:val="es-ES"/>
        </w:rPr>
        <w:t>Para asegurar un alto rendimiento y disponibilidad, se deben configurar ubicaciones de almacenamiento específicas:</w:t>
      </w:r>
    </w:p>
    <w:p w14:paraId="4C24E6B1" w14:textId="48539646" w:rsidR="00A16B08" w:rsidRPr="00A16B08" w:rsidRDefault="00A16B08" w:rsidP="00DE08B6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en-US"/>
        </w:rPr>
      </w:pPr>
      <w:r w:rsidRPr="00A16B08">
        <w:rPr>
          <w:b/>
          <w:bCs/>
          <w:lang w:val="es-ES"/>
        </w:rPr>
        <w:t>Archivos de Datos (DATA):</w:t>
      </w:r>
      <w:r w:rsidR="0028718C">
        <w:rPr>
          <w:lang w:val="es-ES"/>
        </w:rPr>
        <w:t xml:space="preserve"> </w:t>
      </w:r>
      <w:r w:rsidRPr="00A16B08">
        <w:rPr>
          <w:lang w:val="es-ES"/>
        </w:rPr>
        <w:t>Ubicados en un disco de alto rendimiento (por ejemplo, SSD).</w:t>
      </w:r>
      <w:r w:rsidRPr="00A16B08">
        <w:rPr>
          <w:lang w:val="es-ES"/>
        </w:rPr>
        <w:br/>
      </w:r>
      <w:proofErr w:type="spellStart"/>
      <w:r w:rsidRPr="00A16B08">
        <w:rPr>
          <w:lang w:val="en-US"/>
        </w:rPr>
        <w:t>Ejemplo</w:t>
      </w:r>
      <w:proofErr w:type="spellEnd"/>
      <w:r w:rsidRPr="00A16B08">
        <w:rPr>
          <w:lang w:val="en-US"/>
        </w:rPr>
        <w:t>: D:\Program Files\Microsoft SQL Server\MSSQL16.MSSQLSERVER\MSSQL\DATA</w:t>
      </w:r>
    </w:p>
    <w:p w14:paraId="3EB2FE67" w14:textId="5C792A48" w:rsidR="00A16B08" w:rsidRPr="00DE08B6" w:rsidRDefault="00A16B08" w:rsidP="00DE08B6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en-US"/>
        </w:rPr>
      </w:pPr>
      <w:r w:rsidRPr="00A16B08">
        <w:rPr>
          <w:b/>
          <w:bCs/>
          <w:lang w:val="es-ES"/>
        </w:rPr>
        <w:t>Archivos de Registros de Transacciones (Logs):</w:t>
      </w:r>
      <w:r w:rsidR="0028718C">
        <w:rPr>
          <w:lang w:val="es-ES"/>
        </w:rPr>
        <w:t xml:space="preserve"> </w:t>
      </w:r>
      <w:r w:rsidRPr="00A16B08">
        <w:rPr>
          <w:lang w:val="es-ES"/>
        </w:rPr>
        <w:t>Almacenados en un disco separado, con</w:t>
      </w:r>
      <w:r w:rsidR="00DE08B6">
        <w:rPr>
          <w:lang w:val="es-ES"/>
        </w:rPr>
        <w:br/>
      </w:r>
      <w:r w:rsidRPr="00A16B08">
        <w:rPr>
          <w:lang w:val="es-ES"/>
        </w:rPr>
        <w:t>alta velocidad de escritura.</w:t>
      </w:r>
      <w:r w:rsidR="00DE08B6">
        <w:rPr>
          <w:lang w:val="es-ES"/>
        </w:rPr>
        <w:t xml:space="preserve"> </w:t>
      </w:r>
      <w:r w:rsidR="00DE08B6">
        <w:rPr>
          <w:lang w:val="es-ES"/>
        </w:rPr>
        <w:tab/>
      </w:r>
      <w:r w:rsidR="00DE08B6">
        <w:rPr>
          <w:lang w:val="es-ES"/>
        </w:rPr>
        <w:tab/>
      </w:r>
      <w:r w:rsidR="00DE08B6">
        <w:rPr>
          <w:lang w:val="es-ES"/>
        </w:rPr>
        <w:tab/>
      </w:r>
      <w:r w:rsidR="00DE08B6">
        <w:rPr>
          <w:lang w:val="es-ES"/>
        </w:rPr>
        <w:tab/>
      </w:r>
      <w:r w:rsidR="00DE08B6">
        <w:rPr>
          <w:lang w:val="es-ES"/>
        </w:rPr>
        <w:tab/>
      </w:r>
      <w:r w:rsidR="00DE08B6">
        <w:rPr>
          <w:lang w:val="es-ES"/>
        </w:rPr>
        <w:tab/>
        <w:t xml:space="preserve">               </w:t>
      </w:r>
      <w:proofErr w:type="spellStart"/>
      <w:r w:rsidRPr="00DE08B6">
        <w:rPr>
          <w:lang w:val="en-US"/>
        </w:rPr>
        <w:t>Ejemplo</w:t>
      </w:r>
      <w:proofErr w:type="spellEnd"/>
      <w:r w:rsidRPr="00DE08B6">
        <w:rPr>
          <w:lang w:val="en-US"/>
        </w:rPr>
        <w:t>: E:\Program Files\Microsoft SQL Server\MSSQL16.MSSQLSERVER\MSSQL\DATA</w:t>
      </w:r>
    </w:p>
    <w:p w14:paraId="5C57B87B" w14:textId="6E815814" w:rsidR="00A16B08" w:rsidRPr="0028718C" w:rsidRDefault="00A16B08" w:rsidP="00DE08B6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es-ES"/>
        </w:rPr>
      </w:pPr>
      <w:r w:rsidRPr="00A16B08">
        <w:rPr>
          <w:b/>
          <w:bCs/>
          <w:lang w:val="es-ES"/>
        </w:rPr>
        <w:t>Backups:</w:t>
      </w:r>
      <w:r w:rsidR="0028718C">
        <w:rPr>
          <w:lang w:val="es-ES"/>
        </w:rPr>
        <w:t xml:space="preserve"> </w:t>
      </w:r>
      <w:r w:rsidRPr="00A16B08">
        <w:rPr>
          <w:lang w:val="es-ES"/>
        </w:rPr>
        <w:t>Ubicados en una unidad con suficiente espacio y redundancia, preferentemente en un servidor o almacenamiento en la nube.</w:t>
      </w:r>
      <w:r w:rsidR="0028718C">
        <w:rPr>
          <w:lang w:val="es-ES"/>
        </w:rPr>
        <w:t xml:space="preserve"> </w:t>
      </w:r>
      <w:r w:rsidR="0028718C" w:rsidRPr="0028718C">
        <w:rPr>
          <w:lang w:val="es-ES"/>
        </w:rPr>
        <w:t>Se detalla más e</w:t>
      </w:r>
      <w:r w:rsidR="0028718C">
        <w:rPr>
          <w:lang w:val="es-ES"/>
        </w:rPr>
        <w:t>n el apartado “</w:t>
      </w:r>
      <w:proofErr w:type="spellStart"/>
      <w:r w:rsidR="0028718C">
        <w:rPr>
          <w:lang w:val="es-ES"/>
        </w:rPr>
        <w:t>Bakcups</w:t>
      </w:r>
      <w:proofErr w:type="spellEnd"/>
      <w:r w:rsidR="0028718C">
        <w:rPr>
          <w:lang w:val="es-ES"/>
        </w:rPr>
        <w:t xml:space="preserve"> y Recuperación”.</w:t>
      </w:r>
      <w:r w:rsidRPr="0028718C">
        <w:rPr>
          <w:lang w:val="es-ES"/>
        </w:rPr>
        <w:br/>
        <w:t>Ejemplo: F:\Program Files\Microsoft SQL Server\MSSQL16.MSSQLSERVER\MSSQL\Backup</w:t>
      </w:r>
    </w:p>
    <w:p w14:paraId="3CEF1CA3" w14:textId="38D3866B" w:rsidR="0051297E" w:rsidRDefault="0051297E" w:rsidP="00DE08B6">
      <w:pPr>
        <w:pStyle w:val="Heading2"/>
        <w:spacing w:line="360" w:lineRule="auto"/>
        <w:jc w:val="both"/>
        <w:rPr>
          <w:lang w:val="es-ES"/>
        </w:rPr>
      </w:pPr>
      <w:bookmarkStart w:id="3" w:name="_Toc193039766"/>
      <w:proofErr w:type="spellStart"/>
      <w:r>
        <w:rPr>
          <w:lang w:val="es-ES"/>
        </w:rPr>
        <w:t>Collate</w:t>
      </w:r>
      <w:bookmarkEnd w:id="3"/>
      <w:proofErr w:type="spellEnd"/>
      <w:r w:rsidR="00DE08B6">
        <w:rPr>
          <w:lang w:val="es-ES"/>
        </w:rPr>
        <w:t xml:space="preserve"> y nivel de aislamiento</w:t>
      </w:r>
    </w:p>
    <w:p w14:paraId="73CD6450" w14:textId="3B20CE94" w:rsidR="0051297E" w:rsidRDefault="0051297E" w:rsidP="00DE08B6">
      <w:pPr>
        <w:spacing w:line="360" w:lineRule="auto"/>
        <w:jc w:val="both"/>
        <w:rPr>
          <w:lang w:val="es-ES"/>
        </w:rPr>
      </w:pPr>
      <w:r>
        <w:rPr>
          <w:lang w:val="es-ES"/>
        </w:rPr>
        <w:t>La intercalación a utilizar es “</w:t>
      </w:r>
      <w:proofErr w:type="spellStart"/>
      <w:r>
        <w:rPr>
          <w:lang w:val="es-ES"/>
        </w:rPr>
        <w:t>Modern_Spanish_CS_AS</w:t>
      </w:r>
      <w:proofErr w:type="spellEnd"/>
      <w:r>
        <w:rPr>
          <w:lang w:val="es-ES"/>
        </w:rPr>
        <w:t>”.</w:t>
      </w:r>
    </w:p>
    <w:p w14:paraId="7E62BCBD" w14:textId="6F0DDE7C" w:rsidR="00DE08B6" w:rsidRPr="00DE08B6" w:rsidRDefault="00DE08B6" w:rsidP="00DE08B6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Se utiliza el nivel de aislamiento </w:t>
      </w:r>
      <w:r>
        <w:rPr>
          <w:b/>
          <w:bCs/>
          <w:lang w:val="es-ES"/>
        </w:rPr>
        <w:t>READ COMMITED</w:t>
      </w:r>
      <w:r>
        <w:rPr>
          <w:lang w:val="es-ES"/>
        </w:rPr>
        <w:t xml:space="preserve"> en el script de importación, ya que </w:t>
      </w:r>
      <w:r w:rsidRPr="00463539">
        <w:rPr>
          <w:lang w:val="es-ES"/>
        </w:rPr>
        <w:t>ofrece un equilibrio al proteger la integridad de los datos sin comprometer demasiado la concurrencia y el rendimiento, algo crucial cuando se manejan archivos con decenas de miles de registros</w:t>
      </w:r>
    </w:p>
    <w:p w14:paraId="06D5C496" w14:textId="057036B3" w:rsidR="00A16B08" w:rsidRPr="00A16B08" w:rsidRDefault="00A16B08" w:rsidP="00DE08B6">
      <w:pPr>
        <w:pStyle w:val="Heading2"/>
        <w:spacing w:line="360" w:lineRule="auto"/>
        <w:jc w:val="both"/>
        <w:rPr>
          <w:lang w:val="es-ES"/>
        </w:rPr>
      </w:pPr>
      <w:bookmarkStart w:id="4" w:name="_Toc193039767"/>
      <w:r w:rsidRPr="00A16B08">
        <w:rPr>
          <w:lang w:val="es-ES"/>
        </w:rPr>
        <w:lastRenderedPageBreak/>
        <w:t>Configuración de Puertos y Protocolos</w:t>
      </w:r>
      <w:bookmarkEnd w:id="4"/>
    </w:p>
    <w:p w14:paraId="09363312" w14:textId="2CFCBA71" w:rsidR="00A16B08" w:rsidRDefault="00A16B08" w:rsidP="00DE08B6">
      <w:pPr>
        <w:spacing w:line="360" w:lineRule="auto"/>
        <w:jc w:val="both"/>
        <w:rPr>
          <w:lang w:val="es-ES"/>
        </w:rPr>
      </w:pPr>
      <w:r w:rsidRPr="00A16B08">
        <w:rPr>
          <w:lang w:val="es-ES"/>
        </w:rPr>
        <w:t xml:space="preserve">Utilizando el SQL Server Configuration Manager, se debe verificar </w:t>
      </w:r>
      <w:r w:rsidR="0051297E">
        <w:rPr>
          <w:lang w:val="es-ES"/>
        </w:rPr>
        <w:t xml:space="preserve">el </w:t>
      </w:r>
      <w:r w:rsidR="0051297E">
        <w:rPr>
          <w:b/>
          <w:bCs/>
          <w:lang w:val="es-ES"/>
        </w:rPr>
        <w:t xml:space="preserve">puerto 1433 </w:t>
      </w:r>
      <w:r w:rsidR="0051297E">
        <w:rPr>
          <w:lang w:val="es-ES"/>
        </w:rPr>
        <w:t xml:space="preserve">(instancia predeterminada, TCP/IP). Habilitar protocolo </w:t>
      </w:r>
      <w:r w:rsidRPr="00A16B08">
        <w:rPr>
          <w:b/>
          <w:bCs/>
          <w:lang w:val="es-ES"/>
        </w:rPr>
        <w:t>TLS/SSL</w:t>
      </w:r>
      <w:r w:rsidR="0051297E">
        <w:rPr>
          <w:b/>
          <w:bCs/>
          <w:lang w:val="es-ES"/>
        </w:rPr>
        <w:t xml:space="preserve"> </w:t>
      </w:r>
      <w:r w:rsidR="0051297E">
        <w:rPr>
          <w:lang w:val="es-ES"/>
        </w:rPr>
        <w:t xml:space="preserve">para </w:t>
      </w:r>
      <w:r w:rsidRPr="00A16B08">
        <w:rPr>
          <w:lang w:val="es-ES"/>
        </w:rPr>
        <w:t>conexiones seguras</w:t>
      </w:r>
      <w:r w:rsidR="0051297E">
        <w:rPr>
          <w:lang w:val="es-ES"/>
        </w:rPr>
        <w:t xml:space="preserve"> y </w:t>
      </w:r>
      <w:proofErr w:type="spellStart"/>
      <w:r w:rsidR="0051297E">
        <w:rPr>
          <w:b/>
          <w:bCs/>
          <w:lang w:val="es-ES"/>
        </w:rPr>
        <w:t>Named</w:t>
      </w:r>
      <w:proofErr w:type="spellEnd"/>
      <w:r w:rsidR="0051297E">
        <w:rPr>
          <w:b/>
          <w:bCs/>
          <w:lang w:val="es-ES"/>
        </w:rPr>
        <w:t xml:space="preserve"> Pipes</w:t>
      </w:r>
      <w:r w:rsidR="0051297E">
        <w:rPr>
          <w:lang w:val="es-ES"/>
        </w:rPr>
        <w:t xml:space="preserve">, ya que resulta necesario para evitar errores en algunas importaciones de archivos externos. </w:t>
      </w:r>
    </w:p>
    <w:p w14:paraId="449DDF87" w14:textId="465BD658" w:rsidR="00AC2840" w:rsidRPr="00A16B08" w:rsidRDefault="00AC2840" w:rsidP="00DE08B6">
      <w:pPr>
        <w:spacing w:line="360" w:lineRule="auto"/>
        <w:jc w:val="both"/>
        <w:rPr>
          <w:lang w:val="es-ES"/>
        </w:rPr>
      </w:pPr>
      <w:r w:rsidRPr="00AC2840">
        <w:t xml:space="preserve">Para garantizar el correcto funcionamiento de los procesos de importación de datos desde archivos CSV y Excel, es imprescindible </w:t>
      </w:r>
      <w:r>
        <w:t>permitir</w:t>
      </w:r>
      <w:r w:rsidRPr="00AC2840">
        <w:t xml:space="preserve"> la ejecución de consultas ad hoc </w:t>
      </w:r>
      <w:r>
        <w:t>habilitando “</w:t>
      </w:r>
      <w:r w:rsidRPr="00AC2840">
        <w:rPr>
          <w:b/>
          <w:bCs/>
        </w:rPr>
        <w:t xml:space="preserve">Ad Hoc </w:t>
      </w:r>
      <w:proofErr w:type="spellStart"/>
      <w:r w:rsidRPr="00AC2840">
        <w:rPr>
          <w:b/>
          <w:bCs/>
        </w:rPr>
        <w:t>Distributed</w:t>
      </w:r>
      <w:proofErr w:type="spellEnd"/>
      <w:r w:rsidRPr="00AC2840">
        <w:rPr>
          <w:b/>
          <w:bCs/>
        </w:rPr>
        <w:t xml:space="preserve"> </w:t>
      </w:r>
      <w:proofErr w:type="spellStart"/>
      <w:r w:rsidRPr="00AC2840">
        <w:rPr>
          <w:b/>
          <w:bCs/>
        </w:rPr>
        <w:t>Queries</w:t>
      </w:r>
      <w:proofErr w:type="spellEnd"/>
      <w:r>
        <w:t xml:space="preserve">”, </w:t>
      </w:r>
      <w:r w:rsidRPr="00AC2840">
        <w:t xml:space="preserve">y configurar el proveedor </w:t>
      </w:r>
      <w:r w:rsidRPr="00AC2840">
        <w:rPr>
          <w:b/>
          <w:bCs/>
        </w:rPr>
        <w:t>OLE DB</w:t>
      </w:r>
      <w:r>
        <w:t>, activando “</w:t>
      </w:r>
      <w:proofErr w:type="spellStart"/>
      <w:r w:rsidRPr="00AC2840">
        <w:rPr>
          <w:b/>
          <w:bCs/>
        </w:rPr>
        <w:t>AllowInProcess</w:t>
      </w:r>
      <w:proofErr w:type="spellEnd"/>
      <w:r>
        <w:t>” y “</w:t>
      </w:r>
      <w:proofErr w:type="spellStart"/>
      <w:r w:rsidRPr="00AC2840">
        <w:rPr>
          <w:b/>
          <w:bCs/>
        </w:rPr>
        <w:t>DynamicParameters</w:t>
      </w:r>
      <w:proofErr w:type="spellEnd"/>
      <w:r>
        <w:t>”.</w:t>
      </w:r>
    </w:p>
    <w:p w14:paraId="745C9116" w14:textId="77777777" w:rsidR="00A16B08" w:rsidRPr="00A16B08" w:rsidRDefault="00A16B08" w:rsidP="00DE08B6">
      <w:pPr>
        <w:pStyle w:val="Heading2"/>
        <w:spacing w:line="360" w:lineRule="auto"/>
        <w:jc w:val="both"/>
        <w:rPr>
          <w:lang w:val="es-ES"/>
        </w:rPr>
      </w:pPr>
      <w:bookmarkStart w:id="5" w:name="_Toc193039768"/>
      <w:r w:rsidRPr="00A16B08">
        <w:rPr>
          <w:lang w:val="es-ES"/>
        </w:rPr>
        <w:t>Configuración de Memoria</w:t>
      </w:r>
      <w:bookmarkEnd w:id="5"/>
    </w:p>
    <w:p w14:paraId="39576186" w14:textId="77777777" w:rsidR="00DE08B6" w:rsidRDefault="00A16B08" w:rsidP="00DE08B6">
      <w:pPr>
        <w:spacing w:line="360" w:lineRule="auto"/>
        <w:jc w:val="both"/>
        <w:rPr>
          <w:lang w:val="es-ES"/>
        </w:rPr>
      </w:pPr>
      <w:r w:rsidRPr="00A16B08">
        <w:rPr>
          <w:lang w:val="es-ES"/>
        </w:rPr>
        <w:t>Se recomienda ajustar la memoria asignada al motor de SQL Server para optimizar el rendimiento</w:t>
      </w:r>
      <w:r>
        <w:rPr>
          <w:lang w:val="es-ES"/>
        </w:rPr>
        <w:t>:</w:t>
      </w:r>
    </w:p>
    <w:p w14:paraId="3E6FFFFF" w14:textId="5D91B19B" w:rsidR="00A16B08" w:rsidRPr="00DE08B6" w:rsidRDefault="00A16B08" w:rsidP="00DE08B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s-ES"/>
        </w:rPr>
      </w:pPr>
      <w:r w:rsidRPr="00DE08B6">
        <w:rPr>
          <w:lang w:val="es-ES"/>
        </w:rPr>
        <w:t>Memoria Mínima: Aproximadamente el 25% de la RAM instalada.</w:t>
      </w:r>
    </w:p>
    <w:p w14:paraId="69BCB6D8" w14:textId="6BCCB2E2" w:rsidR="00A16B08" w:rsidRPr="00DE08B6" w:rsidRDefault="00A16B08" w:rsidP="00DE08B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s-ES"/>
        </w:rPr>
      </w:pPr>
      <w:r w:rsidRPr="00DE08B6">
        <w:rPr>
          <w:lang w:val="es-ES"/>
        </w:rPr>
        <w:t xml:space="preserve">Memoria Máxima: No exceder el </w:t>
      </w:r>
      <w:r w:rsidR="0051297E" w:rsidRPr="00DE08B6">
        <w:rPr>
          <w:lang w:val="es-ES"/>
        </w:rPr>
        <w:t>75</w:t>
      </w:r>
      <w:r w:rsidRPr="00DE08B6">
        <w:rPr>
          <w:lang w:val="es-ES"/>
        </w:rPr>
        <w:t>% de la RAM para evitar consumo excesivo.</w:t>
      </w:r>
    </w:p>
    <w:p w14:paraId="07BF7B2D" w14:textId="2EDFE5A1" w:rsidR="00A16B08" w:rsidRPr="00A16B08" w:rsidRDefault="00A16B08" w:rsidP="00DE08B6">
      <w:pPr>
        <w:pStyle w:val="Heading2"/>
        <w:spacing w:line="360" w:lineRule="auto"/>
        <w:jc w:val="both"/>
        <w:rPr>
          <w:lang w:val="es-ES"/>
        </w:rPr>
      </w:pPr>
      <w:bookmarkStart w:id="6" w:name="_Toc193039769"/>
      <w:r w:rsidRPr="00A16B08">
        <w:rPr>
          <w:lang w:val="es-ES"/>
        </w:rPr>
        <w:t>Modo de Autenticación</w:t>
      </w:r>
      <w:bookmarkEnd w:id="6"/>
    </w:p>
    <w:p w14:paraId="57E526BE" w14:textId="77777777" w:rsidR="00A16B08" w:rsidRDefault="00A16B08" w:rsidP="00DE08B6">
      <w:pPr>
        <w:spacing w:line="360" w:lineRule="auto"/>
        <w:jc w:val="both"/>
        <w:rPr>
          <w:lang w:val="es-ES"/>
        </w:rPr>
      </w:pPr>
      <w:r w:rsidRPr="00A16B08">
        <w:rPr>
          <w:lang w:val="es-ES"/>
        </w:rPr>
        <w:t xml:space="preserve">Se utiliza el modo mixto (Windows + SQL Server </w:t>
      </w:r>
      <w:proofErr w:type="spellStart"/>
      <w:r w:rsidRPr="00A16B08">
        <w:rPr>
          <w:lang w:val="es-ES"/>
        </w:rPr>
        <w:t>Authentication</w:t>
      </w:r>
      <w:proofErr w:type="spellEnd"/>
      <w:r w:rsidRPr="00A16B08">
        <w:rPr>
          <w:lang w:val="es-ES"/>
        </w:rPr>
        <w:t>) para permitir la integración con sistemas de autenticación corporativos y la gestión de usuarios internos mediante tokens o credenciales propias.</w:t>
      </w:r>
    </w:p>
    <w:p w14:paraId="06B391FB" w14:textId="77777777" w:rsidR="0028718C" w:rsidRPr="00A16B08" w:rsidRDefault="0028718C" w:rsidP="00DE08B6">
      <w:pPr>
        <w:spacing w:line="360" w:lineRule="auto"/>
        <w:jc w:val="both"/>
        <w:rPr>
          <w:lang w:val="es-ES"/>
        </w:rPr>
      </w:pPr>
    </w:p>
    <w:p w14:paraId="139E3A12" w14:textId="77777777" w:rsidR="0028718C" w:rsidRPr="0028718C" w:rsidRDefault="0028718C" w:rsidP="00DE08B6">
      <w:pPr>
        <w:pStyle w:val="Heading1"/>
        <w:spacing w:line="360" w:lineRule="auto"/>
        <w:jc w:val="both"/>
        <w:rPr>
          <w:lang w:val="es-ES"/>
        </w:rPr>
      </w:pPr>
      <w:bookmarkStart w:id="7" w:name="_Toc193039770"/>
      <w:r w:rsidRPr="0028718C">
        <w:rPr>
          <w:lang w:val="es-ES"/>
        </w:rPr>
        <w:t>Backups y Recuperación</w:t>
      </w:r>
      <w:bookmarkEnd w:id="7"/>
    </w:p>
    <w:p w14:paraId="46810038" w14:textId="2F2E144F" w:rsidR="0028718C" w:rsidRDefault="0028718C" w:rsidP="00DE08B6">
      <w:pPr>
        <w:spacing w:line="360" w:lineRule="auto"/>
        <w:jc w:val="both"/>
        <w:rPr>
          <w:lang w:val="es-ES"/>
        </w:rPr>
      </w:pPr>
      <w:r w:rsidRPr="0028718C">
        <w:rPr>
          <w:lang w:val="es-ES"/>
        </w:rPr>
        <w:t>La estrategia de respaldo es fundamental para proteger la información crítica. Se recomienda implementar una combinación de backups completos, diferenciales y de logs de transacciones</w:t>
      </w:r>
      <w:r w:rsidR="00A7209B">
        <w:rPr>
          <w:lang w:val="es-ES"/>
        </w:rPr>
        <w:t xml:space="preserve"> (BULK-LOGGED)</w:t>
      </w:r>
      <w:r w:rsidRPr="0028718C">
        <w:rPr>
          <w:lang w:val="es-ES"/>
        </w:rPr>
        <w:t>.</w:t>
      </w:r>
    </w:p>
    <w:p w14:paraId="7B414D70" w14:textId="047FB8AB" w:rsidR="0028718C" w:rsidRPr="0028718C" w:rsidRDefault="0028718C" w:rsidP="00DE08B6">
      <w:pPr>
        <w:pStyle w:val="Heading2"/>
        <w:spacing w:line="360" w:lineRule="auto"/>
        <w:jc w:val="both"/>
        <w:rPr>
          <w:lang w:val="es-ES"/>
        </w:rPr>
      </w:pPr>
      <w:bookmarkStart w:id="8" w:name="_Toc193039771"/>
      <w:r w:rsidRPr="0028718C">
        <w:rPr>
          <w:lang w:val="es-ES"/>
        </w:rPr>
        <w:t>Tipos de Backup</w:t>
      </w:r>
      <w:r w:rsidR="0051297E">
        <w:rPr>
          <w:lang w:val="es-ES"/>
        </w:rPr>
        <w:t>,</w:t>
      </w:r>
      <w:r w:rsidRPr="0028718C">
        <w:rPr>
          <w:lang w:val="es-ES"/>
        </w:rPr>
        <w:t xml:space="preserve"> </w:t>
      </w:r>
      <w:r w:rsidR="0051297E">
        <w:rPr>
          <w:lang w:val="es-ES"/>
        </w:rPr>
        <w:t>frecuencia y retención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44"/>
        <w:gridCol w:w="1962"/>
        <w:gridCol w:w="1418"/>
        <w:gridCol w:w="2693"/>
      </w:tblGrid>
      <w:tr w:rsidR="0051297E" w:rsidRPr="0051297E" w14:paraId="5B4EC369" w14:textId="77777777" w:rsidTr="0051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  <w:hideMark/>
          </w:tcPr>
          <w:p w14:paraId="0125C987" w14:textId="77777777" w:rsidR="0051297E" w:rsidRPr="0051297E" w:rsidRDefault="0051297E" w:rsidP="00DE08B6">
            <w:pPr>
              <w:spacing w:line="360" w:lineRule="auto"/>
              <w:jc w:val="both"/>
              <w:rPr>
                <w:lang w:val="es-ES"/>
              </w:rPr>
            </w:pPr>
            <w:r w:rsidRPr="0051297E">
              <w:rPr>
                <w:lang w:val="es-ES"/>
              </w:rPr>
              <w:t>Tipo de Respaldo</w:t>
            </w:r>
          </w:p>
        </w:tc>
        <w:tc>
          <w:tcPr>
            <w:tcW w:w="1962" w:type="dxa"/>
            <w:vAlign w:val="center"/>
            <w:hideMark/>
          </w:tcPr>
          <w:p w14:paraId="21B1001C" w14:textId="77777777" w:rsidR="0051297E" w:rsidRPr="0051297E" w:rsidRDefault="0051297E" w:rsidP="00DE08B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Frecuencia</w:t>
            </w:r>
          </w:p>
        </w:tc>
        <w:tc>
          <w:tcPr>
            <w:tcW w:w="1418" w:type="dxa"/>
            <w:vAlign w:val="center"/>
            <w:hideMark/>
          </w:tcPr>
          <w:p w14:paraId="1E5DF144" w14:textId="77777777" w:rsidR="0051297E" w:rsidRPr="0051297E" w:rsidRDefault="0051297E" w:rsidP="00DE08B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Retención</w:t>
            </w:r>
          </w:p>
        </w:tc>
        <w:tc>
          <w:tcPr>
            <w:tcW w:w="2693" w:type="dxa"/>
            <w:vAlign w:val="center"/>
            <w:hideMark/>
          </w:tcPr>
          <w:p w14:paraId="14FD7A6F" w14:textId="77777777" w:rsidR="0051297E" w:rsidRPr="0051297E" w:rsidRDefault="0051297E" w:rsidP="00DE08B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Ubicación</w:t>
            </w:r>
          </w:p>
        </w:tc>
      </w:tr>
      <w:tr w:rsidR="0051297E" w:rsidRPr="0051297E" w14:paraId="182424D9" w14:textId="77777777" w:rsidTr="0051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  <w:hideMark/>
          </w:tcPr>
          <w:p w14:paraId="77AB757C" w14:textId="77777777" w:rsidR="0051297E" w:rsidRPr="0051297E" w:rsidRDefault="0051297E" w:rsidP="00DE08B6">
            <w:pPr>
              <w:spacing w:line="360" w:lineRule="auto"/>
              <w:jc w:val="both"/>
              <w:rPr>
                <w:lang w:val="es-ES"/>
              </w:rPr>
            </w:pPr>
            <w:r w:rsidRPr="0051297E">
              <w:rPr>
                <w:lang w:val="es-ES"/>
              </w:rPr>
              <w:t>Completo</w:t>
            </w:r>
          </w:p>
        </w:tc>
        <w:tc>
          <w:tcPr>
            <w:tcW w:w="1962" w:type="dxa"/>
            <w:vAlign w:val="center"/>
            <w:hideMark/>
          </w:tcPr>
          <w:p w14:paraId="07C71295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Domingos, 00:00</w:t>
            </w:r>
          </w:p>
        </w:tc>
        <w:tc>
          <w:tcPr>
            <w:tcW w:w="1418" w:type="dxa"/>
            <w:vAlign w:val="center"/>
            <w:hideMark/>
          </w:tcPr>
          <w:p w14:paraId="7B208D68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90 días</w:t>
            </w:r>
          </w:p>
        </w:tc>
        <w:tc>
          <w:tcPr>
            <w:tcW w:w="2693" w:type="dxa"/>
            <w:vAlign w:val="center"/>
            <w:hideMark/>
          </w:tcPr>
          <w:p w14:paraId="2ADDC039" w14:textId="541EE1CB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 xml:space="preserve">Local + </w:t>
            </w:r>
            <w:r>
              <w:rPr>
                <w:lang w:val="es-ES"/>
              </w:rPr>
              <w:t>Nube</w:t>
            </w:r>
          </w:p>
        </w:tc>
      </w:tr>
      <w:tr w:rsidR="0051297E" w:rsidRPr="0051297E" w14:paraId="4669A63D" w14:textId="77777777" w:rsidTr="0051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  <w:hideMark/>
          </w:tcPr>
          <w:p w14:paraId="3DA66004" w14:textId="77777777" w:rsidR="0051297E" w:rsidRPr="0051297E" w:rsidRDefault="0051297E" w:rsidP="00DE08B6">
            <w:pPr>
              <w:spacing w:line="360" w:lineRule="auto"/>
              <w:jc w:val="both"/>
              <w:rPr>
                <w:lang w:val="es-ES"/>
              </w:rPr>
            </w:pPr>
            <w:r w:rsidRPr="0051297E">
              <w:rPr>
                <w:lang w:val="es-ES"/>
              </w:rPr>
              <w:t>Diferencial</w:t>
            </w:r>
          </w:p>
        </w:tc>
        <w:tc>
          <w:tcPr>
            <w:tcW w:w="1962" w:type="dxa"/>
            <w:vAlign w:val="center"/>
            <w:hideMark/>
          </w:tcPr>
          <w:p w14:paraId="32BE425C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Diario, 23:00</w:t>
            </w:r>
          </w:p>
        </w:tc>
        <w:tc>
          <w:tcPr>
            <w:tcW w:w="1418" w:type="dxa"/>
            <w:vAlign w:val="center"/>
            <w:hideMark/>
          </w:tcPr>
          <w:p w14:paraId="48049325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7 días</w:t>
            </w:r>
          </w:p>
        </w:tc>
        <w:tc>
          <w:tcPr>
            <w:tcW w:w="2693" w:type="dxa"/>
            <w:vAlign w:val="center"/>
            <w:hideMark/>
          </w:tcPr>
          <w:p w14:paraId="728DD678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Local</w:t>
            </w:r>
          </w:p>
        </w:tc>
      </w:tr>
      <w:tr w:rsidR="0051297E" w:rsidRPr="0051297E" w14:paraId="03563F07" w14:textId="77777777" w:rsidTr="0051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  <w:hideMark/>
          </w:tcPr>
          <w:p w14:paraId="5E1B5AAF" w14:textId="77777777" w:rsidR="0051297E" w:rsidRPr="0051297E" w:rsidRDefault="0051297E" w:rsidP="00DE08B6">
            <w:pPr>
              <w:spacing w:line="360" w:lineRule="auto"/>
              <w:jc w:val="both"/>
              <w:rPr>
                <w:lang w:val="es-ES"/>
              </w:rPr>
            </w:pPr>
            <w:r w:rsidRPr="0051297E">
              <w:rPr>
                <w:lang w:val="es-ES"/>
              </w:rPr>
              <w:t>Log de Transacciones</w:t>
            </w:r>
          </w:p>
        </w:tc>
        <w:tc>
          <w:tcPr>
            <w:tcW w:w="1962" w:type="dxa"/>
            <w:vAlign w:val="center"/>
            <w:hideMark/>
          </w:tcPr>
          <w:p w14:paraId="5A72D453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Cada 30 minutos</w:t>
            </w:r>
          </w:p>
        </w:tc>
        <w:tc>
          <w:tcPr>
            <w:tcW w:w="1418" w:type="dxa"/>
            <w:vAlign w:val="center"/>
            <w:hideMark/>
          </w:tcPr>
          <w:p w14:paraId="02484B73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72 horas</w:t>
            </w:r>
          </w:p>
        </w:tc>
        <w:tc>
          <w:tcPr>
            <w:tcW w:w="2693" w:type="dxa"/>
            <w:vAlign w:val="center"/>
            <w:hideMark/>
          </w:tcPr>
          <w:p w14:paraId="2A831F58" w14:textId="77777777" w:rsidR="0051297E" w:rsidRPr="0051297E" w:rsidRDefault="0051297E" w:rsidP="00DE08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1297E">
              <w:rPr>
                <w:lang w:val="es-ES"/>
              </w:rPr>
              <w:t>Local</w:t>
            </w:r>
          </w:p>
        </w:tc>
      </w:tr>
    </w:tbl>
    <w:p w14:paraId="2BC4BC4A" w14:textId="4550B4C2" w:rsidR="0028718C" w:rsidRPr="0028718C" w:rsidRDefault="0051297E" w:rsidP="00DE08B6">
      <w:pPr>
        <w:pStyle w:val="Heading2"/>
        <w:spacing w:line="360" w:lineRule="auto"/>
        <w:jc w:val="both"/>
        <w:rPr>
          <w:lang w:val="es-ES"/>
        </w:rPr>
      </w:pPr>
      <w:bookmarkStart w:id="9" w:name="_Toc193039772"/>
      <w:r>
        <w:rPr>
          <w:lang w:val="es-ES"/>
        </w:rPr>
        <w:lastRenderedPageBreak/>
        <w:t>Recuperación</w:t>
      </w:r>
      <w:bookmarkEnd w:id="9"/>
    </w:p>
    <w:p w14:paraId="06CBA520" w14:textId="634220BF" w:rsidR="0028718C" w:rsidRPr="0028718C" w:rsidRDefault="0028718C" w:rsidP="00DE08B6">
      <w:pPr>
        <w:spacing w:line="360" w:lineRule="auto"/>
        <w:jc w:val="both"/>
        <w:rPr>
          <w:lang w:val="es-ES"/>
        </w:rPr>
      </w:pPr>
      <w:r w:rsidRPr="0028718C">
        <w:rPr>
          <w:lang w:val="es-ES"/>
        </w:rPr>
        <w:t>En caso de fallo total, se restaura el último backup completo, seguido del diferencial y los logs de transacciones hasta el punto deseado.</w:t>
      </w:r>
    </w:p>
    <w:p w14:paraId="4D8A71AC" w14:textId="1FDCA778" w:rsidR="0028718C" w:rsidRPr="0028718C" w:rsidRDefault="0051297E" w:rsidP="00DE08B6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caso de </w:t>
      </w:r>
      <w:r w:rsidR="0028718C" w:rsidRPr="0028718C">
        <w:rPr>
          <w:lang w:val="es-ES"/>
        </w:rPr>
        <w:t>pérdida parcial de datos, se restaura en una base de datos de prueba y se extraen los registros afectados.</w:t>
      </w:r>
    </w:p>
    <w:p w14:paraId="70A5C91C" w14:textId="77777777" w:rsidR="0051297E" w:rsidRDefault="0051297E" w:rsidP="00DE08B6">
      <w:pPr>
        <w:spacing w:line="360" w:lineRule="auto"/>
        <w:jc w:val="both"/>
        <w:rPr>
          <w:lang w:val="es-ES"/>
        </w:rPr>
      </w:pPr>
    </w:p>
    <w:p w14:paraId="1D7672FF" w14:textId="64A85468" w:rsidR="0028718C" w:rsidRPr="0028718C" w:rsidRDefault="0028718C" w:rsidP="00DE08B6">
      <w:pPr>
        <w:pStyle w:val="Heading1"/>
        <w:spacing w:line="360" w:lineRule="auto"/>
        <w:jc w:val="both"/>
        <w:rPr>
          <w:lang w:val="es-ES"/>
        </w:rPr>
      </w:pPr>
      <w:bookmarkStart w:id="10" w:name="_Toc193039773"/>
      <w:r w:rsidRPr="0028718C">
        <w:rPr>
          <w:lang w:val="es-ES"/>
        </w:rPr>
        <w:t>Mantenimiento</w:t>
      </w:r>
      <w:bookmarkEnd w:id="10"/>
    </w:p>
    <w:p w14:paraId="3D7232E3" w14:textId="77777777" w:rsidR="006F7209" w:rsidRDefault="0028718C" w:rsidP="00DE08B6">
      <w:pPr>
        <w:spacing w:line="360" w:lineRule="auto"/>
        <w:jc w:val="both"/>
        <w:rPr>
          <w:lang w:val="es-ES"/>
        </w:rPr>
      </w:pPr>
      <w:r w:rsidRPr="0028718C">
        <w:rPr>
          <w:lang w:val="es-ES"/>
        </w:rPr>
        <w:t xml:space="preserve">Es fundamental actualizar periódicamente las estadísticas de la base de datos para que el optimizador de consultas disponga de información precisa. Se recomienda programar actualizaciones de </w:t>
      </w:r>
      <w:r w:rsidR="006F7209">
        <w:rPr>
          <w:lang w:val="es-ES"/>
        </w:rPr>
        <w:t>estadísticas diarias en horarios de escasa actividad, además de una reindexación programada semanal.</w:t>
      </w:r>
    </w:p>
    <w:p w14:paraId="47A2DE07" w14:textId="0FA7F13F" w:rsidR="0028718C" w:rsidRDefault="0028718C" w:rsidP="00DE08B6">
      <w:pPr>
        <w:spacing w:line="360" w:lineRule="auto"/>
        <w:jc w:val="both"/>
        <w:rPr>
          <w:lang w:val="es-ES"/>
        </w:rPr>
      </w:pPr>
      <w:r w:rsidRPr="0028718C">
        <w:rPr>
          <w:lang w:val="es-ES"/>
        </w:rPr>
        <w:t>La fragmentación de índices debe ser monitorizada y, de ser necesario, corregida.</w:t>
      </w:r>
      <w:r w:rsidR="006F7209">
        <w:rPr>
          <w:lang w:val="es-ES"/>
        </w:rPr>
        <w:t xml:space="preserve"> Inicialmente todos los índices cuentan con un FILL FACTOR de 100%, si bien la mayoría son estrictamente crecientes, se debe monitorear los NO CLÚSTER una vez que la base de datos este en funcionamiento real para su reconfiguración.</w:t>
      </w:r>
    </w:p>
    <w:p w14:paraId="414BD4F9" w14:textId="77777777" w:rsidR="00A7209B" w:rsidRPr="0028718C" w:rsidRDefault="00A7209B" w:rsidP="00DE08B6">
      <w:pPr>
        <w:spacing w:line="360" w:lineRule="auto"/>
        <w:jc w:val="both"/>
        <w:rPr>
          <w:lang w:val="es-ES"/>
        </w:rPr>
      </w:pPr>
    </w:p>
    <w:p w14:paraId="11C03E14" w14:textId="05705FA6" w:rsidR="00A7209B" w:rsidRPr="00A7209B" w:rsidRDefault="00A7209B" w:rsidP="00DE08B6">
      <w:pPr>
        <w:pStyle w:val="Heading1"/>
        <w:spacing w:line="360" w:lineRule="auto"/>
        <w:jc w:val="both"/>
        <w:rPr>
          <w:lang w:val="es-ES"/>
        </w:rPr>
      </w:pPr>
      <w:bookmarkStart w:id="11" w:name="_Toc193039774"/>
      <w:r w:rsidRPr="00A7209B">
        <w:rPr>
          <w:lang w:val="es-ES"/>
        </w:rPr>
        <w:t>Seguridad</w:t>
      </w:r>
      <w:bookmarkEnd w:id="11"/>
    </w:p>
    <w:p w14:paraId="3A29DA6D" w14:textId="77777777" w:rsidR="00A7209B" w:rsidRDefault="00A7209B" w:rsidP="00DE08B6">
      <w:pPr>
        <w:spacing w:line="360" w:lineRule="auto"/>
        <w:jc w:val="both"/>
        <w:rPr>
          <w:lang w:val="es-ES"/>
        </w:rPr>
      </w:pPr>
      <w:r w:rsidRPr="00A7209B">
        <w:rPr>
          <w:lang w:val="es-ES"/>
        </w:rPr>
        <w:t>Se recomienda implementar una política de acceso basada en roles. Por ejemplo, se definen roles específicos para supervisores y cajeros, y se utilizan permisos granulares para restringir el acceso a funciones críticas (como la generación de notas de crédito).</w:t>
      </w:r>
    </w:p>
    <w:p w14:paraId="28040277" w14:textId="77777777" w:rsidR="00A7209B" w:rsidRPr="00A7209B" w:rsidRDefault="00A7209B" w:rsidP="00DE08B6">
      <w:pPr>
        <w:spacing w:line="360" w:lineRule="auto"/>
        <w:jc w:val="both"/>
        <w:rPr>
          <w:lang w:val="es-ES"/>
        </w:rPr>
      </w:pPr>
      <w:r w:rsidRPr="00A7209B">
        <w:rPr>
          <w:lang w:val="es-ES"/>
        </w:rPr>
        <w:t>Los datos sensibles (como CUIL, domicilios, teléfonos y emails personales de empleados) se almacenan en columnas encriptadas. Se ha implementado un procedimiento (</w:t>
      </w:r>
      <w:proofErr w:type="spellStart"/>
      <w:r w:rsidRPr="00A7209B">
        <w:rPr>
          <w:lang w:val="es-ES"/>
        </w:rPr>
        <w:t>Seguridad.EncriptarEmpleado_sp</w:t>
      </w:r>
      <w:proofErr w:type="spellEnd"/>
      <w:r w:rsidRPr="00A7209B">
        <w:rPr>
          <w:lang w:val="es-ES"/>
        </w:rPr>
        <w:t xml:space="preserve">) que actualiza la estructura de la tabla y encripta los valores usando </w:t>
      </w:r>
      <w:proofErr w:type="spellStart"/>
      <w:r w:rsidRPr="00A7209B">
        <w:rPr>
          <w:lang w:val="es-ES"/>
        </w:rPr>
        <w:t>EncryptByPassPhrase</w:t>
      </w:r>
      <w:proofErr w:type="spellEnd"/>
      <w:r w:rsidRPr="00A7209B">
        <w:rPr>
          <w:lang w:val="es-ES"/>
        </w:rPr>
        <w:t>.</w:t>
      </w:r>
    </w:p>
    <w:p w14:paraId="5F6A64C1" w14:textId="77777777" w:rsidR="00A7209B" w:rsidRPr="00A7209B" w:rsidRDefault="00A7209B" w:rsidP="00DE08B6">
      <w:pPr>
        <w:spacing w:line="360" w:lineRule="auto"/>
        <w:jc w:val="both"/>
        <w:rPr>
          <w:lang w:val="es-ES"/>
        </w:rPr>
      </w:pPr>
      <w:r w:rsidRPr="00A7209B">
        <w:rPr>
          <w:lang w:val="es-ES"/>
        </w:rPr>
        <w:t>Se deben habilitar registros de auditoría para monitorear accesos y actividades en la base de datos, permitiendo identificar y responder a accesos no autorizados o actividades sospechosas.</w:t>
      </w:r>
    </w:p>
    <w:p w14:paraId="43F79DC3" w14:textId="77777777" w:rsidR="00A7209B" w:rsidRDefault="00A7209B" w:rsidP="00DE08B6">
      <w:pPr>
        <w:spacing w:line="360" w:lineRule="auto"/>
        <w:jc w:val="both"/>
        <w:rPr>
          <w:lang w:val="es-ES"/>
        </w:rPr>
      </w:pPr>
      <w:r w:rsidRPr="00A7209B">
        <w:rPr>
          <w:lang w:val="es-ES"/>
        </w:rPr>
        <w:lastRenderedPageBreak/>
        <w:t>Considerar la implementación de VPN, firewalls y políticas de acceso basadas en IP para proteger la comunicación con el servidor de SQL.</w:t>
      </w:r>
    </w:p>
    <w:p w14:paraId="5D65F5E1" w14:textId="77777777" w:rsidR="00A7209B" w:rsidRPr="00A7209B" w:rsidRDefault="00A7209B" w:rsidP="00A7209B"/>
    <w:p w14:paraId="222E2DC9" w14:textId="77777777" w:rsidR="00A7209B" w:rsidRPr="0028718C" w:rsidRDefault="00A7209B" w:rsidP="0028718C">
      <w:pPr>
        <w:rPr>
          <w:lang w:val="es-ES"/>
        </w:rPr>
      </w:pPr>
    </w:p>
    <w:p w14:paraId="7C59586C" w14:textId="77777777" w:rsidR="00A16B08" w:rsidRPr="00A16B08" w:rsidRDefault="00A16B08" w:rsidP="00A16B08">
      <w:pPr>
        <w:rPr>
          <w:lang w:val="es-ES"/>
        </w:rPr>
      </w:pPr>
    </w:p>
    <w:sectPr w:rsidR="00A16B08" w:rsidRPr="00A16B08" w:rsidSect="007C054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C7B51" w14:textId="77777777" w:rsidR="002202E4" w:rsidRDefault="002202E4" w:rsidP="00AC2840">
      <w:pPr>
        <w:spacing w:after="0" w:line="240" w:lineRule="auto"/>
      </w:pPr>
      <w:r>
        <w:separator/>
      </w:r>
    </w:p>
  </w:endnote>
  <w:endnote w:type="continuationSeparator" w:id="0">
    <w:p w14:paraId="317319CB" w14:textId="77777777" w:rsidR="002202E4" w:rsidRDefault="002202E4" w:rsidP="00AC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5FD26" w14:textId="336DB6AB" w:rsidR="00AC2840" w:rsidRDefault="00AC2840">
    <w:pPr>
      <w:pStyle w:val="Footer"/>
    </w:pPr>
    <w:proofErr w:type="spellStart"/>
    <w:r>
      <w:t>GRodriguezAR</w:t>
    </w:r>
    <w:proofErr w:type="spellEnd"/>
    <w:r>
      <w:t xml:space="preserve"> – Gonzalo Rodriguez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E6B37" w14:textId="77777777" w:rsidR="002202E4" w:rsidRDefault="002202E4" w:rsidP="00AC2840">
      <w:pPr>
        <w:spacing w:after="0" w:line="240" w:lineRule="auto"/>
      </w:pPr>
      <w:r>
        <w:separator/>
      </w:r>
    </w:p>
  </w:footnote>
  <w:footnote w:type="continuationSeparator" w:id="0">
    <w:p w14:paraId="19ABD2A0" w14:textId="77777777" w:rsidR="002202E4" w:rsidRDefault="002202E4" w:rsidP="00AC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B8F9" w14:textId="6693C8F0" w:rsidR="00AC2840" w:rsidRPr="002160A4" w:rsidRDefault="00AC2840" w:rsidP="00AC2840">
    <w:pPr>
      <w:pStyle w:val="Header"/>
    </w:pPr>
    <w:r>
      <w:t>Sistema de gestión de Ventas – Aurora S.A.</w:t>
    </w:r>
    <w:r>
      <w:tab/>
    </w:r>
    <w:r>
      <w:tab/>
      <w:t>Manual de administración</w:t>
    </w:r>
  </w:p>
  <w:p w14:paraId="5E4CA849" w14:textId="77777777" w:rsidR="00AC2840" w:rsidRDefault="00AC2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088"/>
    <w:multiLevelType w:val="multilevel"/>
    <w:tmpl w:val="060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59E"/>
    <w:multiLevelType w:val="hybridMultilevel"/>
    <w:tmpl w:val="B210C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8013E"/>
    <w:multiLevelType w:val="multilevel"/>
    <w:tmpl w:val="BD3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B6253"/>
    <w:multiLevelType w:val="multilevel"/>
    <w:tmpl w:val="98D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73C46"/>
    <w:multiLevelType w:val="hybridMultilevel"/>
    <w:tmpl w:val="147AE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E0DAA"/>
    <w:multiLevelType w:val="multilevel"/>
    <w:tmpl w:val="AB8A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291E"/>
    <w:multiLevelType w:val="multilevel"/>
    <w:tmpl w:val="396E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8423E"/>
    <w:multiLevelType w:val="multilevel"/>
    <w:tmpl w:val="286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63EDC"/>
    <w:multiLevelType w:val="multilevel"/>
    <w:tmpl w:val="836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545902">
    <w:abstractNumId w:val="8"/>
  </w:num>
  <w:num w:numId="2" w16cid:durableId="10299729">
    <w:abstractNumId w:val="0"/>
  </w:num>
  <w:num w:numId="3" w16cid:durableId="1466965215">
    <w:abstractNumId w:val="4"/>
  </w:num>
  <w:num w:numId="4" w16cid:durableId="1378314441">
    <w:abstractNumId w:val="7"/>
  </w:num>
  <w:num w:numId="5" w16cid:durableId="605649292">
    <w:abstractNumId w:val="2"/>
  </w:num>
  <w:num w:numId="6" w16cid:durableId="1181505901">
    <w:abstractNumId w:val="3"/>
  </w:num>
  <w:num w:numId="7" w16cid:durableId="875973756">
    <w:abstractNumId w:val="6"/>
  </w:num>
  <w:num w:numId="8" w16cid:durableId="1338311151">
    <w:abstractNumId w:val="5"/>
  </w:num>
  <w:num w:numId="9" w16cid:durableId="27128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40"/>
    <w:rsid w:val="00103E5C"/>
    <w:rsid w:val="002202E4"/>
    <w:rsid w:val="0028718C"/>
    <w:rsid w:val="00375BA7"/>
    <w:rsid w:val="003E3B7D"/>
    <w:rsid w:val="0051297E"/>
    <w:rsid w:val="00541A39"/>
    <w:rsid w:val="006F7209"/>
    <w:rsid w:val="007C0540"/>
    <w:rsid w:val="009A7951"/>
    <w:rsid w:val="00A16B08"/>
    <w:rsid w:val="00A7209B"/>
    <w:rsid w:val="00AC2840"/>
    <w:rsid w:val="00B4084A"/>
    <w:rsid w:val="00C31E49"/>
    <w:rsid w:val="00CB6BAC"/>
    <w:rsid w:val="00DE08B6"/>
    <w:rsid w:val="00E943D1"/>
    <w:rsid w:val="00EB1166"/>
    <w:rsid w:val="00F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CF462"/>
  <w15:chartTrackingRefBased/>
  <w15:docId w15:val="{A83B0C45-A0C1-489A-962F-C3219BC7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CC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08"/>
    <w:rPr>
      <w:rFonts w:asciiTheme="majorHAnsi" w:eastAsiaTheme="majorEastAsia" w:hAnsiTheme="majorHAnsi" w:cstheme="majorBidi"/>
      <w:b/>
      <w:color w:val="0000CC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B08"/>
    <w:rPr>
      <w:rFonts w:asciiTheme="majorHAnsi" w:eastAsiaTheme="majorEastAsia" w:hAnsiTheme="majorHAnsi" w:cstheme="majorBidi"/>
      <w:color w:val="0000C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4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6B08"/>
    <w:pPr>
      <w:spacing w:before="240" w:after="0"/>
      <w:outlineLvl w:val="9"/>
    </w:pPr>
    <w:rPr>
      <w:sz w:val="32"/>
      <w:szCs w:val="32"/>
      <w:lang w:val="en-US"/>
    </w:rPr>
  </w:style>
  <w:style w:type="table" w:styleId="GridTable1Light">
    <w:name w:val="Grid Table 1 Light"/>
    <w:basedOn w:val="TableNormal"/>
    <w:uiPriority w:val="46"/>
    <w:rsid w:val="005129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C2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40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AC2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40"/>
    <w:rPr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AC2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284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0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4790-9B22-4E9E-99F0-01FCFC72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Rodriguez</dc:creator>
  <cp:keywords/>
  <dc:description/>
  <cp:lastModifiedBy>Gonzalo Rodriguez</cp:lastModifiedBy>
  <cp:revision>2</cp:revision>
  <dcterms:created xsi:type="dcterms:W3CDTF">2025-03-16T19:21:00Z</dcterms:created>
  <dcterms:modified xsi:type="dcterms:W3CDTF">2025-03-16T20:54:00Z</dcterms:modified>
</cp:coreProperties>
</file>