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ldd6gj0xa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End-to-End System Architecture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j3t48rp6s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Google-Native Architecture for ISA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High-Level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ISA should be structured as a modular, serverless-first, event-driven architecture composed of the following layers: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vdpkxqekf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AI Intelligence Layer (LLM + Embeddings)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Gemini Pro/Flash via Vertex AI for core reasoning, summarization, and standards Q&amp;A.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Vertex AI Embeddings API to create vector representations of standards documents (PDFs, XML, HTML).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Vertex AI RAG Engine (Preview) to handle semantic search, context retrieval, and response synthesis.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gljy284ey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Symbolic &amp; Rules Engine Layer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containerized symbolic reasoning module running on Cloud Run or Cloud Functions.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 choices: MiniZinc (for constraints), PyDatalog (for relational reasoning), or Z3 SMT solver for validation-heavy compliance logic.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jsfqxgyat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Retrieval &amp; Data Layer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Firestore or Cloud SQL + pgvector to store structured metadata and document embeddings.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Vertex AI Vector Search or AlloyDB AI for hybrid semantic + SQL querying.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w38qv48wu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Knowledge Graph Layer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 a lightweight RDF store (Blazegraph or GraphDB) on Cloud Run or explore managed KG via partner marketplace solutions.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SHACL for constraint validation of standards metadata and dependencies.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oftirn97y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Frontend + User Interface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Firebase Hosting for frontend.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Design 3, Angular, or Flutter Web to deliver a responsive, expert-grade UI.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p3b5zg8uk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Orchestration &amp; Event Infrastructure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 Pub/Sub + Eventarc for event-driven data pipelines (e.g., on document upload, reprocessing, snapshotting).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Tasks for controlled background execution.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0i7ecoply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Logging, Monitoring, and MLOps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 Logging + Cloud Monitoring for traceability.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Vertex AI Pipelines and Model Registry for model management.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4mow92ryc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Modularization Strategy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Tech Used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LLM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Reasoning &amp; 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Vertex AI + Gemini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Semantic Retrieval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Embedding, RAG Querying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Vertex AI Embeddings + RAG Engine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Symbolic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Formal Rule Parsing &amp; 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 Run + PyDatalog / MiniZinc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Knowledge 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GS1 Relations + Ontologies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RDF+SHACL on GCP compute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Storage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GS1 metadata, vectors,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 SQL / Firestore / Vector Search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Hosting, Angular/Flutter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Pipeline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Ingestion, versioning,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Pub/Sub, Eventarc, Workflows, Cloud Tasks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MLOps + Observability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Monitoring, updates, changelog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Vertex Pipelines, Experiments, Logging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360uhywgc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Preferred Architectural Pattern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Multi-Agent Modular Pattern: Each major capability (reasoning, retrieval, validation, UI, etc.) is independently containerized and coordinated through event triggers or task queues.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Event-Driven Microservices: Pub/Sub + Eventarc ensure scalability, resilience, and isolation.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Serverless-First: Cloud Run and Firebase reduce ops burden while scaling elastically.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