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4543" w14:textId="4076BCA7" w:rsidR="008C74D9" w:rsidRPr="001C0792" w:rsidRDefault="009434D8" w:rsidP="009434D8">
      <w:pPr>
        <w:pStyle w:val="Heading1"/>
      </w:pPr>
      <w:bookmarkStart w:id="0" w:name="_Toc39052316"/>
      <w:r w:rsidRPr="009434D8">
        <w:t>AFARS – PART 5111</w:t>
      </w:r>
      <w:r w:rsidRPr="009434D8">
        <w:br/>
      </w:r>
      <w:r w:rsidR="001557F6" w:rsidRPr="001C0792">
        <w:t>Describing Agency Needs</w:t>
      </w:r>
      <w:bookmarkEnd w:id="0"/>
    </w:p>
    <w:p w14:paraId="28D24544" w14:textId="77C8DF19"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125797">
        <w:rPr>
          <w:rFonts w:ascii="Times New Roman" w:hAnsi="Times New Roman" w:cs="Times New Roman"/>
          <w:i/>
          <w:sz w:val="24"/>
          <w:szCs w:val="24"/>
        </w:rPr>
        <w:t>23 December</w:t>
      </w:r>
      <w:r w:rsidR="004E151F">
        <w:rPr>
          <w:rFonts w:ascii="Times New Roman" w:hAnsi="Times New Roman" w:cs="Times New Roman"/>
          <w:i/>
          <w:sz w:val="24"/>
          <w:szCs w:val="24"/>
        </w:rPr>
        <w:t xml:space="preserve"> 2019</w:t>
      </w:r>
      <w:r w:rsidRPr="001C0792">
        <w:rPr>
          <w:rFonts w:ascii="Times New Roman" w:hAnsi="Times New Roman" w:cs="Times New Roman"/>
          <w:i/>
          <w:sz w:val="24"/>
          <w:szCs w:val="24"/>
        </w:rPr>
        <w:t>)</w:t>
      </w:r>
    </w:p>
    <w:p w14:paraId="4F0C2018" w14:textId="0CAF5C44" w:rsidR="00ED5193" w:rsidRDefault="00ED519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16" w:history="1">
        <w:r w:rsidRPr="00CE3368">
          <w:rPr>
            <w:rStyle w:val="Hyperlink"/>
            <w:noProof/>
          </w:rPr>
          <w:t>AFARS – PART 5111 Describing Agency Needs</w:t>
        </w:r>
      </w:hyperlink>
    </w:p>
    <w:p w14:paraId="1F38260B" w14:textId="69A99CF1" w:rsidR="00ED5193" w:rsidRDefault="00ED5193">
      <w:pPr>
        <w:pStyle w:val="TOC2"/>
        <w:tabs>
          <w:tab w:val="right" w:leader="dot" w:pos="9350"/>
        </w:tabs>
        <w:rPr>
          <w:noProof/>
        </w:rPr>
      </w:pPr>
      <w:hyperlink w:anchor="_Toc39052317" w:history="1">
        <w:r w:rsidRPr="00CE3368">
          <w:rPr>
            <w:rStyle w:val="Hyperlink"/>
            <w:noProof/>
          </w:rPr>
          <w:t>Subpart 5111.1 – Selecting and Developing Requirements Documents</w:t>
        </w:r>
      </w:hyperlink>
    </w:p>
    <w:p w14:paraId="481827FF" w14:textId="53BE9B4D" w:rsidR="00ED5193" w:rsidRDefault="00ED5193">
      <w:pPr>
        <w:pStyle w:val="TOC3"/>
        <w:rPr>
          <w:rFonts w:eastAsiaTheme="minorEastAsia"/>
          <w:noProof/>
        </w:rPr>
      </w:pPr>
      <w:hyperlink w:anchor="_Toc39052318" w:history="1">
        <w:r w:rsidRPr="00CE3368">
          <w:rPr>
            <w:rStyle w:val="Hyperlink"/>
            <w:noProof/>
          </w:rPr>
          <w:t>5111.103  Market acceptance.</w:t>
        </w:r>
      </w:hyperlink>
    </w:p>
    <w:p w14:paraId="61C33DB9" w14:textId="2F6C0BC3" w:rsidR="00ED5193" w:rsidRDefault="00ED5193">
      <w:pPr>
        <w:pStyle w:val="TOC2"/>
        <w:tabs>
          <w:tab w:val="right" w:leader="dot" w:pos="9350"/>
        </w:tabs>
        <w:rPr>
          <w:noProof/>
        </w:rPr>
      </w:pPr>
      <w:hyperlink w:anchor="_Toc39052319" w:history="1">
        <w:r w:rsidRPr="00CE3368">
          <w:rPr>
            <w:rStyle w:val="Hyperlink"/>
            <w:noProof/>
          </w:rPr>
          <w:t>Subpart 5111.2 – Using and Maintaining Requirements Documents</w:t>
        </w:r>
      </w:hyperlink>
    </w:p>
    <w:p w14:paraId="1A23C51D" w14:textId="6B9C4290" w:rsidR="00ED5193" w:rsidRDefault="00ED5193">
      <w:pPr>
        <w:pStyle w:val="TOC3"/>
        <w:rPr>
          <w:rFonts w:eastAsiaTheme="minorEastAsia"/>
          <w:noProof/>
        </w:rPr>
      </w:pPr>
      <w:hyperlink w:anchor="_Toc39052320" w:history="1">
        <w:r w:rsidRPr="00CE3368">
          <w:rPr>
            <w:rStyle w:val="Hyperlink"/>
            <w:noProof/>
          </w:rPr>
          <w:t>5111.274  Item identification and valuation requirements.</w:t>
        </w:r>
      </w:hyperlink>
    </w:p>
    <w:p w14:paraId="694DBA61" w14:textId="302F19D8" w:rsidR="00ED5193" w:rsidRDefault="00ED5193">
      <w:pPr>
        <w:pStyle w:val="TOC4"/>
        <w:tabs>
          <w:tab w:val="right" w:leader="dot" w:pos="9350"/>
        </w:tabs>
        <w:rPr>
          <w:rFonts w:eastAsiaTheme="minorEastAsia"/>
          <w:noProof/>
        </w:rPr>
      </w:pPr>
      <w:hyperlink w:anchor="_Toc39052321" w:history="1">
        <w:r w:rsidRPr="00CE3368">
          <w:rPr>
            <w:rStyle w:val="Hyperlink"/>
            <w:noProof/>
          </w:rPr>
          <w:t>5111.274-2  Policy for item unique identification.</w:t>
        </w:r>
      </w:hyperlink>
    </w:p>
    <w:p w14:paraId="65F41B10" w14:textId="6F406428" w:rsidR="00ED5193" w:rsidRDefault="00ED5193">
      <w:pPr>
        <w:pStyle w:val="TOC4"/>
        <w:tabs>
          <w:tab w:val="right" w:leader="dot" w:pos="9350"/>
        </w:tabs>
        <w:rPr>
          <w:rFonts w:eastAsiaTheme="minorEastAsia"/>
          <w:noProof/>
        </w:rPr>
      </w:pPr>
      <w:hyperlink w:anchor="_Toc39052322" w:history="1">
        <w:r w:rsidRPr="00CE3368">
          <w:rPr>
            <w:rStyle w:val="Hyperlink"/>
            <w:noProof/>
          </w:rPr>
          <w:t>5111.274-2 (S-90)</w:t>
        </w:r>
      </w:hyperlink>
    </w:p>
    <w:p w14:paraId="60BF305E" w14:textId="417C2F99" w:rsidR="00ED5193" w:rsidRDefault="00ED5193">
      <w:pPr>
        <w:pStyle w:val="TOC4"/>
        <w:tabs>
          <w:tab w:val="right" w:leader="dot" w:pos="9350"/>
        </w:tabs>
        <w:rPr>
          <w:rFonts w:eastAsiaTheme="minorEastAsia"/>
          <w:noProof/>
        </w:rPr>
      </w:pPr>
      <w:hyperlink w:anchor="_Toc39052323" w:history="1">
        <w:r w:rsidRPr="00CE3368">
          <w:rPr>
            <w:rStyle w:val="Hyperlink"/>
            <w:noProof/>
          </w:rPr>
          <w:t>5111.274-2 (S-91)</w:t>
        </w:r>
      </w:hyperlink>
    </w:p>
    <w:p w14:paraId="21AF7425" w14:textId="72BA3D4E" w:rsidR="00ED5193" w:rsidRDefault="00ED5193">
      <w:pPr>
        <w:pStyle w:val="TOC4"/>
        <w:tabs>
          <w:tab w:val="right" w:leader="dot" w:pos="9350"/>
        </w:tabs>
        <w:rPr>
          <w:rFonts w:eastAsiaTheme="minorEastAsia"/>
          <w:noProof/>
        </w:rPr>
      </w:pPr>
      <w:hyperlink w:anchor="_Toc39052324" w:history="1">
        <w:r w:rsidRPr="00CE3368">
          <w:rPr>
            <w:rStyle w:val="Hyperlink"/>
            <w:noProof/>
          </w:rPr>
          <w:t>5111.274-6  Contract clauses.</w:t>
        </w:r>
      </w:hyperlink>
    </w:p>
    <w:p w14:paraId="63077BCB" w14:textId="33C43193" w:rsidR="00ED5193" w:rsidRDefault="00ED5193">
      <w:pPr>
        <w:pStyle w:val="TOC2"/>
        <w:tabs>
          <w:tab w:val="right" w:leader="dot" w:pos="9350"/>
        </w:tabs>
        <w:rPr>
          <w:noProof/>
        </w:rPr>
      </w:pPr>
      <w:hyperlink w:anchor="_Toc39052325" w:history="1">
        <w:r w:rsidRPr="00CE3368">
          <w:rPr>
            <w:rStyle w:val="Hyperlink"/>
            <w:noProof/>
          </w:rPr>
          <w:t>Subpart 5111.5 – Liquidated Damages</w:t>
        </w:r>
      </w:hyperlink>
    </w:p>
    <w:p w14:paraId="3124F81C" w14:textId="2C60003D" w:rsidR="00ED5193" w:rsidRDefault="00ED5193">
      <w:pPr>
        <w:pStyle w:val="TOC3"/>
        <w:rPr>
          <w:rFonts w:eastAsiaTheme="minorEastAsia"/>
          <w:noProof/>
        </w:rPr>
      </w:pPr>
      <w:hyperlink w:anchor="_Toc39052326" w:history="1">
        <w:r w:rsidRPr="00CE3368">
          <w:rPr>
            <w:rStyle w:val="Hyperlink"/>
            <w:noProof/>
          </w:rPr>
          <w:t>5111.501  Policy.</w:t>
        </w:r>
      </w:hyperlink>
    </w:p>
    <w:p w14:paraId="724F0A15" w14:textId="68B18AA0" w:rsidR="00ED5193" w:rsidRDefault="00ED5193">
      <w:pPr>
        <w:pStyle w:val="TOC2"/>
        <w:tabs>
          <w:tab w:val="right" w:leader="dot" w:pos="9350"/>
        </w:tabs>
        <w:rPr>
          <w:noProof/>
        </w:rPr>
      </w:pPr>
      <w:hyperlink w:anchor="_Toc39052327" w:history="1">
        <w:r w:rsidRPr="00CE3368">
          <w:rPr>
            <w:rStyle w:val="Hyperlink"/>
            <w:noProof/>
          </w:rPr>
          <w:t>Subpart 5111.6 – Priorities and Allocations</w:t>
        </w:r>
      </w:hyperlink>
    </w:p>
    <w:p w14:paraId="5D42C582" w14:textId="2CF7C1B6" w:rsidR="00ED5193" w:rsidRDefault="00ED5193">
      <w:pPr>
        <w:pStyle w:val="TOC3"/>
        <w:rPr>
          <w:rFonts w:eastAsiaTheme="minorEastAsia"/>
          <w:noProof/>
        </w:rPr>
      </w:pPr>
      <w:hyperlink w:anchor="_Toc39052328" w:history="1">
        <w:r w:rsidRPr="00CE3368">
          <w:rPr>
            <w:rStyle w:val="Hyperlink"/>
            <w:noProof/>
          </w:rPr>
          <w:t>5111.602  General.</w:t>
        </w:r>
      </w:hyperlink>
    </w:p>
    <w:p w14:paraId="659FEC0F" w14:textId="2342E19C" w:rsidR="00ED5193" w:rsidRDefault="00ED5193">
      <w:pPr>
        <w:pStyle w:val="TOC4"/>
        <w:tabs>
          <w:tab w:val="right" w:leader="dot" w:pos="9350"/>
        </w:tabs>
        <w:rPr>
          <w:rFonts w:eastAsiaTheme="minorEastAsia"/>
          <w:noProof/>
        </w:rPr>
      </w:pPr>
      <w:hyperlink w:anchor="_Toc39052329" w:history="1">
        <w:r w:rsidRPr="00CE3368">
          <w:rPr>
            <w:rStyle w:val="Hyperlink"/>
            <w:noProof/>
          </w:rPr>
          <w:t>5111.602-90  Responsibilities.</w:t>
        </w:r>
      </w:hyperlink>
    </w:p>
    <w:p w14:paraId="432FE180" w14:textId="44F8801C" w:rsidR="00ED5193" w:rsidRDefault="00ED5193">
      <w:pPr>
        <w:pStyle w:val="TOC3"/>
        <w:rPr>
          <w:rFonts w:eastAsiaTheme="minorEastAsia"/>
          <w:noProof/>
        </w:rPr>
      </w:pPr>
      <w:hyperlink w:anchor="_Toc39052330" w:history="1">
        <w:r w:rsidRPr="00CE3368">
          <w:rPr>
            <w:rStyle w:val="Hyperlink"/>
            <w:noProof/>
          </w:rPr>
          <w:t>5111.603  Procedures.</w:t>
        </w:r>
      </w:hyperlink>
    </w:p>
    <w:p w14:paraId="1EEAD47A" w14:textId="148F2D2E" w:rsidR="00ED5193" w:rsidRDefault="00ED5193">
      <w:pPr>
        <w:pStyle w:val="TOC3"/>
        <w:rPr>
          <w:rFonts w:eastAsiaTheme="minorEastAsia"/>
          <w:noProof/>
        </w:rPr>
      </w:pPr>
      <w:hyperlink w:anchor="_Toc39052331" w:history="1">
        <w:r w:rsidRPr="00CE3368">
          <w:rPr>
            <w:rStyle w:val="Hyperlink"/>
            <w:noProof/>
          </w:rPr>
          <w:t>Subpart 5111.7—Variation in Quantity</w:t>
        </w:r>
      </w:hyperlink>
    </w:p>
    <w:p w14:paraId="31E61228" w14:textId="47203C31" w:rsidR="00ED5193" w:rsidRDefault="00ED5193">
      <w:pPr>
        <w:pStyle w:val="TOC3"/>
        <w:rPr>
          <w:rFonts w:eastAsiaTheme="minorEastAsia"/>
          <w:noProof/>
        </w:rPr>
      </w:pPr>
      <w:hyperlink w:anchor="_Toc39052332" w:history="1">
        <w:r w:rsidRPr="00CE3368">
          <w:rPr>
            <w:rStyle w:val="Hyperlink"/>
            <w:noProof/>
          </w:rPr>
          <w:t>5111.703  Contract Clauses</w:t>
        </w:r>
      </w:hyperlink>
    </w:p>
    <w:p w14:paraId="0324CA97" w14:textId="62534718" w:rsidR="001C0792" w:rsidRPr="001C0792" w:rsidRDefault="00ED5193" w:rsidP="002223B9">
      <w:pPr>
        <w:rPr>
          <w:rFonts w:ascii="Times New Roman" w:hAnsi="Times New Roman" w:cs="Times New Roman"/>
          <w:i/>
          <w:sz w:val="24"/>
          <w:szCs w:val="24"/>
        </w:rPr>
      </w:pPr>
      <w:r>
        <w:rPr>
          <w:rFonts w:ascii="Times New Roman" w:hAnsi="Times New Roman" w:cs="Times New Roman"/>
          <w:i/>
          <w:sz w:val="24"/>
          <w:szCs w:val="24"/>
        </w:rPr>
        <w:fldChar w:fldCharType="end"/>
      </w:r>
    </w:p>
    <w:p w14:paraId="5E9E12D9" w14:textId="3903D526" w:rsidR="00B56C06" w:rsidRDefault="00B56C06" w:rsidP="009434D8">
      <w:pPr>
        <w:pStyle w:val="Heading2"/>
      </w:pPr>
      <w:bookmarkStart w:id="1" w:name="_Toc512840001"/>
      <w:bookmarkStart w:id="2" w:name="_Toc514050279"/>
      <w:bookmarkStart w:id="3" w:name="_Toc39052317"/>
      <w:r>
        <w:t>Subpart 5111.1 – Selecting and Developing Requirements Documents</w:t>
      </w:r>
      <w:bookmarkEnd w:id="1"/>
      <w:bookmarkEnd w:id="2"/>
      <w:bookmarkEnd w:id="3"/>
    </w:p>
    <w:p w14:paraId="35F95A5C" w14:textId="77777777" w:rsidR="009434D8" w:rsidRDefault="005F4091" w:rsidP="009434D8">
      <w:pPr>
        <w:pStyle w:val="Heading3"/>
      </w:pPr>
      <w:bookmarkStart w:id="4" w:name="_Toc512840002"/>
      <w:bookmarkStart w:id="5" w:name="_Toc514050280"/>
      <w:bookmarkStart w:id="6" w:name="_Toc39052318"/>
      <w:r>
        <w:t>5111.103  Market a</w:t>
      </w:r>
      <w:r w:rsidR="00B56C06">
        <w:t>cceptance.</w:t>
      </w:r>
      <w:bookmarkEnd w:id="4"/>
      <w:bookmarkEnd w:id="5"/>
      <w:bookmarkEnd w:id="6"/>
      <w:r w:rsidR="00B56C06">
        <w:t xml:space="preserve"> </w:t>
      </w:r>
    </w:p>
    <w:p w14:paraId="6314DDE2" w14:textId="31CB6632" w:rsidR="00B56C06" w:rsidRPr="00B56C06" w:rsidRDefault="009434D8" w:rsidP="009434D8">
      <w:pPr>
        <w:pStyle w:val="List1"/>
      </w:pPr>
      <w:r w:rsidRPr="00B56C06">
        <w:t>(a)</w:t>
      </w:r>
      <w:r w:rsidR="00B56C06" w:rsidRPr="00B56C06">
        <w:t xml:space="preserve"> The Assistant Secretary of the Army (Acquisition, Logistics and Technology) has the authority to require offerors to demonstrate that items offered meet the standards as set forth in FAR 11.103(a).  See Appendix GG for further delegation.</w:t>
      </w:r>
    </w:p>
    <w:p w14:paraId="69932513" w14:textId="2E0F93CD" w:rsidR="005F4091" w:rsidRPr="005F4091" w:rsidRDefault="00206CD1" w:rsidP="009434D8">
      <w:pPr>
        <w:pStyle w:val="Heading2"/>
      </w:pPr>
      <w:bookmarkStart w:id="7" w:name="_Toc512840003"/>
      <w:bookmarkStart w:id="8" w:name="_Toc514050281"/>
      <w:bookmarkStart w:id="9" w:name="_Toc39052319"/>
      <w:r w:rsidRPr="009231E9">
        <w:t>Subpart 5111.2 – Using and Maintaining Requirements Documents</w:t>
      </w:r>
      <w:bookmarkStart w:id="10" w:name="_Toc512840009"/>
      <w:bookmarkStart w:id="11" w:name="_Toc512840004"/>
      <w:bookmarkEnd w:id="7"/>
      <w:bookmarkEnd w:id="8"/>
      <w:bookmarkEnd w:id="9"/>
    </w:p>
    <w:p w14:paraId="52E2F69B" w14:textId="05E79327" w:rsidR="005F4091" w:rsidRDefault="005F4091" w:rsidP="009434D8">
      <w:pPr>
        <w:pStyle w:val="Heading3"/>
      </w:pPr>
      <w:bookmarkStart w:id="12" w:name="_Toc514050282"/>
      <w:bookmarkStart w:id="13" w:name="_Toc39052320"/>
      <w:r w:rsidRPr="009231E9">
        <w:t>5111.274  Item identification and valuation requirements.</w:t>
      </w:r>
      <w:bookmarkEnd w:id="12"/>
      <w:bookmarkEnd w:id="13"/>
    </w:p>
    <w:p w14:paraId="6E37CA7F" w14:textId="77777777" w:rsidR="009434D8" w:rsidRDefault="005F4091" w:rsidP="009434D8">
      <w:pPr>
        <w:pStyle w:val="Heading4"/>
      </w:pPr>
      <w:bookmarkStart w:id="14" w:name="_Toc514050283"/>
      <w:bookmarkStart w:id="15" w:name="_Toc39052321"/>
      <w:r>
        <w:lastRenderedPageBreak/>
        <w:t>5111.274-2  Policy for item unique identification.</w:t>
      </w:r>
      <w:bookmarkEnd w:id="10"/>
      <w:bookmarkEnd w:id="14"/>
      <w:bookmarkEnd w:id="15"/>
    </w:p>
    <w:p w14:paraId="193BEDAE" w14:textId="7AD3293B" w:rsidR="009434D8" w:rsidRPr="005F4091" w:rsidRDefault="009434D8" w:rsidP="009434D8">
      <w:pPr>
        <w:pStyle w:val="List1"/>
      </w:pPr>
      <w:r w:rsidRPr="005F4091">
        <w:rPr>
          <w:color w:val="000000"/>
        </w:rPr>
        <w:t>(b)</w:t>
      </w:r>
      <w:r w:rsidR="005F4091" w:rsidRPr="005F4091">
        <w:rPr>
          <w:color w:val="000000"/>
        </w:rPr>
        <w:t xml:space="preserve">(1)  The head of the contracting activity, on a non-delegable basis, has the authority to determine use of the items as described in DFARS 211.274-2.  </w:t>
      </w:r>
    </w:p>
    <w:p w14:paraId="6F4A9431" w14:textId="2CF56F09" w:rsidR="005F4091" w:rsidRPr="005F4091" w:rsidRDefault="009434D8" w:rsidP="009434D8">
      <w:pPr>
        <w:pStyle w:val="List1"/>
      </w:pPr>
      <w:r w:rsidRPr="005F4091">
        <w:t>(b)</w:t>
      </w:r>
      <w:r w:rsidR="005F4091" w:rsidRPr="005F4091">
        <w:t>(2)(i)(B)  The head of the contracting activity shall execute the determination and findings.  See Appendix GG for further delegation.</w:t>
      </w:r>
    </w:p>
    <w:p w14:paraId="7DF6165C" w14:textId="77777777" w:rsidR="00F35AC9" w:rsidRDefault="00E96BE4" w:rsidP="009434D8">
      <w:pPr>
        <w:pStyle w:val="Heading4"/>
      </w:pPr>
      <w:bookmarkStart w:id="16" w:name="_Toc512840005"/>
      <w:bookmarkStart w:id="17" w:name="_Toc514050284"/>
      <w:bookmarkStart w:id="18" w:name="_Toc39052322"/>
      <w:bookmarkEnd w:id="11"/>
      <w:r w:rsidRPr="000E6E32">
        <w:t>5111.274-2 (S-90)</w:t>
      </w:r>
      <w:bookmarkEnd w:id="16"/>
      <w:bookmarkEnd w:id="17"/>
      <w:bookmarkEnd w:id="18"/>
      <w:r w:rsidRPr="00113CBD">
        <w:t xml:space="preserve">  </w:t>
      </w:r>
    </w:p>
    <w:p w14:paraId="28D24548" w14:textId="39F16D2C" w:rsidR="00113CBD" w:rsidRPr="00F35AC9" w:rsidRDefault="00E96BE4" w:rsidP="006076D4">
      <w:bookmarkStart w:id="19"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9"/>
    </w:p>
    <w:p w14:paraId="6AC986B4" w14:textId="77777777" w:rsidR="00F35AC9" w:rsidRDefault="002D7D71" w:rsidP="009434D8">
      <w:pPr>
        <w:pStyle w:val="Heading4"/>
      </w:pPr>
      <w:bookmarkStart w:id="20" w:name="_Toc512840007"/>
      <w:bookmarkStart w:id="21" w:name="_Toc514050285"/>
      <w:bookmarkStart w:id="22" w:name="_Toc39052323"/>
      <w:r w:rsidRPr="000E6E32">
        <w:t>5111.274-2 (S-91)</w:t>
      </w:r>
      <w:bookmarkEnd w:id="20"/>
      <w:bookmarkEnd w:id="21"/>
      <w:bookmarkEnd w:id="22"/>
      <w:r>
        <w:t xml:space="preserve"> </w:t>
      </w:r>
    </w:p>
    <w:p w14:paraId="28D2454C" w14:textId="24402DBB" w:rsidR="00505EB3" w:rsidRPr="006076D4" w:rsidRDefault="00FA4D37" w:rsidP="006076D4">
      <w:pPr>
        <w:rPr>
          <w:rFonts w:ascii="Times New Roman" w:hAnsi="Times New Roman" w:cs="Times New Roman"/>
          <w:sz w:val="24"/>
          <w:szCs w:val="24"/>
        </w:rPr>
      </w:pPr>
      <w:bookmarkStart w:id="23" w:name="_Toc512840008"/>
      <w:r w:rsidRPr="006076D4">
        <w:rPr>
          <w:rFonts w:ascii="Times New Roman" w:hAnsi="Times New Roman" w:cs="Times New Roman"/>
          <w:sz w:val="24"/>
          <w:szCs w:val="24"/>
        </w:rPr>
        <w:t>See AFARS 5142.1503(b)(2)(vi) for requirements to document contractor compliance with item unique identification in the  Contractor Performance Assessment Reports System.</w:t>
      </w:r>
      <w:bookmarkEnd w:id="23"/>
    </w:p>
    <w:p w14:paraId="78E0717C" w14:textId="77777777" w:rsidR="009434D8" w:rsidRPr="009231E9" w:rsidRDefault="00960010" w:rsidP="009434D8">
      <w:pPr>
        <w:pStyle w:val="Heading4"/>
      </w:pPr>
      <w:bookmarkStart w:id="24" w:name="_Toc512840010"/>
      <w:bookmarkStart w:id="25" w:name="_Toc514050286"/>
      <w:bookmarkStart w:id="26" w:name="_Toc39052324"/>
      <w:r w:rsidRPr="009231E9">
        <w:t xml:space="preserve">5111.274-6 </w:t>
      </w:r>
      <w:r w:rsidR="00E748BE" w:rsidRPr="009231E9">
        <w:t xml:space="preserve"> </w:t>
      </w:r>
      <w:r w:rsidRPr="009231E9">
        <w:t>Contract clauses</w:t>
      </w:r>
      <w:r w:rsidR="00E748BE" w:rsidRPr="009231E9">
        <w:t>.</w:t>
      </w:r>
      <w:bookmarkEnd w:id="24"/>
      <w:bookmarkEnd w:id="25"/>
      <w:bookmarkEnd w:id="26"/>
    </w:p>
    <w:p w14:paraId="0D43AC30" w14:textId="5EDC4975" w:rsidR="009434D8" w:rsidRPr="009231E9" w:rsidRDefault="009434D8" w:rsidP="009434D8">
      <w:pPr>
        <w:pStyle w:val="List1"/>
      </w:pPr>
      <w:r w:rsidRPr="009231E9">
        <w:rPr>
          <w:color w:val="000000"/>
        </w:rPr>
        <w:t>(a)</w:t>
      </w:r>
      <w:r w:rsidR="00960010" w:rsidRPr="009231E9">
        <w:rPr>
          <w:color w:val="000000"/>
        </w:rPr>
        <w:t>(1)  Use the clause at 252.211-7003, Item Id</w:t>
      </w:r>
      <w:r w:rsidR="005F4091">
        <w:rPr>
          <w:color w:val="000000"/>
        </w:rPr>
        <w:t>entification and Valuation, in all</w:t>
      </w:r>
      <w:r w:rsidR="00960010" w:rsidRPr="009231E9">
        <w:rPr>
          <w:color w:val="000000"/>
        </w:rPr>
        <w:t xml:space="preserve"> solicitations and contracts for supplies.</w:t>
      </w:r>
    </w:p>
    <w:p w14:paraId="45ABE051" w14:textId="26E221A1" w:rsidR="009434D8" w:rsidRPr="009231E9" w:rsidRDefault="009434D8" w:rsidP="009434D8">
      <w:pPr>
        <w:pStyle w:val="List2"/>
      </w:pPr>
      <w:r w:rsidRPr="009231E9">
        <w:rPr>
          <w:color w:val="000000"/>
          <w:szCs w:val="24"/>
        </w:rPr>
        <w:t>(2)</w:t>
      </w:r>
      <w:r w:rsidR="00960010" w:rsidRPr="009231E9">
        <w:rPr>
          <w:color w:val="000000"/>
          <w:szCs w:val="24"/>
        </w:rPr>
        <w:t xml:space="preserve">  The contracting officer must obtain from the requiring activity a list of items with a unit value less than $5,000 that require unique identification.  The contracting officer must enter those items into paragraph (c)(1)(ii) of the clause.</w:t>
      </w:r>
    </w:p>
    <w:p w14:paraId="28D24550" w14:textId="51B11BF1" w:rsidR="008C74D9" w:rsidRDefault="009434D8" w:rsidP="009434D8">
      <w:pPr>
        <w:pStyle w:val="List2"/>
      </w:pPr>
      <w:r w:rsidRPr="009231E9">
        <w:rPr>
          <w:color w:val="000000"/>
          <w:szCs w:val="24"/>
        </w:rPr>
        <w:t>(3)</w:t>
      </w:r>
      <w:r w:rsidR="00960010" w:rsidRPr="009231E9">
        <w:rPr>
          <w:color w:val="000000"/>
          <w:szCs w:val="24"/>
        </w:rPr>
        <w:t xml:space="preserve">  As required in DFARS 252.211-7003(c)(1)(iii), include an attachment in the contract which lists embedded DoD serially managed subassemblies, components and parts that are uniquely identified. </w:t>
      </w:r>
    </w:p>
    <w:p w14:paraId="5C78AFE8" w14:textId="7E0ED09F" w:rsidR="00E415A1" w:rsidRDefault="00500DAD" w:rsidP="009434D8">
      <w:pPr>
        <w:pStyle w:val="Heading2"/>
      </w:pPr>
      <w:bookmarkStart w:id="27" w:name="_Toc512840011"/>
      <w:bookmarkStart w:id="28" w:name="_Toc514050287"/>
      <w:bookmarkStart w:id="29" w:name="_Toc39052325"/>
      <w:r w:rsidRPr="00500DAD">
        <w:t>Subpart 5111.5 – Liquidated Damages</w:t>
      </w:r>
      <w:bookmarkEnd w:id="27"/>
      <w:bookmarkEnd w:id="28"/>
      <w:bookmarkEnd w:id="29"/>
    </w:p>
    <w:p w14:paraId="175184E4" w14:textId="77777777" w:rsidR="009434D8" w:rsidRPr="000E6E32" w:rsidRDefault="00500DAD" w:rsidP="009434D8">
      <w:pPr>
        <w:pStyle w:val="Heading3"/>
      </w:pPr>
      <w:bookmarkStart w:id="30" w:name="_Toc512840012"/>
      <w:bookmarkStart w:id="31" w:name="_Toc514050288"/>
      <w:bookmarkStart w:id="32" w:name="_Toc39052326"/>
      <w:r w:rsidRPr="000E6E32">
        <w:t>5111.501  Policy.</w:t>
      </w:r>
      <w:bookmarkEnd w:id="30"/>
      <w:bookmarkEnd w:id="31"/>
      <w:bookmarkEnd w:id="32"/>
    </w:p>
    <w:p w14:paraId="3695C92B" w14:textId="16D94476" w:rsidR="00500DAD" w:rsidRDefault="009434D8" w:rsidP="009434D8">
      <w:pPr>
        <w:pStyle w:val="List1"/>
      </w:pPr>
      <w:r>
        <w:rPr>
          <w:color w:val="000000"/>
        </w:rPr>
        <w:t>(d)</w:t>
      </w:r>
      <w:r w:rsidR="00500DAD">
        <w:rPr>
          <w:color w:val="000000"/>
        </w:rPr>
        <w:t xml:space="preserve">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9434D8">
      <w:pPr>
        <w:pStyle w:val="Heading2"/>
      </w:pPr>
      <w:bookmarkStart w:id="33" w:name="_Toc512840013"/>
      <w:bookmarkStart w:id="34" w:name="_Toc514050289"/>
      <w:bookmarkStart w:id="35" w:name="_Toc39052327"/>
      <w:r w:rsidRPr="009231E9">
        <w:t>Subpart 5111.6 – Priorities and Allocations</w:t>
      </w:r>
      <w:bookmarkEnd w:id="33"/>
      <w:bookmarkEnd w:id="34"/>
      <w:bookmarkEnd w:id="35"/>
    </w:p>
    <w:p w14:paraId="28D24552" w14:textId="77777777" w:rsidR="008C74D9" w:rsidRPr="009231E9" w:rsidRDefault="00960010" w:rsidP="009434D8">
      <w:pPr>
        <w:pStyle w:val="Heading3"/>
      </w:pPr>
      <w:bookmarkStart w:id="36" w:name="_Toc512840014"/>
      <w:bookmarkStart w:id="37" w:name="_Toc514050290"/>
      <w:bookmarkStart w:id="38" w:name="_Toc39052328"/>
      <w:r w:rsidRPr="009231E9">
        <w:t>5111.602  General.</w:t>
      </w:r>
      <w:bookmarkEnd w:id="36"/>
      <w:bookmarkEnd w:id="37"/>
      <w:bookmarkEnd w:id="38"/>
    </w:p>
    <w:p w14:paraId="28D24553" w14:textId="77777777" w:rsidR="008C74D9" w:rsidRPr="009231E9" w:rsidRDefault="00960010" w:rsidP="009434D8">
      <w:pPr>
        <w:pStyle w:val="Heading4"/>
      </w:pPr>
      <w:bookmarkStart w:id="39" w:name="_Toc512840015"/>
      <w:bookmarkStart w:id="40" w:name="_Toc514050291"/>
      <w:bookmarkStart w:id="41" w:name="_Toc39052329"/>
      <w:r w:rsidRPr="009231E9">
        <w:t>5111.602-90  Responsibilities.</w:t>
      </w:r>
      <w:bookmarkEnd w:id="39"/>
      <w:bookmarkEnd w:id="40"/>
      <w:bookmarkEnd w:id="41"/>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lastRenderedPageBreak/>
        <w:t>The G-4 Business Transformation, Headquarters, U.S. Army Materiel Command is responsible for administering the Priorities and Allocations System within the Army.</w:t>
      </w:r>
    </w:p>
    <w:p w14:paraId="368309BB" w14:textId="77777777" w:rsidR="009434D8" w:rsidRPr="009231E9" w:rsidRDefault="00960010" w:rsidP="009434D8">
      <w:pPr>
        <w:pStyle w:val="Heading3"/>
      </w:pPr>
      <w:bookmarkStart w:id="42" w:name="_Toc512840016"/>
      <w:bookmarkStart w:id="43" w:name="_Toc514050292"/>
      <w:bookmarkStart w:id="44" w:name="_Toc39052330"/>
      <w:r w:rsidRPr="009231E9">
        <w:t>5111.603  Procedures.</w:t>
      </w:r>
      <w:bookmarkEnd w:id="42"/>
      <w:bookmarkEnd w:id="43"/>
      <w:bookmarkEnd w:id="44"/>
    </w:p>
    <w:p w14:paraId="28D24556" w14:textId="758A2984" w:rsidR="008C74D9" w:rsidRDefault="009434D8" w:rsidP="009434D8">
      <w:pPr>
        <w:pStyle w:val="List1"/>
      </w:pPr>
      <w:r w:rsidRPr="009231E9">
        <w:t>(e)</w:t>
      </w:r>
      <w:r w:rsidR="00960010" w:rsidRPr="009231E9">
        <w:t xml:space="preserv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45" w:name="_Toc39052331"/>
      <w:r w:rsidRPr="006D4630">
        <w:t>Subpart 5111.7—Variation in Quantity</w:t>
      </w:r>
      <w:bookmarkEnd w:id="45"/>
    </w:p>
    <w:p w14:paraId="3937E164" w14:textId="77777777" w:rsidR="009434D8" w:rsidRPr="006D4630" w:rsidRDefault="00946EEB" w:rsidP="009434D8">
      <w:pPr>
        <w:pStyle w:val="Heading3"/>
      </w:pPr>
      <w:bookmarkStart w:id="46" w:name="_Toc39052332"/>
      <w:r w:rsidRPr="006D4630">
        <w:t>5111.703  Contract Clauses</w:t>
      </w:r>
      <w:bookmarkEnd w:id="46"/>
    </w:p>
    <w:p w14:paraId="172F5EC7" w14:textId="708C2D82" w:rsidR="009434D8" w:rsidRDefault="009434D8" w:rsidP="009434D8">
      <w:pPr>
        <w:pStyle w:val="List1"/>
      </w:pPr>
      <w:r>
        <w:t>(c)</w:t>
      </w:r>
      <w:r w:rsidR="00946EEB">
        <w:t xml:space="preserve">(i)  </w:t>
      </w:r>
      <w:r w:rsidR="006D4630">
        <w:t>I</w:t>
      </w:r>
      <w:r w:rsidR="00946EEB">
        <w:t xml:space="preserve">nsert the </w:t>
      </w:r>
      <w:r w:rsidR="006D4630">
        <w:t>provision at AFARS 5152.211-9000</w:t>
      </w:r>
      <w:r w:rsidR="008C21C8">
        <w:t>, Evaluation of Subline</w:t>
      </w:r>
      <w:r w:rsidR="00946EEB">
        <w:t xml:space="preserve"> Items, in solicitations when a fixed-price construction contract is contemplated and </w:t>
      </w:r>
      <w:r w:rsidR="006D4630">
        <w:t>the clause at AFARS 5152.211-9001 is included in the solicitation.</w:t>
      </w:r>
    </w:p>
    <w:p w14:paraId="278C9FC1" w14:textId="1096F2EA" w:rsidR="009510CC" w:rsidRDefault="009434D8" w:rsidP="009434D8">
      <w:pPr>
        <w:pStyle w:val="List3"/>
      </w:pPr>
      <w:r>
        <w:rPr>
          <w:szCs w:val="24"/>
        </w:rPr>
        <w:t>(ii)</w:t>
      </w:r>
      <w:r w:rsidR="006D4630">
        <w:rPr>
          <w:szCs w:val="24"/>
        </w:rPr>
        <w:t xml:space="preserve">  </w:t>
      </w:r>
      <w:r w:rsidR="00BE77C6">
        <w:rPr>
          <w:szCs w:val="24"/>
        </w:rPr>
        <w:t>In addition to the clause at FAR 52.211-18, i</w:t>
      </w:r>
      <w:r w:rsidR="006D4630">
        <w:rPr>
          <w:szCs w:val="24"/>
        </w:rPr>
        <w:t>nsert the clause at AFARS 5152.211-9001, Variations in Estimated Quantities—Sub</w:t>
      </w:r>
      <w:r w:rsidR="008C21C8">
        <w:rPr>
          <w:szCs w:val="24"/>
        </w:rPr>
        <w:t>line</w:t>
      </w:r>
      <w:r w:rsidR="006D4630">
        <w:rPr>
          <w:szCs w:val="24"/>
        </w:rPr>
        <w:t xml:space="preserve"> Items, in solicitations and contracts when</w:t>
      </w:r>
      <w:r w:rsidR="009510CC">
        <w:rPr>
          <w:szCs w:val="24"/>
        </w:rPr>
        <w:t>—</w:t>
      </w:r>
    </w:p>
    <w:p w14:paraId="5EDC3D1B" w14:textId="66B8179E" w:rsidR="009434D8" w:rsidRDefault="006D4630" w:rsidP="009434D8">
      <w:pPr>
        <w:pStyle w:val="List4"/>
      </w:pPr>
      <w:r>
        <w:rPr>
          <w:szCs w:val="24"/>
        </w:rPr>
        <w:t xml:space="preserve"> </w:t>
      </w:r>
      <w:r w:rsidR="009434D8">
        <w:rPr>
          <w:szCs w:val="24"/>
        </w:rPr>
        <w:t>(A)</w:t>
      </w:r>
      <w:r w:rsidR="00DA0D68">
        <w:rPr>
          <w:szCs w:val="24"/>
        </w:rPr>
        <w:t xml:space="preserve">  A</w:t>
      </w:r>
      <w:r>
        <w:rPr>
          <w:szCs w:val="24"/>
        </w:rPr>
        <w:t xml:space="preserve"> fixed-price construction contract is contemplated</w:t>
      </w:r>
      <w:r w:rsidR="009510CC">
        <w:rPr>
          <w:szCs w:val="24"/>
        </w:rPr>
        <w:t xml:space="preserve"> that authorizes a variation in the estimated quantity of unit-priced items; and </w:t>
      </w:r>
    </w:p>
    <w:p w14:paraId="48760FB1" w14:textId="65609108" w:rsidR="006D4630" w:rsidRPr="009231E9" w:rsidRDefault="009434D8" w:rsidP="009434D8">
      <w:pPr>
        <w:pStyle w:val="List4"/>
      </w:pPr>
      <w:r>
        <w:rPr>
          <w:szCs w:val="24"/>
        </w:rPr>
        <w:t>(B)</w:t>
      </w:r>
      <w:r w:rsidR="00DA0D68">
        <w:rPr>
          <w:szCs w:val="24"/>
        </w:rPr>
        <w:t xml:space="preserve">  </w:t>
      </w:r>
      <w:r w:rsidR="009510CC">
        <w:rPr>
          <w:szCs w:val="24"/>
        </w:rPr>
        <w:t>Those unit priced items will be subdivided into subline items and</w:t>
      </w:r>
      <w:r w:rsidR="006D4630">
        <w:rPr>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263C8"/>
    <w:rsid w:val="000562E6"/>
    <w:rsid w:val="00065366"/>
    <w:rsid w:val="00076A63"/>
    <w:rsid w:val="00084FE4"/>
    <w:rsid w:val="000D7F81"/>
    <w:rsid w:val="000E6E32"/>
    <w:rsid w:val="000F4A58"/>
    <w:rsid w:val="00113CBD"/>
    <w:rsid w:val="00124859"/>
    <w:rsid w:val="00125797"/>
    <w:rsid w:val="001557F6"/>
    <w:rsid w:val="001C0792"/>
    <w:rsid w:val="00206CD1"/>
    <w:rsid w:val="002223B9"/>
    <w:rsid w:val="0023169A"/>
    <w:rsid w:val="00236B49"/>
    <w:rsid w:val="00263749"/>
    <w:rsid w:val="002766F3"/>
    <w:rsid w:val="002D501E"/>
    <w:rsid w:val="002D7D71"/>
    <w:rsid w:val="00305808"/>
    <w:rsid w:val="003069DF"/>
    <w:rsid w:val="00324062"/>
    <w:rsid w:val="00352D8C"/>
    <w:rsid w:val="00360B35"/>
    <w:rsid w:val="00375AFD"/>
    <w:rsid w:val="003B4EFD"/>
    <w:rsid w:val="003B70EB"/>
    <w:rsid w:val="003B749C"/>
    <w:rsid w:val="0043754C"/>
    <w:rsid w:val="00442197"/>
    <w:rsid w:val="00450AC8"/>
    <w:rsid w:val="004621AE"/>
    <w:rsid w:val="004704EC"/>
    <w:rsid w:val="004B607A"/>
    <w:rsid w:val="004E151F"/>
    <w:rsid w:val="004F75D6"/>
    <w:rsid w:val="00500DAD"/>
    <w:rsid w:val="00504E40"/>
    <w:rsid w:val="00505EB3"/>
    <w:rsid w:val="0053370C"/>
    <w:rsid w:val="005632E4"/>
    <w:rsid w:val="005647CA"/>
    <w:rsid w:val="00592CDB"/>
    <w:rsid w:val="005B128A"/>
    <w:rsid w:val="005B37CA"/>
    <w:rsid w:val="005D0087"/>
    <w:rsid w:val="005F1C77"/>
    <w:rsid w:val="005F4091"/>
    <w:rsid w:val="006076D4"/>
    <w:rsid w:val="00631A88"/>
    <w:rsid w:val="00646D80"/>
    <w:rsid w:val="006623F0"/>
    <w:rsid w:val="006775C5"/>
    <w:rsid w:val="0068548D"/>
    <w:rsid w:val="00690EB9"/>
    <w:rsid w:val="006B0126"/>
    <w:rsid w:val="006D4630"/>
    <w:rsid w:val="006E3EDB"/>
    <w:rsid w:val="006F21B4"/>
    <w:rsid w:val="006F2FAB"/>
    <w:rsid w:val="006F4A77"/>
    <w:rsid w:val="007047EA"/>
    <w:rsid w:val="00722D79"/>
    <w:rsid w:val="007445C0"/>
    <w:rsid w:val="00767592"/>
    <w:rsid w:val="00781331"/>
    <w:rsid w:val="007D3093"/>
    <w:rsid w:val="007E7F46"/>
    <w:rsid w:val="008300A7"/>
    <w:rsid w:val="00857D39"/>
    <w:rsid w:val="008A452F"/>
    <w:rsid w:val="008C21C8"/>
    <w:rsid w:val="008C72D0"/>
    <w:rsid w:val="008C74D9"/>
    <w:rsid w:val="008F568D"/>
    <w:rsid w:val="009231E9"/>
    <w:rsid w:val="00924044"/>
    <w:rsid w:val="00932883"/>
    <w:rsid w:val="009434D8"/>
    <w:rsid w:val="00946EEB"/>
    <w:rsid w:val="00950975"/>
    <w:rsid w:val="009510CC"/>
    <w:rsid w:val="00960010"/>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46816"/>
    <w:rsid w:val="00C5265C"/>
    <w:rsid w:val="00C53D03"/>
    <w:rsid w:val="00C601BF"/>
    <w:rsid w:val="00C64260"/>
    <w:rsid w:val="00C710EA"/>
    <w:rsid w:val="00C9759D"/>
    <w:rsid w:val="00CB3B0C"/>
    <w:rsid w:val="00CF6FC4"/>
    <w:rsid w:val="00D029DA"/>
    <w:rsid w:val="00DA0D68"/>
    <w:rsid w:val="00DE4DB6"/>
    <w:rsid w:val="00E415A1"/>
    <w:rsid w:val="00E64E60"/>
    <w:rsid w:val="00E748BE"/>
    <w:rsid w:val="00E819E3"/>
    <w:rsid w:val="00E86C43"/>
    <w:rsid w:val="00E91C8F"/>
    <w:rsid w:val="00E92DC9"/>
    <w:rsid w:val="00E964C4"/>
    <w:rsid w:val="00E96BE4"/>
    <w:rsid w:val="00E97495"/>
    <w:rsid w:val="00ED5193"/>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1">
    <w:name w:val="heading 1"/>
    <w:basedOn w:val="Normal"/>
    <w:next w:val="Normal"/>
    <w:link w:val="Heading1Char"/>
    <w:uiPriority w:val="9"/>
    <w:qFormat/>
    <w:rsid w:val="009434D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9434D8"/>
    <w:pPr>
      <w:keepNext/>
      <w:keepLines/>
      <w:spacing w:after="240"/>
      <w:jc w:val="center"/>
      <w:outlineLvl w:val="1"/>
    </w:pPr>
    <w:rPr>
      <w:rFonts w:ascii="Times New Roman" w:hAnsi="Times New Roman" w:cs="Times New Roman"/>
      <w:b/>
      <w:sz w:val="32"/>
    </w:rPr>
  </w:style>
  <w:style w:type="paragraph" w:styleId="Heading3">
    <w:name w:val="heading 3"/>
    <w:basedOn w:val="ind8"/>
    <w:link w:val="Heading3Char"/>
    <w:unhideWhenUsed/>
    <w:qFormat/>
    <w:rsid w:val="009434D8"/>
    <w:pPr>
      <w:tabs>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434D8"/>
    <w:rPr>
      <w:rFonts w:ascii="Times New Roman" w:hAnsi="Times New Roman" w:cs="Times New Roman"/>
      <w:b/>
      <w:sz w:val="32"/>
    </w:rPr>
  </w:style>
  <w:style w:type="character" w:customStyle="1" w:styleId="Heading3Char">
    <w:name w:val="Heading 3 Char"/>
    <w:basedOn w:val="DefaultParagraphFont"/>
    <w:link w:val="Heading3"/>
    <w:rsid w:val="009434D8"/>
    <w:rPr>
      <w:rFonts w:ascii="Times New Roman" w:hAnsi="Times New Roman" w:cs="Times New Roman"/>
      <w:b/>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customStyle="1" w:styleId="Heading1Char">
    <w:name w:val="Heading 1 Char"/>
    <w:basedOn w:val="DefaultParagraphFont"/>
    <w:link w:val="Heading1"/>
    <w:uiPriority w:val="9"/>
    <w:rsid w:val="009434D8"/>
    <w:rPr>
      <w:rFonts w:ascii="Times New Roman" w:eastAsiaTheme="majorEastAsia" w:hAnsi="Times New Roman" w:cs="Times New Roman"/>
      <w:b/>
      <w:sz w:val="32"/>
      <w:szCs w:val="32"/>
    </w:rPr>
  </w:style>
  <w:style w:type="paragraph" w:styleId="List2">
    <w:name w:val="List 2"/>
    <w:basedOn w:val="Normal"/>
    <w:uiPriority w:val="99"/>
    <w:semiHidden/>
    <w:unhideWhenUsed/>
    <w:rsid w:val="009434D8"/>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434D8"/>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434D8"/>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434D8"/>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434D8"/>
    <w:pPr>
      <w:spacing w:after="160" w:line="259" w:lineRule="auto"/>
      <w:outlineLvl w:val="9"/>
    </w:pPr>
    <w:rPr>
      <w:b w:val="0"/>
    </w:rPr>
  </w:style>
  <w:style w:type="character" w:customStyle="1" w:styleId="List1Char">
    <w:name w:val="List 1 Char"/>
    <w:basedOn w:val="Heading4Char"/>
    <w:link w:val="List1"/>
    <w:rsid w:val="009434D8"/>
    <w:rPr>
      <w:rFonts w:ascii="Times New Roman" w:hAnsi="Times New Roman" w:cs="Times New Roman"/>
      <w:b w:val="0"/>
      <w:sz w:val="24"/>
      <w:szCs w:val="24"/>
    </w:rPr>
  </w:style>
  <w:style w:type="paragraph" w:customStyle="1" w:styleId="List6">
    <w:name w:val="List 6"/>
    <w:basedOn w:val="Heading4"/>
    <w:link w:val="List6Char"/>
    <w:rsid w:val="009434D8"/>
    <w:pPr>
      <w:spacing w:line="259" w:lineRule="auto"/>
      <w:ind w:firstLine="2160"/>
      <w:contextualSpacing/>
      <w:outlineLvl w:val="9"/>
    </w:pPr>
    <w:rPr>
      <w:b w:val="0"/>
    </w:rPr>
  </w:style>
  <w:style w:type="character" w:customStyle="1" w:styleId="List6Char">
    <w:name w:val="List 6 Char"/>
    <w:basedOn w:val="Heading4Char"/>
    <w:link w:val="List6"/>
    <w:rsid w:val="009434D8"/>
    <w:rPr>
      <w:rFonts w:ascii="Times New Roman" w:hAnsi="Times New Roman" w:cs="Times New Roman"/>
      <w:b w:val="0"/>
      <w:sz w:val="24"/>
      <w:szCs w:val="24"/>
    </w:rPr>
  </w:style>
  <w:style w:type="paragraph" w:customStyle="1" w:styleId="List7">
    <w:name w:val="List 7"/>
    <w:basedOn w:val="Heading4"/>
    <w:link w:val="List7Char"/>
    <w:rsid w:val="009434D8"/>
    <w:pPr>
      <w:spacing w:after="160" w:line="259" w:lineRule="auto"/>
      <w:ind w:firstLine="3240"/>
      <w:contextualSpacing/>
      <w:outlineLvl w:val="9"/>
    </w:pPr>
    <w:rPr>
      <w:b w:val="0"/>
    </w:rPr>
  </w:style>
  <w:style w:type="character" w:customStyle="1" w:styleId="List7Char">
    <w:name w:val="List 7 Char"/>
    <w:basedOn w:val="Heading4Char"/>
    <w:link w:val="List7"/>
    <w:rsid w:val="009434D8"/>
    <w:rPr>
      <w:rFonts w:ascii="Times New Roman" w:hAnsi="Times New Roman" w:cs="Times New Roman"/>
      <w:b w:val="0"/>
      <w:sz w:val="24"/>
      <w:szCs w:val="24"/>
    </w:rPr>
  </w:style>
  <w:style w:type="paragraph" w:customStyle="1" w:styleId="List8">
    <w:name w:val="List 8"/>
    <w:basedOn w:val="Heading4"/>
    <w:link w:val="List8Char"/>
    <w:rsid w:val="009434D8"/>
    <w:pPr>
      <w:spacing w:after="160" w:line="259" w:lineRule="auto"/>
      <w:ind w:firstLine="3600"/>
      <w:contextualSpacing/>
      <w:outlineLvl w:val="9"/>
    </w:pPr>
    <w:rPr>
      <w:b w:val="0"/>
    </w:rPr>
  </w:style>
  <w:style w:type="character" w:customStyle="1" w:styleId="List8Char">
    <w:name w:val="List 8 Char"/>
    <w:basedOn w:val="Heading4Char"/>
    <w:link w:val="List8"/>
    <w:rsid w:val="009434D8"/>
    <w:rPr>
      <w:rFonts w:ascii="Times New Roman" w:hAnsi="Times New Roman" w:cs="Times New Roman"/>
      <w:b w:val="0"/>
      <w:sz w:val="24"/>
      <w:szCs w:val="24"/>
    </w:rPr>
  </w:style>
  <w:style w:type="paragraph" w:customStyle="1" w:styleId="List1change">
    <w:name w:val="List 1_change"/>
    <w:basedOn w:val="List4"/>
    <w:link w:val="List1changeChar"/>
    <w:rsid w:val="009434D8"/>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434D8"/>
    <w:rPr>
      <w:rFonts w:ascii="Times New Roman" w:hAnsi="Times New Roman" w:cs="Times New Roman"/>
      <w:sz w:val="24"/>
    </w:rPr>
  </w:style>
  <w:style w:type="character" w:customStyle="1" w:styleId="List1changeChar">
    <w:name w:val="List 1_change Char"/>
    <w:basedOn w:val="List4Char"/>
    <w:link w:val="List1change"/>
    <w:rsid w:val="009434D8"/>
    <w:rPr>
      <w:rFonts w:ascii="Times New Roman" w:hAnsi="Times New Roman" w:cs="Times New Roman"/>
      <w:color w:val="000000"/>
      <w:sz w:val="24"/>
      <w:szCs w:val="24"/>
    </w:rPr>
  </w:style>
  <w:style w:type="paragraph" w:customStyle="1" w:styleId="List2change">
    <w:name w:val="List 2_change"/>
    <w:basedOn w:val="List4"/>
    <w:link w:val="List2changeChar"/>
    <w:rsid w:val="009434D8"/>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434D8"/>
    <w:rPr>
      <w:rFonts w:ascii="Times New Roman" w:hAnsi="Times New Roman" w:cs="Times New Roman"/>
      <w:color w:val="000000"/>
      <w:sz w:val="24"/>
      <w:szCs w:val="24"/>
    </w:rPr>
  </w:style>
  <w:style w:type="paragraph" w:customStyle="1" w:styleId="List3change">
    <w:name w:val="List 3_change"/>
    <w:basedOn w:val="List4"/>
    <w:link w:val="List3changeChar"/>
    <w:rsid w:val="009434D8"/>
    <w:pPr>
      <w:spacing w:after="0" w:line="240" w:lineRule="auto"/>
      <w:ind w:left="1080" w:hanging="360"/>
    </w:pPr>
    <w:rPr>
      <w:szCs w:val="24"/>
    </w:rPr>
  </w:style>
  <w:style w:type="character" w:customStyle="1" w:styleId="List3changeChar">
    <w:name w:val="List 3_change Char"/>
    <w:basedOn w:val="List4Char"/>
    <w:link w:val="List3change"/>
    <w:rsid w:val="009434D8"/>
    <w:rPr>
      <w:rFonts w:ascii="Times New Roman" w:hAnsi="Times New Roman" w:cs="Times New Roman"/>
      <w:sz w:val="24"/>
      <w:szCs w:val="24"/>
    </w:rPr>
  </w:style>
  <w:style w:type="paragraph" w:customStyle="1" w:styleId="List4change">
    <w:name w:val="List 4_change"/>
    <w:basedOn w:val="List4"/>
    <w:link w:val="List4changeChar"/>
    <w:rsid w:val="009434D8"/>
    <w:pPr>
      <w:spacing w:after="0" w:line="240" w:lineRule="auto"/>
      <w:ind w:left="1440" w:hanging="360"/>
    </w:pPr>
    <w:rPr>
      <w:szCs w:val="24"/>
    </w:rPr>
  </w:style>
  <w:style w:type="character" w:customStyle="1" w:styleId="List4changeChar">
    <w:name w:val="List 4_change Char"/>
    <w:basedOn w:val="List4Char"/>
    <w:link w:val="List4change"/>
    <w:rsid w:val="009434D8"/>
    <w:rPr>
      <w:rFonts w:ascii="Times New Roman" w:hAnsi="Times New Roman" w:cs="Times New Roman"/>
      <w:sz w:val="24"/>
      <w:szCs w:val="24"/>
    </w:rPr>
  </w:style>
  <w:style w:type="paragraph" w:styleId="TOC1">
    <w:name w:val="toc 1"/>
    <w:basedOn w:val="Normal"/>
    <w:next w:val="Normal"/>
    <w:autoRedefine/>
    <w:uiPriority w:val="39"/>
    <w:unhideWhenUsed/>
    <w:rsid w:val="00ED5193"/>
    <w:pPr>
      <w:spacing w:after="100"/>
    </w:pPr>
  </w:style>
  <w:style w:type="paragraph" w:styleId="TOC2">
    <w:name w:val="toc 2"/>
    <w:basedOn w:val="Normal"/>
    <w:next w:val="Normal"/>
    <w:autoRedefine/>
    <w:uiPriority w:val="39"/>
    <w:unhideWhenUsed/>
    <w:rsid w:val="00ED51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class="ExternalClassB12719C928D349DCAC35D36AAA5556B0"&gt;&lt;p&gt;​PARC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DASAP-90-605</_dlc_DocId>
    <_dlc_DocIdUrl xmlns="4d2834f2-6e62-48ef-822a-880d84868a39">
      <Url>https://spcs3.kc.army.mil/asaalt/ZPTeam/PPS/_layouts/15/DocIdRedir.aspx?ID=DASAP-90-605</Url>
      <Description>DASAP-90-605</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CDC78A-9933-4181-85BC-863273A59C3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3.xml><?xml version="1.0" encoding="utf-8"?>
<ds:datastoreItem xmlns:ds="http://schemas.openxmlformats.org/officeDocument/2006/customXml" ds:itemID="{3346DF0E-6D87-4FBB-A3CE-FF7BC36A6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5.xml><?xml version="1.0" encoding="utf-8"?>
<ds:datastoreItem xmlns:ds="http://schemas.openxmlformats.org/officeDocument/2006/customXml" ds:itemID="{9F4645A3-F0D5-43B8-BB8D-C71D6869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AFARS 5111_Revision_28_01</vt:lpstr>
    </vt:vector>
  </TitlesOfParts>
  <Company>U.S. Army</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5111_Revision_28_01</dc:title>
  <dc:creator>Administrator</dc:creator>
  <cp:lastModifiedBy>Gregory Pangborn</cp:lastModifiedBy>
  <cp:revision>4</cp:revision>
  <cp:lastPrinted>2013-04-30T20:00:00Z</cp:lastPrinted>
  <dcterms:created xsi:type="dcterms:W3CDTF">2019-12-23T15:41:00Z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39ad7c48-5cfc-4b41-8339-eb93901556e0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