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8A2F9" w14:textId="63F5ABA3" w:rsidR="006E63DA" w:rsidRPr="00D336E0" w:rsidRDefault="009B0E49" w:rsidP="009B0E49">
      <w:pPr>
        <w:pStyle w:val="Heading1"/>
      </w:pPr>
      <w:bookmarkStart w:id="0" w:name="_Toc39052558"/>
      <w:r w:rsidRPr="009B0E49">
        <w:t>AFARS – PART 5124</w:t>
      </w:r>
      <w:r w:rsidRPr="009B0E49">
        <w:br/>
      </w:r>
      <w:r w:rsidR="00FD70D4" w:rsidRPr="00D336E0">
        <w:t>Protection of Privacy and Freedom of Information</w:t>
      </w:r>
      <w:bookmarkEnd w:id="0"/>
    </w:p>
    <w:p w14:paraId="1BC8A2FA" w14:textId="243BD4DC" w:rsidR="006E63DA" w:rsidRDefault="00925FA1" w:rsidP="00D336E0">
      <w:pPr>
        <w:jc w:val="center"/>
        <w:rPr>
          <w:rFonts w:ascii="Times New Roman" w:hAnsi="Times New Roman" w:cs="Times New Roman"/>
          <w:i/>
          <w:sz w:val="24"/>
          <w:szCs w:val="24"/>
        </w:rPr>
      </w:pPr>
      <w:r w:rsidRPr="00D336E0">
        <w:rPr>
          <w:rFonts w:ascii="Times New Roman" w:hAnsi="Times New Roman" w:cs="Times New Roman"/>
          <w:i/>
          <w:sz w:val="24"/>
          <w:szCs w:val="24"/>
        </w:rPr>
        <w:t xml:space="preserve">(Revised </w:t>
      </w:r>
      <w:r w:rsidR="002C657D">
        <w:rPr>
          <w:rFonts w:ascii="Times New Roman" w:hAnsi="Times New Roman" w:cs="Times New Roman"/>
          <w:i/>
          <w:sz w:val="24"/>
          <w:szCs w:val="24"/>
        </w:rPr>
        <w:t>0</w:t>
      </w:r>
      <w:r w:rsidR="00621B30">
        <w:rPr>
          <w:rFonts w:ascii="Times New Roman" w:hAnsi="Times New Roman" w:cs="Times New Roman"/>
          <w:i/>
          <w:sz w:val="24"/>
          <w:szCs w:val="24"/>
        </w:rPr>
        <w:t>1 May 2019</w:t>
      </w:r>
      <w:r w:rsidRPr="00D336E0">
        <w:rPr>
          <w:rFonts w:ascii="Times New Roman" w:hAnsi="Times New Roman" w:cs="Times New Roman"/>
          <w:i/>
          <w:sz w:val="24"/>
          <w:szCs w:val="24"/>
        </w:rPr>
        <w:t>)</w:t>
      </w:r>
    </w:p>
    <w:p w14:paraId="30DA71E0" w14:textId="54F1E2C6" w:rsidR="005B07BB" w:rsidRDefault="005B07BB">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558" w:history="1">
        <w:r w:rsidRPr="00B061A4">
          <w:rPr>
            <w:rStyle w:val="Hyperlink"/>
            <w:noProof/>
          </w:rPr>
          <w:t>AFARS – PART 5124 Protection of Privacy and Freedom of Information</w:t>
        </w:r>
      </w:hyperlink>
    </w:p>
    <w:p w14:paraId="474F6F13" w14:textId="2C4D43AE" w:rsidR="005B07BB" w:rsidRDefault="005B07BB">
      <w:pPr>
        <w:pStyle w:val="TOC2"/>
        <w:tabs>
          <w:tab w:val="right" w:leader="dot" w:pos="9350"/>
        </w:tabs>
        <w:rPr>
          <w:noProof/>
        </w:rPr>
      </w:pPr>
      <w:hyperlink w:anchor="_Toc39052559" w:history="1">
        <w:r w:rsidRPr="00B061A4">
          <w:rPr>
            <w:rStyle w:val="Hyperlink"/>
            <w:noProof/>
          </w:rPr>
          <w:t>Subpart 5124.1 – Protection of Individual Privacy</w:t>
        </w:r>
      </w:hyperlink>
    </w:p>
    <w:p w14:paraId="4D64F76E" w14:textId="0E8763A6" w:rsidR="005B07BB" w:rsidRDefault="005B07BB">
      <w:pPr>
        <w:pStyle w:val="TOC3"/>
        <w:tabs>
          <w:tab w:val="right" w:leader="dot" w:pos="9350"/>
        </w:tabs>
        <w:rPr>
          <w:rFonts w:eastAsiaTheme="minorEastAsia"/>
          <w:noProof/>
        </w:rPr>
      </w:pPr>
      <w:hyperlink w:anchor="_Toc39052560" w:history="1">
        <w:r w:rsidRPr="00B061A4">
          <w:rPr>
            <w:rStyle w:val="Hyperlink"/>
            <w:noProof/>
          </w:rPr>
          <w:t>5124.103  Procedures.</w:t>
        </w:r>
      </w:hyperlink>
    </w:p>
    <w:p w14:paraId="35751466" w14:textId="46F27637" w:rsidR="005B07BB" w:rsidRDefault="005B07BB">
      <w:pPr>
        <w:pStyle w:val="TOC2"/>
        <w:tabs>
          <w:tab w:val="right" w:leader="dot" w:pos="9350"/>
        </w:tabs>
        <w:rPr>
          <w:noProof/>
        </w:rPr>
      </w:pPr>
      <w:hyperlink w:anchor="_Toc39052561" w:history="1">
        <w:r w:rsidRPr="00B061A4">
          <w:rPr>
            <w:rStyle w:val="Hyperlink"/>
            <w:noProof/>
          </w:rPr>
          <w:t>Subpart 5124.2 – Freedom of Information Act</w:t>
        </w:r>
      </w:hyperlink>
    </w:p>
    <w:p w14:paraId="679C53EF" w14:textId="508EA40D" w:rsidR="005B07BB" w:rsidRDefault="005B07BB">
      <w:pPr>
        <w:pStyle w:val="TOC3"/>
        <w:tabs>
          <w:tab w:val="right" w:leader="dot" w:pos="9350"/>
        </w:tabs>
        <w:rPr>
          <w:rFonts w:eastAsiaTheme="minorEastAsia"/>
          <w:noProof/>
        </w:rPr>
      </w:pPr>
      <w:hyperlink w:anchor="_Toc39052562" w:history="1">
        <w:r w:rsidRPr="00B061A4">
          <w:rPr>
            <w:rStyle w:val="Hyperlink"/>
            <w:noProof/>
          </w:rPr>
          <w:t>5124.203  Policy.</w:t>
        </w:r>
      </w:hyperlink>
    </w:p>
    <w:p w14:paraId="11CBF255" w14:textId="734CF194" w:rsidR="00D336E0" w:rsidRPr="00D336E0" w:rsidRDefault="005B07BB" w:rsidP="00D336E0">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1BC8A2FB" w14:textId="77777777" w:rsidR="006E63DA" w:rsidRDefault="00FD70D4" w:rsidP="009B0E49">
      <w:pPr>
        <w:pStyle w:val="Heading2"/>
      </w:pPr>
      <w:bookmarkStart w:id="1" w:name="_Toc39052559"/>
      <w:r w:rsidRPr="00FD70D4">
        <w:t xml:space="preserve">Subpart 5124.1 – </w:t>
      </w:r>
      <w:r w:rsidRPr="00D336E0">
        <w:t>Protection</w:t>
      </w:r>
      <w:r w:rsidRPr="00FD70D4">
        <w:t xml:space="preserve"> of Individual Privacy</w:t>
      </w:r>
      <w:bookmarkEnd w:id="1"/>
    </w:p>
    <w:p w14:paraId="14879999" w14:textId="77777777" w:rsidR="009B0E49" w:rsidRPr="00D57573" w:rsidRDefault="00FD70D4" w:rsidP="009B0E49">
      <w:pPr>
        <w:pStyle w:val="Heading3"/>
      </w:pPr>
      <w:bookmarkStart w:id="2" w:name="_Toc39052560"/>
      <w:r w:rsidRPr="00D57573">
        <w:t xml:space="preserve">5124.103  </w:t>
      </w:r>
      <w:r w:rsidRPr="00D336E0">
        <w:t>Procedures</w:t>
      </w:r>
      <w:r w:rsidRPr="00D57573">
        <w:t>.</w:t>
      </w:r>
      <w:bookmarkEnd w:id="2"/>
    </w:p>
    <w:p w14:paraId="68B89F7C" w14:textId="137BC443" w:rsidR="009B0E49" w:rsidRPr="00D57573" w:rsidRDefault="009B0E49" w:rsidP="009B0E49">
      <w:pPr>
        <w:pStyle w:val="List1"/>
      </w:pPr>
      <w:r w:rsidRPr="00D57573">
        <w:t>(b)</w:t>
      </w:r>
      <w:r w:rsidR="00AB00AB" w:rsidRPr="00D57573">
        <w:t>(i)</w:t>
      </w:r>
      <w:r w:rsidR="00FD70D4" w:rsidRPr="00D57573">
        <w:t xml:space="preserve">  The contracting officer shall reference the following documents in solicitations and contracts that require the design, development, or operation of a system of records:</w:t>
      </w:r>
    </w:p>
    <w:p w14:paraId="1B3CB8CE" w14:textId="360F5EB6" w:rsidR="009B0E49" w:rsidRPr="00D57573" w:rsidRDefault="009B0E49" w:rsidP="009B0E49">
      <w:pPr>
        <w:pStyle w:val="List4"/>
      </w:pPr>
      <w:r w:rsidRPr="00D57573">
        <w:rPr>
          <w:szCs w:val="24"/>
        </w:rPr>
        <w:t>(A)</w:t>
      </w:r>
      <w:r w:rsidR="00FD70D4" w:rsidRPr="00D57573">
        <w:rPr>
          <w:szCs w:val="24"/>
        </w:rPr>
        <w:t xml:space="preserve">  DoD Directive 5400.11.</w:t>
      </w:r>
    </w:p>
    <w:p w14:paraId="1C9C155B" w14:textId="1A0B3C02" w:rsidR="009B0E49" w:rsidRPr="00D57573" w:rsidRDefault="009B0E49" w:rsidP="009B0E49">
      <w:pPr>
        <w:pStyle w:val="List4"/>
      </w:pPr>
      <w:r w:rsidRPr="00D57573">
        <w:rPr>
          <w:szCs w:val="24"/>
        </w:rPr>
        <w:t>(B)</w:t>
      </w:r>
      <w:r w:rsidR="00FD70D4" w:rsidRPr="00D57573">
        <w:rPr>
          <w:szCs w:val="24"/>
        </w:rPr>
        <w:t xml:space="preserve">  DoD Regulation 5400.11-R.</w:t>
      </w:r>
    </w:p>
    <w:p w14:paraId="6A2446F3" w14:textId="2D6534F8" w:rsidR="009B0E49" w:rsidRPr="00D57573" w:rsidRDefault="009B0E49" w:rsidP="009B0E49">
      <w:pPr>
        <w:pStyle w:val="List4"/>
      </w:pPr>
      <w:r w:rsidRPr="00D57573">
        <w:rPr>
          <w:szCs w:val="24"/>
        </w:rPr>
        <w:t>(C)</w:t>
      </w:r>
      <w:r w:rsidR="00FD70D4" w:rsidRPr="00D57573">
        <w:rPr>
          <w:szCs w:val="24"/>
        </w:rPr>
        <w:t xml:space="preserve">  Regulations for community-specific protected information, as applicable, e.g. DoD Regulation 6025.18-R (DoD Health Information Privacy Regulation).</w:t>
      </w:r>
    </w:p>
    <w:p w14:paraId="2800A9E1" w14:textId="73A7D10E" w:rsidR="009B0E49" w:rsidRPr="000A4FA8" w:rsidRDefault="009B0E49" w:rsidP="009B0E49">
      <w:pPr>
        <w:pStyle w:val="List3"/>
      </w:pPr>
      <w:r w:rsidRPr="000A4FA8">
        <w:rPr>
          <w:szCs w:val="24"/>
        </w:rPr>
        <w:t>(ii)</w:t>
      </w:r>
      <w:r w:rsidR="00FD70D4" w:rsidRPr="000A4FA8">
        <w:rPr>
          <w:szCs w:val="24"/>
        </w:rPr>
        <w:t xml:space="preserve">  The contracting officer </w:t>
      </w:r>
      <w:r w:rsidR="005565B5" w:rsidRPr="000A4FA8">
        <w:rPr>
          <w:szCs w:val="24"/>
        </w:rPr>
        <w:t>wi</w:t>
      </w:r>
      <w:r w:rsidR="00FD70D4" w:rsidRPr="000A4FA8">
        <w:rPr>
          <w:szCs w:val="24"/>
        </w:rPr>
        <w:t>ll ensure that work statements that require the design, development, or operation of a system of records include procedures to follow in the event of a PII breach</w:t>
      </w:r>
      <w:r w:rsidR="005E1173" w:rsidRPr="000A4FA8">
        <w:rPr>
          <w:szCs w:val="24"/>
        </w:rPr>
        <w:t>.</w:t>
      </w:r>
    </w:p>
    <w:p w14:paraId="1BC8A305" w14:textId="6524250B" w:rsidR="00E73AB1" w:rsidRPr="000A4FA8" w:rsidRDefault="009B0E49" w:rsidP="009B0E49">
      <w:pPr>
        <w:pStyle w:val="List3"/>
      </w:pPr>
      <w:r w:rsidRPr="000A4FA8">
        <w:rPr>
          <w:szCs w:val="24"/>
        </w:rPr>
        <w:t>(iii)</w:t>
      </w:r>
      <w:r w:rsidR="00FD70D4" w:rsidRPr="000A4FA8">
        <w:rPr>
          <w:szCs w:val="24"/>
        </w:rPr>
        <w:t xml:space="preserve">  The contracting officer should ensure that Government surveillance plans for contracts that require the design, development, or operation of a system of records include monitoring of the contractor’s adherence to Privacy Act/PII regulations.  The </w:t>
      </w:r>
      <w:r w:rsidR="00D33D0C" w:rsidRPr="000A4FA8">
        <w:rPr>
          <w:szCs w:val="24"/>
        </w:rPr>
        <w:t>assessing official</w:t>
      </w:r>
      <w:r w:rsidR="00FD70D4" w:rsidRPr="000A4FA8">
        <w:rPr>
          <w:szCs w:val="24"/>
        </w:rPr>
        <w:t xml:space="preserve"> </w:t>
      </w:r>
      <w:r w:rsidR="00D33D0C" w:rsidRPr="000A4FA8">
        <w:rPr>
          <w:szCs w:val="24"/>
        </w:rPr>
        <w:t xml:space="preserve">should </w:t>
      </w:r>
      <w:r w:rsidR="00FD70D4" w:rsidRPr="000A4FA8">
        <w:rPr>
          <w:szCs w:val="24"/>
        </w:rPr>
        <w:t>document contractor-caused breaches or other incidents related to PII in past performance reports.</w:t>
      </w:r>
      <w:r w:rsidR="00D33D0C" w:rsidRPr="000A4FA8">
        <w:rPr>
          <w:szCs w:val="24"/>
        </w:rPr>
        <w:t xml:space="preserve">  (See 5142.150</w:t>
      </w:r>
      <w:r w:rsidR="00925FA1" w:rsidRPr="000A4FA8">
        <w:rPr>
          <w:szCs w:val="24"/>
        </w:rPr>
        <w:t>3</w:t>
      </w:r>
      <w:r w:rsidR="00D33D0C" w:rsidRPr="000A4FA8">
        <w:rPr>
          <w:szCs w:val="24"/>
        </w:rPr>
        <w:t>-90(b).)</w:t>
      </w:r>
      <w:r w:rsidR="00FD70D4" w:rsidRPr="000A4FA8">
        <w:rPr>
          <w:szCs w:val="24"/>
        </w:rPr>
        <w:t xml:space="preserve">  Such incidents include instances in which the contractor did not adhere to Privacy Act/PII contractual requirements.</w:t>
      </w:r>
    </w:p>
    <w:p w14:paraId="1BC8A306" w14:textId="77777777" w:rsidR="006E63DA" w:rsidRDefault="00FD70D4" w:rsidP="009B0E49">
      <w:pPr>
        <w:pStyle w:val="Heading2"/>
      </w:pPr>
      <w:bookmarkStart w:id="3" w:name="_Toc39052561"/>
      <w:r w:rsidRPr="00FD70D4">
        <w:t xml:space="preserve">Subpart 5124.2 </w:t>
      </w:r>
      <w:r w:rsidR="00AB00AB">
        <w:t>–</w:t>
      </w:r>
      <w:r w:rsidRPr="00FD70D4">
        <w:t xml:space="preserve"> Freedom of Information Act</w:t>
      </w:r>
      <w:bookmarkEnd w:id="3"/>
    </w:p>
    <w:p w14:paraId="239B4493" w14:textId="77777777" w:rsidR="009B0E49" w:rsidRPr="00D57573" w:rsidRDefault="00FD70D4" w:rsidP="009B0E49">
      <w:pPr>
        <w:pStyle w:val="Heading3"/>
      </w:pPr>
      <w:bookmarkStart w:id="4" w:name="_Toc39052562"/>
      <w:r w:rsidRPr="00D57573">
        <w:t>5124.203  Policy.</w:t>
      </w:r>
      <w:bookmarkEnd w:id="4"/>
    </w:p>
    <w:p w14:paraId="3701CD1F" w14:textId="301E7422" w:rsidR="009B0E49" w:rsidRDefault="009B0E49" w:rsidP="009B0E49">
      <w:pPr>
        <w:pStyle w:val="List1"/>
      </w:pPr>
      <w:r w:rsidRPr="00FD70D4">
        <w:rPr>
          <w:spacing w:val="-2"/>
        </w:rPr>
        <w:t>(a)</w:t>
      </w:r>
      <w:r w:rsidR="00FD70D4" w:rsidRPr="00FD70D4">
        <w:rPr>
          <w:spacing w:val="-2"/>
        </w:rPr>
        <w:t xml:space="preserve">  Contracting officers must follow instructions in Army Regulation (AR) 25-55</w:t>
      </w:r>
      <w:r w:rsidR="00FD70D4" w:rsidRPr="002F5B50">
        <w:rPr>
          <w:bCs/>
          <w:spacing w:val="-2"/>
        </w:rPr>
        <w:t xml:space="preserve"> </w:t>
      </w:r>
      <w:r w:rsidR="00FD70D4" w:rsidRPr="00FD70D4">
        <w:rPr>
          <w:spacing w:val="-2"/>
        </w:rPr>
        <w:t xml:space="preserve">for the </w:t>
      </w:r>
      <w:r w:rsidR="002F5B50">
        <w:rPr>
          <w:spacing w:val="-2"/>
        </w:rPr>
        <w:t xml:space="preserve">denial of, or </w:t>
      </w:r>
      <w:r w:rsidR="00FD70D4" w:rsidRPr="00FD70D4">
        <w:rPr>
          <w:spacing w:val="-2"/>
        </w:rPr>
        <w:t>release of</w:t>
      </w:r>
      <w:r w:rsidR="00ED4A64">
        <w:rPr>
          <w:spacing w:val="-2"/>
        </w:rPr>
        <w:t>,</w:t>
      </w:r>
      <w:r w:rsidR="00FD70D4" w:rsidRPr="00FD70D4">
        <w:rPr>
          <w:spacing w:val="-2"/>
        </w:rPr>
        <w:t xml:space="preserve"> acquisition information.</w:t>
      </w:r>
    </w:p>
    <w:p w14:paraId="1531A3DE" w14:textId="2DFFF8F9" w:rsidR="009B0E49" w:rsidRPr="000A4FA8" w:rsidRDefault="009B0E49" w:rsidP="009B0E49">
      <w:pPr>
        <w:pStyle w:val="List1"/>
      </w:pPr>
      <w:r w:rsidRPr="000A4FA8">
        <w:lastRenderedPageBreak/>
        <w:t>(b)</w:t>
      </w:r>
      <w:r w:rsidR="00FD70D4" w:rsidRPr="000A4FA8">
        <w:t xml:space="preserve">(i)  </w:t>
      </w:r>
      <w:r w:rsidR="002F5B50" w:rsidRPr="000A4FA8">
        <w:t xml:space="preserve">The Assistant Secretary of the Army (Acquisition, Logistics and Technology) has delegated the initial denial authority to act on requests for procurement records under the Freedom of Information Act, except those procurement records under the purview of the Chief of Engineers and the Commander, Army Materiel Command, to the </w:t>
      </w:r>
      <w:r w:rsidR="007F2445" w:rsidRPr="000A4FA8">
        <w:t>heads of the contracting activities (</w:t>
      </w:r>
      <w:r w:rsidR="002F5B50" w:rsidRPr="000A4FA8">
        <w:t>HCAs</w:t>
      </w:r>
      <w:r w:rsidR="007F2445" w:rsidRPr="000A4FA8">
        <w:t>)</w:t>
      </w:r>
      <w:r w:rsidR="002F5B50" w:rsidRPr="000A4FA8">
        <w:t xml:space="preserve">.  The HCAs may further delegate this authority only to the </w:t>
      </w:r>
      <w:r w:rsidR="00621B30">
        <w:t>senior</w:t>
      </w:r>
      <w:r w:rsidR="007F2445" w:rsidRPr="000A4FA8">
        <w:t xml:space="preserve"> contracting </w:t>
      </w:r>
      <w:r w:rsidR="00621B30">
        <w:t xml:space="preserve">official </w:t>
      </w:r>
      <w:r w:rsidR="007F2445" w:rsidRPr="000A4FA8">
        <w:t>(</w:t>
      </w:r>
      <w:r w:rsidR="00621B30">
        <w:t>SCO</w:t>
      </w:r>
      <w:r w:rsidR="007F2445" w:rsidRPr="000A4FA8">
        <w:t>)</w:t>
      </w:r>
      <w:r w:rsidR="002F5B50" w:rsidRPr="000A4FA8">
        <w:t>.</w:t>
      </w:r>
    </w:p>
    <w:p w14:paraId="1BC8A30A" w14:textId="11494844" w:rsidR="006E63DA" w:rsidRDefault="009B0E49" w:rsidP="009B0E49">
      <w:pPr>
        <w:pStyle w:val="List3"/>
      </w:pPr>
      <w:r w:rsidRPr="000A4FA8">
        <w:rPr>
          <w:szCs w:val="24"/>
        </w:rPr>
        <w:t>(ii)</w:t>
      </w:r>
      <w:r w:rsidR="00F15D78" w:rsidRPr="000A4FA8">
        <w:rPr>
          <w:szCs w:val="24"/>
        </w:rPr>
        <w:t xml:space="preserve">  </w:t>
      </w:r>
      <w:r w:rsidR="00FD70D4" w:rsidRPr="000A4FA8">
        <w:rPr>
          <w:szCs w:val="24"/>
        </w:rPr>
        <w:t xml:space="preserve">If the contracting officer concludes that </w:t>
      </w:r>
      <w:r w:rsidR="00560219" w:rsidRPr="000A4FA8">
        <w:rPr>
          <w:szCs w:val="24"/>
        </w:rPr>
        <w:t xml:space="preserve">he/she should deny </w:t>
      </w:r>
      <w:r w:rsidR="00FD70D4" w:rsidRPr="000A4FA8">
        <w:rPr>
          <w:szCs w:val="24"/>
        </w:rPr>
        <w:t xml:space="preserve">some or all information requested, he/she must prepare the proposed response </w:t>
      </w:r>
      <w:r w:rsidR="00F15D78" w:rsidRPr="000A4FA8">
        <w:rPr>
          <w:szCs w:val="24"/>
        </w:rPr>
        <w:t xml:space="preserve">for the HCA </w:t>
      </w:r>
      <w:r w:rsidR="00FD70D4" w:rsidRPr="000A4FA8">
        <w:rPr>
          <w:szCs w:val="24"/>
        </w:rPr>
        <w:t xml:space="preserve">in accordance with AR 25-55.  The response must include </w:t>
      </w:r>
      <w:r w:rsidR="00F15D78" w:rsidRPr="000A4FA8">
        <w:rPr>
          <w:szCs w:val="24"/>
        </w:rPr>
        <w:t xml:space="preserve">appeal language </w:t>
      </w:r>
      <w:r w:rsidR="00FD70D4" w:rsidRPr="000A4FA8">
        <w:rPr>
          <w:szCs w:val="24"/>
        </w:rPr>
        <w:t>substantially the same as the following:</w:t>
      </w:r>
    </w:p>
    <w:p w14:paraId="141AE510" w14:textId="77777777" w:rsidR="000A4FA8" w:rsidRPr="000A4FA8" w:rsidRDefault="000A4FA8" w:rsidP="000A4FA8">
      <w:pPr>
        <w:ind w:firstLine="270"/>
        <w:rPr>
          <w:rFonts w:ascii="Times New Roman" w:hAnsi="Times New Roman" w:cs="Times New Roman"/>
          <w:sz w:val="24"/>
          <w:szCs w:val="24"/>
        </w:rPr>
      </w:pPr>
    </w:p>
    <w:p w14:paraId="1BC8A30B" w14:textId="736F3224" w:rsidR="006E63DA" w:rsidRDefault="00FD70D4" w:rsidP="00057CAD">
      <w:pPr>
        <w:pStyle w:val="ind12"/>
        <w:tabs>
          <w:tab w:val="clear" w:pos="2304"/>
          <w:tab w:val="clear" w:pos="2880"/>
          <w:tab w:val="clear" w:pos="3456"/>
        </w:tabs>
        <w:spacing w:after="240"/>
        <w:ind w:left="0" w:firstLine="720"/>
        <w:rPr>
          <w:rFonts w:ascii="Times New Roman" w:hAnsi="Times New Roman" w:cs="Times New Roman"/>
          <w:sz w:val="24"/>
          <w:szCs w:val="24"/>
        </w:rPr>
      </w:pPr>
      <w:r w:rsidRPr="00FD70D4">
        <w:rPr>
          <w:rFonts w:ascii="Times New Roman" w:hAnsi="Times New Roman" w:cs="Times New Roman"/>
          <w:sz w:val="24"/>
          <w:szCs w:val="24"/>
        </w:rPr>
        <w:t xml:space="preserve">“You may appeal, in whole or </w:t>
      </w:r>
      <w:r w:rsidR="001F5D1A">
        <w:rPr>
          <w:rFonts w:ascii="Times New Roman" w:hAnsi="Times New Roman" w:cs="Times New Roman"/>
          <w:sz w:val="24"/>
          <w:szCs w:val="24"/>
        </w:rPr>
        <w:t xml:space="preserve">in </w:t>
      </w:r>
      <w:r w:rsidRPr="00FD70D4">
        <w:rPr>
          <w:rFonts w:ascii="Times New Roman" w:hAnsi="Times New Roman" w:cs="Times New Roman"/>
          <w:sz w:val="24"/>
          <w:szCs w:val="24"/>
        </w:rPr>
        <w:t>part, this denial to the Secretary of the Army</w:t>
      </w:r>
      <w:r w:rsidR="00996546">
        <w:rPr>
          <w:rFonts w:ascii="Times New Roman" w:hAnsi="Times New Roman" w:cs="Times New Roman"/>
          <w:sz w:val="24"/>
          <w:szCs w:val="24"/>
        </w:rPr>
        <w:t xml:space="preserve"> (attn: General Counsel)</w:t>
      </w:r>
      <w:r w:rsidRPr="00FD70D4">
        <w:rPr>
          <w:rFonts w:ascii="Times New Roman" w:hAnsi="Times New Roman" w:cs="Times New Roman"/>
          <w:sz w:val="24"/>
          <w:szCs w:val="24"/>
        </w:rPr>
        <w:t xml:space="preserve">.  In the event you decide to appeal, your letter of appeal </w:t>
      </w:r>
      <w:r w:rsidR="00996546">
        <w:rPr>
          <w:rFonts w:ascii="Times New Roman" w:hAnsi="Times New Roman" w:cs="Times New Roman"/>
          <w:sz w:val="24"/>
          <w:szCs w:val="24"/>
        </w:rPr>
        <w:t>must be postmarked no later than</w:t>
      </w:r>
      <w:r w:rsidRPr="00FD70D4">
        <w:rPr>
          <w:rFonts w:ascii="Times New Roman" w:hAnsi="Times New Roman" w:cs="Times New Roman"/>
          <w:sz w:val="24"/>
          <w:szCs w:val="24"/>
        </w:rPr>
        <w:t xml:space="preserve"> 60 </w:t>
      </w:r>
      <w:r w:rsidR="00996546">
        <w:rPr>
          <w:rFonts w:ascii="Times New Roman" w:hAnsi="Times New Roman" w:cs="Times New Roman"/>
          <w:sz w:val="24"/>
          <w:szCs w:val="24"/>
        </w:rPr>
        <w:t xml:space="preserve">calendar </w:t>
      </w:r>
      <w:r w:rsidRPr="00FD70D4">
        <w:rPr>
          <w:rFonts w:ascii="Times New Roman" w:hAnsi="Times New Roman" w:cs="Times New Roman"/>
          <w:sz w:val="24"/>
          <w:szCs w:val="24"/>
        </w:rPr>
        <w:t xml:space="preserve">days </w:t>
      </w:r>
      <w:r w:rsidR="00996546">
        <w:rPr>
          <w:rFonts w:ascii="Times New Roman" w:hAnsi="Times New Roman" w:cs="Times New Roman"/>
          <w:sz w:val="24"/>
          <w:szCs w:val="24"/>
        </w:rPr>
        <w:t>after</w:t>
      </w:r>
      <w:r w:rsidRPr="00FD70D4">
        <w:rPr>
          <w:rFonts w:ascii="Times New Roman" w:hAnsi="Times New Roman" w:cs="Times New Roman"/>
          <w:sz w:val="24"/>
          <w:szCs w:val="24"/>
        </w:rPr>
        <w:t xml:space="preserve"> the date of this denial letter</w:t>
      </w:r>
      <w:r w:rsidR="00996546">
        <w:rPr>
          <w:rFonts w:ascii="Times New Roman" w:hAnsi="Times New Roman" w:cs="Times New Roman"/>
          <w:sz w:val="24"/>
          <w:szCs w:val="24"/>
        </w:rPr>
        <w:t>.</w:t>
      </w:r>
      <w:r w:rsidRPr="00FD70D4">
        <w:rPr>
          <w:rFonts w:ascii="Times New Roman" w:hAnsi="Times New Roman" w:cs="Times New Roman"/>
          <w:sz w:val="24"/>
          <w:szCs w:val="24"/>
        </w:rPr>
        <w:t xml:space="preserve">  </w:t>
      </w:r>
      <w:r w:rsidR="00996546">
        <w:rPr>
          <w:rFonts w:ascii="Times New Roman" w:hAnsi="Times New Roman" w:cs="Times New Roman"/>
          <w:sz w:val="24"/>
          <w:szCs w:val="24"/>
        </w:rPr>
        <w:t xml:space="preserve">Please address your appeal to </w:t>
      </w:r>
      <w:r w:rsidRPr="00FD70D4">
        <w:rPr>
          <w:rFonts w:ascii="Times New Roman" w:hAnsi="Times New Roman" w:cs="Times New Roman"/>
          <w:sz w:val="24"/>
          <w:szCs w:val="24"/>
        </w:rPr>
        <w:t>(</w:t>
      </w:r>
      <w:r w:rsidRPr="00FD70D4">
        <w:rPr>
          <w:rFonts w:ascii="Times New Roman" w:hAnsi="Times New Roman" w:cs="Times New Roman"/>
          <w:i/>
          <w:sz w:val="24"/>
          <w:szCs w:val="24"/>
        </w:rPr>
        <w:t>HCA address</w:t>
      </w:r>
      <w:r w:rsidRPr="00FD70D4">
        <w:rPr>
          <w:rFonts w:ascii="Times New Roman" w:hAnsi="Times New Roman" w:cs="Times New Roman"/>
          <w:sz w:val="24"/>
          <w:szCs w:val="24"/>
        </w:rPr>
        <w:t>)</w:t>
      </w:r>
      <w:r w:rsidRPr="00FD70D4">
        <w:rPr>
          <w:rFonts w:ascii="Times New Roman" w:hAnsi="Times New Roman" w:cs="Times New Roman"/>
          <w:bCs/>
          <w:sz w:val="24"/>
          <w:szCs w:val="24"/>
        </w:rPr>
        <w:t>.  This denial is made on behalf of the Initial Denial Authority,</w:t>
      </w:r>
      <w:r w:rsidRPr="00FD70D4">
        <w:rPr>
          <w:rFonts w:ascii="Times New Roman" w:hAnsi="Times New Roman" w:cs="Times New Roman"/>
          <w:sz w:val="24"/>
          <w:szCs w:val="24"/>
        </w:rPr>
        <w:t xml:space="preserve"> (</w:t>
      </w:r>
      <w:r w:rsidRPr="00FD70D4">
        <w:rPr>
          <w:rFonts w:ascii="Times New Roman" w:hAnsi="Times New Roman" w:cs="Times New Roman"/>
          <w:i/>
          <w:sz w:val="24"/>
          <w:szCs w:val="24"/>
        </w:rPr>
        <w:t>name</w:t>
      </w:r>
      <w:r w:rsidR="00146F2A">
        <w:rPr>
          <w:rFonts w:ascii="Times New Roman" w:hAnsi="Times New Roman" w:cs="Times New Roman"/>
          <w:i/>
          <w:sz w:val="24"/>
          <w:szCs w:val="24"/>
        </w:rPr>
        <w:t xml:space="preserve"> and title</w:t>
      </w:r>
      <w:r w:rsidRPr="00FD70D4">
        <w:rPr>
          <w:rFonts w:ascii="Times New Roman" w:hAnsi="Times New Roman" w:cs="Times New Roman"/>
          <w:sz w:val="24"/>
          <w:szCs w:val="24"/>
        </w:rPr>
        <w:t>), by (</w:t>
      </w:r>
      <w:r w:rsidRPr="00FD70D4">
        <w:rPr>
          <w:rFonts w:ascii="Times New Roman" w:hAnsi="Times New Roman" w:cs="Times New Roman"/>
          <w:i/>
          <w:sz w:val="24"/>
          <w:szCs w:val="24"/>
        </w:rPr>
        <w:t>name and rank</w:t>
      </w:r>
      <w:r w:rsidRPr="00FD70D4">
        <w:rPr>
          <w:rFonts w:ascii="Times New Roman" w:hAnsi="Times New Roman" w:cs="Times New Roman"/>
          <w:sz w:val="24"/>
          <w:szCs w:val="24"/>
        </w:rPr>
        <w:t>), Head of the Contracting Activity (</w:t>
      </w:r>
      <w:r w:rsidRPr="00FD70D4">
        <w:rPr>
          <w:rFonts w:ascii="Times New Roman" w:hAnsi="Times New Roman" w:cs="Times New Roman"/>
          <w:i/>
          <w:sz w:val="24"/>
          <w:szCs w:val="24"/>
        </w:rPr>
        <w:t>office</w:t>
      </w:r>
      <w:r w:rsidRPr="00FD70D4">
        <w:rPr>
          <w:rFonts w:ascii="Times New Roman" w:hAnsi="Times New Roman" w:cs="Times New Roman"/>
          <w:sz w:val="24"/>
          <w:szCs w:val="24"/>
        </w:rPr>
        <w:t>).</w:t>
      </w:r>
      <w:r w:rsidR="005565B5">
        <w:rPr>
          <w:rFonts w:ascii="Times New Roman" w:hAnsi="Times New Roman" w:cs="Times New Roman"/>
          <w:sz w:val="24"/>
          <w:szCs w:val="24"/>
        </w:rPr>
        <w:t>”</w:t>
      </w:r>
      <w:r w:rsidRPr="00FD70D4">
        <w:rPr>
          <w:rFonts w:ascii="Times New Roman" w:hAnsi="Times New Roman" w:cs="Times New Roman"/>
          <w:sz w:val="24"/>
          <w:szCs w:val="24"/>
        </w:rPr>
        <w:t xml:space="preserve">  (</w:t>
      </w:r>
      <w:r w:rsidRPr="00FD70D4">
        <w:rPr>
          <w:rFonts w:ascii="Times New Roman" w:hAnsi="Times New Roman" w:cs="Times New Roman"/>
          <w:i/>
          <w:sz w:val="24"/>
          <w:szCs w:val="24"/>
        </w:rPr>
        <w:t xml:space="preserve">Substitute </w:t>
      </w:r>
      <w:r w:rsidR="00621B30">
        <w:rPr>
          <w:rFonts w:ascii="Times New Roman" w:hAnsi="Times New Roman" w:cs="Times New Roman"/>
          <w:i/>
          <w:sz w:val="24"/>
          <w:szCs w:val="24"/>
        </w:rPr>
        <w:t>SCO</w:t>
      </w:r>
      <w:r w:rsidRPr="00FD70D4">
        <w:rPr>
          <w:rFonts w:ascii="Times New Roman" w:hAnsi="Times New Roman" w:cs="Times New Roman"/>
          <w:i/>
          <w:sz w:val="24"/>
          <w:szCs w:val="24"/>
        </w:rPr>
        <w:t xml:space="preserve"> for </w:t>
      </w:r>
      <w:smartTag w:uri="urn:schemas-microsoft-com:office:smarttags" w:element="stockticker">
        <w:r w:rsidRPr="00FD70D4">
          <w:rPr>
            <w:rFonts w:ascii="Times New Roman" w:hAnsi="Times New Roman" w:cs="Times New Roman"/>
            <w:i/>
            <w:sz w:val="24"/>
            <w:szCs w:val="24"/>
          </w:rPr>
          <w:t>HCA</w:t>
        </w:r>
      </w:smartTag>
      <w:r w:rsidRPr="00FD70D4">
        <w:rPr>
          <w:rFonts w:ascii="Times New Roman" w:hAnsi="Times New Roman" w:cs="Times New Roman"/>
          <w:i/>
          <w:sz w:val="24"/>
          <w:szCs w:val="24"/>
        </w:rPr>
        <w:t xml:space="preserve"> if the </w:t>
      </w:r>
      <w:r w:rsidR="00621B30">
        <w:rPr>
          <w:rFonts w:ascii="Times New Roman" w:hAnsi="Times New Roman" w:cs="Times New Roman"/>
          <w:i/>
          <w:sz w:val="24"/>
          <w:szCs w:val="24"/>
        </w:rPr>
        <w:t>SCO</w:t>
      </w:r>
      <w:r w:rsidRPr="00FD70D4">
        <w:rPr>
          <w:rFonts w:ascii="Times New Roman" w:hAnsi="Times New Roman" w:cs="Times New Roman"/>
          <w:i/>
          <w:sz w:val="24"/>
          <w:szCs w:val="24"/>
        </w:rPr>
        <w:t xml:space="preserve"> is the HCA’s designee</w:t>
      </w:r>
      <w:r w:rsidR="005565B5">
        <w:rPr>
          <w:rFonts w:ascii="Times New Roman" w:hAnsi="Times New Roman" w:cs="Times New Roman"/>
          <w:i/>
          <w:sz w:val="24"/>
          <w:szCs w:val="24"/>
        </w:rPr>
        <w:t>.</w:t>
      </w:r>
      <w:r w:rsidRPr="00FD70D4">
        <w:rPr>
          <w:rFonts w:ascii="Times New Roman" w:hAnsi="Times New Roman" w:cs="Times New Roman"/>
          <w:sz w:val="24"/>
          <w:szCs w:val="24"/>
        </w:rPr>
        <w:t>)</w:t>
      </w:r>
    </w:p>
    <w:p w14:paraId="6260132F" w14:textId="77777777" w:rsidR="009B0E49" w:rsidRDefault="009B0E49" w:rsidP="00057CAD">
      <w:pPr>
        <w:pStyle w:val="ind12"/>
        <w:tabs>
          <w:tab w:val="clear" w:pos="2304"/>
          <w:tab w:val="clear" w:pos="2880"/>
          <w:tab w:val="clear" w:pos="3456"/>
        </w:tabs>
        <w:spacing w:after="240"/>
        <w:ind w:left="0" w:firstLine="720"/>
        <w:rPr>
          <w:rFonts w:ascii="Times New Roman" w:hAnsi="Times New Roman" w:cs="Times New Roman"/>
          <w:sz w:val="24"/>
          <w:szCs w:val="24"/>
        </w:rPr>
      </w:pPr>
    </w:p>
    <w:p w14:paraId="31878872" w14:textId="70076553" w:rsidR="009B0E49" w:rsidRPr="000A4FA8" w:rsidRDefault="009B0E49" w:rsidP="009B0E49">
      <w:pPr>
        <w:pStyle w:val="List3"/>
      </w:pPr>
      <w:r w:rsidRPr="000A4FA8">
        <w:rPr>
          <w:szCs w:val="24"/>
        </w:rPr>
        <w:t>(iii)</w:t>
      </w:r>
      <w:r w:rsidR="00FD70D4" w:rsidRPr="000A4FA8">
        <w:rPr>
          <w:szCs w:val="24"/>
        </w:rPr>
        <w:t xml:space="preserve">  </w:t>
      </w:r>
      <w:r w:rsidR="00F86410" w:rsidRPr="000A4FA8">
        <w:rPr>
          <w:szCs w:val="24"/>
        </w:rPr>
        <w:t xml:space="preserve">Contracting officers in contracting activities other than the Army Materiel Command and the United States Army Corps of Engineers must send the proposed denial response to the HCA or, if delegated, to the </w:t>
      </w:r>
      <w:r w:rsidR="00621B30">
        <w:rPr>
          <w:szCs w:val="24"/>
        </w:rPr>
        <w:t>SCO</w:t>
      </w:r>
      <w:r w:rsidR="00F86410" w:rsidRPr="000A4FA8">
        <w:rPr>
          <w:szCs w:val="24"/>
        </w:rPr>
        <w:t xml:space="preserve">.  </w:t>
      </w:r>
      <w:r w:rsidR="00FD70D4" w:rsidRPr="000A4FA8">
        <w:rPr>
          <w:szCs w:val="24"/>
        </w:rPr>
        <w:t>Include copies of the records recommended for denial</w:t>
      </w:r>
      <w:r w:rsidR="00F86410" w:rsidRPr="000A4FA8">
        <w:rPr>
          <w:szCs w:val="24"/>
        </w:rPr>
        <w:t xml:space="preserve"> with a justification for the denial</w:t>
      </w:r>
      <w:r w:rsidR="00FD70D4" w:rsidRPr="000A4FA8">
        <w:rPr>
          <w:szCs w:val="24"/>
        </w:rPr>
        <w:t>.  Contracting officers in the Army Materiel Command and the United States Army Corps of Engineers must follow the procedures specified by their headquarters.</w:t>
      </w:r>
    </w:p>
    <w:p w14:paraId="16E12AE4" w14:textId="38B66E01" w:rsidR="009B0E49" w:rsidRPr="000A4FA8" w:rsidRDefault="009B0E49" w:rsidP="009B0E49">
      <w:pPr>
        <w:pStyle w:val="List3"/>
      </w:pPr>
      <w:r w:rsidRPr="000A4FA8">
        <w:rPr>
          <w:szCs w:val="24"/>
        </w:rPr>
        <w:t>(iv)</w:t>
      </w:r>
      <w:r w:rsidR="00FD70D4" w:rsidRPr="000A4FA8">
        <w:rPr>
          <w:szCs w:val="24"/>
        </w:rPr>
        <w:t xml:space="preserve">  After coordination with counsel, the </w:t>
      </w:r>
      <w:smartTag w:uri="urn:schemas-microsoft-com:office:smarttags" w:element="stockticker">
        <w:r w:rsidR="00FD70D4" w:rsidRPr="000A4FA8">
          <w:rPr>
            <w:szCs w:val="24"/>
          </w:rPr>
          <w:t>HCA</w:t>
        </w:r>
      </w:smartTag>
      <w:r w:rsidR="00FD70D4" w:rsidRPr="000A4FA8">
        <w:rPr>
          <w:szCs w:val="24"/>
        </w:rPr>
        <w:t xml:space="preserve"> </w:t>
      </w:r>
      <w:r w:rsidR="00FA106E" w:rsidRPr="000A4FA8">
        <w:rPr>
          <w:szCs w:val="24"/>
        </w:rPr>
        <w:t>will provide</w:t>
      </w:r>
      <w:r w:rsidR="00FD70D4" w:rsidRPr="000A4FA8">
        <w:rPr>
          <w:szCs w:val="24"/>
        </w:rPr>
        <w:t xml:space="preserve"> the </w:t>
      </w:r>
      <w:r w:rsidR="00F86410" w:rsidRPr="000A4FA8">
        <w:rPr>
          <w:szCs w:val="24"/>
        </w:rPr>
        <w:t xml:space="preserve">denial </w:t>
      </w:r>
      <w:r w:rsidR="00FD70D4" w:rsidRPr="000A4FA8">
        <w:rPr>
          <w:szCs w:val="24"/>
        </w:rPr>
        <w:t xml:space="preserve">response, modified </w:t>
      </w:r>
      <w:r w:rsidR="00FA106E" w:rsidRPr="000A4FA8">
        <w:rPr>
          <w:szCs w:val="24"/>
        </w:rPr>
        <w:t>if</w:t>
      </w:r>
      <w:r w:rsidR="00FD70D4" w:rsidRPr="000A4FA8">
        <w:rPr>
          <w:szCs w:val="24"/>
        </w:rPr>
        <w:t xml:space="preserve"> necessary</w:t>
      </w:r>
      <w:r w:rsidR="00FA106E" w:rsidRPr="000A4FA8">
        <w:rPr>
          <w:szCs w:val="24"/>
        </w:rPr>
        <w:t>, to the requestor</w:t>
      </w:r>
      <w:r w:rsidR="00FD70D4" w:rsidRPr="000A4FA8">
        <w:rPr>
          <w:szCs w:val="24"/>
        </w:rPr>
        <w:t>.</w:t>
      </w:r>
    </w:p>
    <w:p w14:paraId="1BC8A30E" w14:textId="02B21A5D" w:rsidR="00CD4577" w:rsidRDefault="009B0E49" w:rsidP="009B0E49">
      <w:pPr>
        <w:pStyle w:val="List3"/>
      </w:pPr>
      <w:r w:rsidRPr="000A4FA8">
        <w:rPr>
          <w:szCs w:val="24"/>
        </w:rPr>
        <w:t>(v)</w:t>
      </w:r>
      <w:r w:rsidR="00FD70D4" w:rsidRPr="000A4FA8">
        <w:rPr>
          <w:szCs w:val="24"/>
        </w:rPr>
        <w:t xml:space="preserve">  Within three working days of receipt of appeals, HCAs must send </w:t>
      </w:r>
      <w:r w:rsidR="00CD4577" w:rsidRPr="000A4FA8">
        <w:rPr>
          <w:szCs w:val="24"/>
        </w:rPr>
        <w:t xml:space="preserve">notice, the appeal and </w:t>
      </w:r>
      <w:r w:rsidR="00FD70D4" w:rsidRPr="000A4FA8">
        <w:rPr>
          <w:szCs w:val="24"/>
        </w:rPr>
        <w:t>the documents required by AR 25-55 to</w:t>
      </w:r>
      <w:r w:rsidR="00CD4577" w:rsidRPr="000A4FA8">
        <w:rPr>
          <w:szCs w:val="24"/>
        </w:rPr>
        <w:t xml:space="preserve"> the Office of the General Counsel at the following address:</w:t>
      </w:r>
    </w:p>
    <w:p w14:paraId="7B6FCA3E" w14:textId="77777777" w:rsidR="000A4FA8" w:rsidRPr="000A4FA8" w:rsidRDefault="000A4FA8" w:rsidP="000A4FA8">
      <w:pPr>
        <w:ind w:firstLine="270"/>
        <w:rPr>
          <w:rFonts w:ascii="Times New Roman" w:hAnsi="Times New Roman" w:cs="Times New Roman"/>
          <w:sz w:val="24"/>
          <w:szCs w:val="24"/>
        </w:rPr>
      </w:pPr>
    </w:p>
    <w:p w14:paraId="1BC8A30F" w14:textId="77777777" w:rsidR="006E63DA" w:rsidRDefault="00CD4577" w:rsidP="00CD4577">
      <w:pPr>
        <w:pStyle w:val="ind12"/>
        <w:tabs>
          <w:tab w:val="clear" w:pos="2304"/>
          <w:tab w:val="clear" w:pos="2880"/>
          <w:tab w:val="clear" w:pos="3456"/>
        </w:tabs>
        <w:spacing w:after="0"/>
        <w:ind w:left="0"/>
        <w:rPr>
          <w:rFonts w:ascii="Times New Roman" w:hAnsi="Times New Roman" w:cs="Times New Roman"/>
          <w:spacing w:val="-2"/>
          <w:sz w:val="24"/>
          <w:szCs w:val="24"/>
        </w:rPr>
      </w:pPr>
      <w:r>
        <w:rPr>
          <w:rFonts w:ascii="Times New Roman" w:hAnsi="Times New Roman" w:cs="Times New Roman"/>
          <w:spacing w:val="-2"/>
          <w:sz w:val="24"/>
          <w:szCs w:val="24"/>
        </w:rPr>
        <w:t>ATTN: SAGC</w:t>
      </w:r>
    </w:p>
    <w:p w14:paraId="1BC8A310" w14:textId="77777777" w:rsidR="00CD4577" w:rsidRDefault="00CD4577" w:rsidP="00CD4577">
      <w:pPr>
        <w:pStyle w:val="ind12"/>
        <w:tabs>
          <w:tab w:val="clear" w:pos="2304"/>
          <w:tab w:val="clear" w:pos="2880"/>
          <w:tab w:val="clear" w:pos="3456"/>
        </w:tabs>
        <w:spacing w:after="0"/>
        <w:ind w:left="0"/>
        <w:rPr>
          <w:rFonts w:ascii="Times New Roman" w:hAnsi="Times New Roman" w:cs="Times New Roman"/>
          <w:spacing w:val="-2"/>
          <w:sz w:val="24"/>
          <w:szCs w:val="24"/>
        </w:rPr>
      </w:pPr>
      <w:r>
        <w:rPr>
          <w:rFonts w:ascii="Times New Roman" w:hAnsi="Times New Roman" w:cs="Times New Roman"/>
          <w:spacing w:val="-2"/>
          <w:sz w:val="24"/>
          <w:szCs w:val="24"/>
        </w:rPr>
        <w:t>General Counsel</w:t>
      </w:r>
    </w:p>
    <w:p w14:paraId="1BC8A311" w14:textId="77777777" w:rsidR="00CD4577" w:rsidRDefault="00CD4577" w:rsidP="00CD4577">
      <w:pPr>
        <w:pStyle w:val="ind12"/>
        <w:tabs>
          <w:tab w:val="clear" w:pos="2304"/>
          <w:tab w:val="clear" w:pos="2880"/>
          <w:tab w:val="clear" w:pos="3456"/>
        </w:tabs>
        <w:spacing w:after="0"/>
        <w:ind w:left="0"/>
        <w:rPr>
          <w:rFonts w:ascii="Times New Roman" w:hAnsi="Times New Roman" w:cs="Times New Roman"/>
          <w:spacing w:val="-2"/>
          <w:sz w:val="24"/>
          <w:szCs w:val="24"/>
        </w:rPr>
      </w:pPr>
      <w:r>
        <w:rPr>
          <w:rFonts w:ascii="Times New Roman" w:hAnsi="Times New Roman" w:cs="Times New Roman"/>
          <w:spacing w:val="-2"/>
          <w:sz w:val="24"/>
          <w:szCs w:val="24"/>
        </w:rPr>
        <w:t>104 Army Pentagon</w:t>
      </w:r>
    </w:p>
    <w:p w14:paraId="1BC8A312" w14:textId="0AAEA649" w:rsidR="006E63DA" w:rsidRDefault="00CD4577" w:rsidP="00057CAD">
      <w:pPr>
        <w:pStyle w:val="ind12"/>
        <w:tabs>
          <w:tab w:val="clear" w:pos="2304"/>
          <w:tab w:val="clear" w:pos="2880"/>
          <w:tab w:val="clear" w:pos="3456"/>
        </w:tabs>
        <w:spacing w:after="240"/>
        <w:ind w:left="0"/>
        <w:rPr>
          <w:rFonts w:ascii="Times New Roman" w:hAnsi="Times New Roman" w:cs="Times New Roman"/>
          <w:spacing w:val="-2"/>
          <w:sz w:val="24"/>
          <w:szCs w:val="24"/>
        </w:rPr>
      </w:pPr>
      <w:r>
        <w:rPr>
          <w:rFonts w:ascii="Times New Roman" w:hAnsi="Times New Roman" w:cs="Times New Roman"/>
          <w:spacing w:val="-2"/>
          <w:sz w:val="24"/>
          <w:szCs w:val="24"/>
        </w:rPr>
        <w:t>Washington, DC 20310-0104.</w:t>
      </w:r>
    </w:p>
    <w:p w14:paraId="692DF870" w14:textId="77777777" w:rsidR="000A4FA8" w:rsidRDefault="000A4FA8" w:rsidP="00057CAD">
      <w:pPr>
        <w:pStyle w:val="ind12"/>
        <w:tabs>
          <w:tab w:val="clear" w:pos="2304"/>
          <w:tab w:val="clear" w:pos="2880"/>
          <w:tab w:val="clear" w:pos="3456"/>
        </w:tabs>
        <w:spacing w:after="240"/>
        <w:ind w:left="0"/>
        <w:rPr>
          <w:rFonts w:ascii="Times New Roman" w:hAnsi="Times New Roman" w:cs="Times New Roman"/>
          <w:spacing w:val="-2"/>
          <w:sz w:val="24"/>
          <w:szCs w:val="24"/>
        </w:rPr>
      </w:pPr>
    </w:p>
    <w:sectPr w:rsidR="000A4FA8"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E121B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18D3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D60A9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8745E2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2BC94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95844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DE7E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C603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1E29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74A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6A7"/>
    <w:rsid w:val="000228E4"/>
    <w:rsid w:val="00043F8D"/>
    <w:rsid w:val="00055DA1"/>
    <w:rsid w:val="00057CAD"/>
    <w:rsid w:val="00094667"/>
    <w:rsid w:val="000A4FA8"/>
    <w:rsid w:val="000B3C68"/>
    <w:rsid w:val="000D120D"/>
    <w:rsid w:val="000E7019"/>
    <w:rsid w:val="00101A58"/>
    <w:rsid w:val="00146F2A"/>
    <w:rsid w:val="00184333"/>
    <w:rsid w:val="0018516B"/>
    <w:rsid w:val="001B74A1"/>
    <w:rsid w:val="001B78E7"/>
    <w:rsid w:val="001D060C"/>
    <w:rsid w:val="001F5D1A"/>
    <w:rsid w:val="002011E9"/>
    <w:rsid w:val="00242597"/>
    <w:rsid w:val="002C657D"/>
    <w:rsid w:val="002E7AC4"/>
    <w:rsid w:val="002F5B50"/>
    <w:rsid w:val="003069DF"/>
    <w:rsid w:val="00315F77"/>
    <w:rsid w:val="00322512"/>
    <w:rsid w:val="003347E7"/>
    <w:rsid w:val="00342DCC"/>
    <w:rsid w:val="003459F6"/>
    <w:rsid w:val="00357908"/>
    <w:rsid w:val="003611F2"/>
    <w:rsid w:val="00372857"/>
    <w:rsid w:val="00380066"/>
    <w:rsid w:val="003970CF"/>
    <w:rsid w:val="003A2FD9"/>
    <w:rsid w:val="004005D4"/>
    <w:rsid w:val="00404BA0"/>
    <w:rsid w:val="0041407F"/>
    <w:rsid w:val="004223AA"/>
    <w:rsid w:val="004B322C"/>
    <w:rsid w:val="004B3868"/>
    <w:rsid w:val="004E5756"/>
    <w:rsid w:val="00526DE5"/>
    <w:rsid w:val="00533019"/>
    <w:rsid w:val="005565B5"/>
    <w:rsid w:val="00560219"/>
    <w:rsid w:val="005B07BB"/>
    <w:rsid w:val="005B2040"/>
    <w:rsid w:val="005C491F"/>
    <w:rsid w:val="005E1173"/>
    <w:rsid w:val="006171C3"/>
    <w:rsid w:val="00621B30"/>
    <w:rsid w:val="00625A75"/>
    <w:rsid w:val="00627424"/>
    <w:rsid w:val="00633085"/>
    <w:rsid w:val="0064743F"/>
    <w:rsid w:val="00663246"/>
    <w:rsid w:val="00682191"/>
    <w:rsid w:val="006B1263"/>
    <w:rsid w:val="006B3C73"/>
    <w:rsid w:val="006C0230"/>
    <w:rsid w:val="006C02E3"/>
    <w:rsid w:val="006E63DA"/>
    <w:rsid w:val="006F5965"/>
    <w:rsid w:val="00743316"/>
    <w:rsid w:val="00745B58"/>
    <w:rsid w:val="007847D5"/>
    <w:rsid w:val="007A7959"/>
    <w:rsid w:val="007F2445"/>
    <w:rsid w:val="008243D0"/>
    <w:rsid w:val="008806FF"/>
    <w:rsid w:val="008B50D5"/>
    <w:rsid w:val="008D40AA"/>
    <w:rsid w:val="008D532D"/>
    <w:rsid w:val="008E0A52"/>
    <w:rsid w:val="008F55C6"/>
    <w:rsid w:val="00925FA1"/>
    <w:rsid w:val="00996546"/>
    <w:rsid w:val="009A3047"/>
    <w:rsid w:val="009B0E49"/>
    <w:rsid w:val="009D35C8"/>
    <w:rsid w:val="009E74B4"/>
    <w:rsid w:val="00A7324F"/>
    <w:rsid w:val="00A932DA"/>
    <w:rsid w:val="00AA3A52"/>
    <w:rsid w:val="00AB00AB"/>
    <w:rsid w:val="00AB79C1"/>
    <w:rsid w:val="00AE48F9"/>
    <w:rsid w:val="00B24B75"/>
    <w:rsid w:val="00B63056"/>
    <w:rsid w:val="00B706A7"/>
    <w:rsid w:val="00B83323"/>
    <w:rsid w:val="00B944D1"/>
    <w:rsid w:val="00BB4A94"/>
    <w:rsid w:val="00BF038C"/>
    <w:rsid w:val="00C53434"/>
    <w:rsid w:val="00C741B9"/>
    <w:rsid w:val="00C90738"/>
    <w:rsid w:val="00CB12A0"/>
    <w:rsid w:val="00CD3D5F"/>
    <w:rsid w:val="00CD4577"/>
    <w:rsid w:val="00D336E0"/>
    <w:rsid w:val="00D33D0C"/>
    <w:rsid w:val="00D4235D"/>
    <w:rsid w:val="00D57573"/>
    <w:rsid w:val="00DA0F94"/>
    <w:rsid w:val="00DC4124"/>
    <w:rsid w:val="00E114FD"/>
    <w:rsid w:val="00E136B9"/>
    <w:rsid w:val="00E33569"/>
    <w:rsid w:val="00E606BD"/>
    <w:rsid w:val="00E73AB1"/>
    <w:rsid w:val="00EB344F"/>
    <w:rsid w:val="00ED4A64"/>
    <w:rsid w:val="00F15D78"/>
    <w:rsid w:val="00F175ED"/>
    <w:rsid w:val="00F23425"/>
    <w:rsid w:val="00F86410"/>
    <w:rsid w:val="00FA106E"/>
    <w:rsid w:val="00FA19B0"/>
    <w:rsid w:val="00FA444F"/>
    <w:rsid w:val="00FB68D8"/>
    <w:rsid w:val="00FC2922"/>
    <w:rsid w:val="00FD0A61"/>
    <w:rsid w:val="00FD208F"/>
    <w:rsid w:val="00FD2370"/>
    <w:rsid w:val="00FD70D4"/>
    <w:rsid w:val="00FE5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1BC8A2F8"/>
  <w15:docId w15:val="{A3D7C920-7B99-4FE8-B431-F6B54380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6E0"/>
  </w:style>
  <w:style w:type="paragraph" w:styleId="Heading1">
    <w:name w:val="heading 1"/>
    <w:basedOn w:val="Normal"/>
    <w:next w:val="Normal"/>
    <w:link w:val="Heading1Char"/>
    <w:uiPriority w:val="9"/>
    <w:qFormat/>
    <w:rsid w:val="009B0E49"/>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9B0E49"/>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9B0E49"/>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D336E0"/>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B0E49"/>
    <w:rPr>
      <w:rFonts w:ascii="Times New Roman" w:hAnsi="Times New Roman" w:cs="Times New Roman"/>
      <w:b/>
      <w:sz w:val="32"/>
    </w:rPr>
  </w:style>
  <w:style w:type="character" w:customStyle="1" w:styleId="Heading3Char">
    <w:name w:val="Heading 3 Char"/>
    <w:basedOn w:val="DefaultParagraphFont"/>
    <w:link w:val="Heading3"/>
    <w:rsid w:val="009B0E49"/>
    <w:rPr>
      <w:rFonts w:ascii="Times New Roman" w:hAnsi="Times New Roman" w:cs="Times New Roman"/>
      <w:b/>
      <w:szCs w:val="24"/>
    </w:rPr>
  </w:style>
  <w:style w:type="character" w:customStyle="1" w:styleId="Heading4Char">
    <w:name w:val="Heading 4 Char"/>
    <w:basedOn w:val="DefaultParagraphFont"/>
    <w:link w:val="Heading4"/>
    <w:rsid w:val="00D336E0"/>
    <w:rPr>
      <w:rFonts w:ascii="Times New Roman" w:hAnsi="Times New Roman" w:cs="Times New Roman"/>
      <w:b/>
      <w:sz w:val="24"/>
      <w:szCs w:val="24"/>
    </w:rPr>
  </w:style>
  <w:style w:type="paragraph" w:customStyle="1" w:styleId="hangind4">
    <w:name w:val="hang ind .4"/>
    <w:basedOn w:val="Normal"/>
    <w:rsid w:val="00B706A7"/>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B706A7"/>
    <w:pPr>
      <w:tabs>
        <w:tab w:val="left" w:pos="2304"/>
        <w:tab w:val="left" w:pos="2880"/>
        <w:tab w:val="left" w:pos="3456"/>
      </w:tabs>
      <w:ind w:left="1728"/>
    </w:pPr>
  </w:style>
  <w:style w:type="paragraph" w:customStyle="1" w:styleId="ind4">
    <w:name w:val="ind .4"/>
    <w:basedOn w:val="hangind4"/>
    <w:rsid w:val="00B706A7"/>
    <w:pPr>
      <w:tabs>
        <w:tab w:val="clear" w:pos="576"/>
      </w:tabs>
      <w:ind w:firstLine="0"/>
    </w:pPr>
  </w:style>
  <w:style w:type="paragraph" w:styleId="BalloonText">
    <w:name w:val="Balloon Text"/>
    <w:basedOn w:val="Normal"/>
    <w:link w:val="BalloonTextChar"/>
    <w:uiPriority w:val="99"/>
    <w:semiHidden/>
    <w:unhideWhenUsed/>
    <w:rsid w:val="005B2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040"/>
    <w:rPr>
      <w:rFonts w:ascii="Tahoma" w:hAnsi="Tahoma" w:cs="Tahoma"/>
      <w:sz w:val="16"/>
      <w:szCs w:val="16"/>
    </w:rPr>
  </w:style>
  <w:style w:type="character" w:styleId="CommentReference">
    <w:name w:val="annotation reference"/>
    <w:basedOn w:val="DefaultParagraphFont"/>
    <w:uiPriority w:val="99"/>
    <w:semiHidden/>
    <w:unhideWhenUsed/>
    <w:rsid w:val="00627424"/>
    <w:rPr>
      <w:sz w:val="16"/>
      <w:szCs w:val="16"/>
    </w:rPr>
  </w:style>
  <w:style w:type="paragraph" w:styleId="CommentText">
    <w:name w:val="annotation text"/>
    <w:basedOn w:val="Normal"/>
    <w:link w:val="CommentTextChar"/>
    <w:uiPriority w:val="99"/>
    <w:semiHidden/>
    <w:unhideWhenUsed/>
    <w:rsid w:val="00627424"/>
    <w:pPr>
      <w:spacing w:line="240" w:lineRule="auto"/>
    </w:pPr>
    <w:rPr>
      <w:sz w:val="20"/>
      <w:szCs w:val="20"/>
    </w:rPr>
  </w:style>
  <w:style w:type="character" w:customStyle="1" w:styleId="CommentTextChar">
    <w:name w:val="Comment Text Char"/>
    <w:basedOn w:val="DefaultParagraphFont"/>
    <w:link w:val="CommentText"/>
    <w:uiPriority w:val="99"/>
    <w:semiHidden/>
    <w:rsid w:val="00627424"/>
    <w:rPr>
      <w:sz w:val="20"/>
      <w:szCs w:val="20"/>
    </w:rPr>
  </w:style>
  <w:style w:type="paragraph" w:styleId="CommentSubject">
    <w:name w:val="annotation subject"/>
    <w:basedOn w:val="CommentText"/>
    <w:next w:val="CommentText"/>
    <w:link w:val="CommentSubjectChar"/>
    <w:uiPriority w:val="99"/>
    <w:semiHidden/>
    <w:unhideWhenUsed/>
    <w:rsid w:val="00627424"/>
    <w:rPr>
      <w:b/>
      <w:bCs/>
    </w:rPr>
  </w:style>
  <w:style w:type="character" w:customStyle="1" w:styleId="CommentSubjectChar">
    <w:name w:val="Comment Subject Char"/>
    <w:basedOn w:val="CommentTextChar"/>
    <w:link w:val="CommentSubject"/>
    <w:uiPriority w:val="99"/>
    <w:semiHidden/>
    <w:rsid w:val="00627424"/>
    <w:rPr>
      <w:b/>
      <w:bCs/>
      <w:sz w:val="20"/>
      <w:szCs w:val="20"/>
    </w:rPr>
  </w:style>
  <w:style w:type="paragraph" w:styleId="Revision">
    <w:name w:val="Revision"/>
    <w:hidden/>
    <w:uiPriority w:val="99"/>
    <w:semiHidden/>
    <w:rsid w:val="00FA106E"/>
    <w:pPr>
      <w:spacing w:after="0" w:line="240" w:lineRule="auto"/>
    </w:pPr>
  </w:style>
  <w:style w:type="paragraph" w:styleId="TOC3">
    <w:name w:val="toc 3"/>
    <w:basedOn w:val="Normal"/>
    <w:next w:val="Normal"/>
    <w:autoRedefine/>
    <w:uiPriority w:val="39"/>
    <w:unhideWhenUsed/>
    <w:rsid w:val="003347E7"/>
    <w:pPr>
      <w:spacing w:after="100"/>
      <w:ind w:left="440"/>
    </w:pPr>
  </w:style>
  <w:style w:type="paragraph" w:styleId="TOC4">
    <w:name w:val="toc 4"/>
    <w:basedOn w:val="Normal"/>
    <w:next w:val="Normal"/>
    <w:autoRedefine/>
    <w:uiPriority w:val="39"/>
    <w:unhideWhenUsed/>
    <w:rsid w:val="003347E7"/>
    <w:pPr>
      <w:spacing w:after="100"/>
      <w:ind w:left="660"/>
    </w:pPr>
  </w:style>
  <w:style w:type="character" w:styleId="Hyperlink">
    <w:name w:val="Hyperlink"/>
    <w:basedOn w:val="DefaultParagraphFont"/>
    <w:uiPriority w:val="99"/>
    <w:unhideWhenUsed/>
    <w:rsid w:val="003347E7"/>
    <w:rPr>
      <w:color w:val="0000FF" w:themeColor="hyperlink"/>
      <w:u w:val="single"/>
    </w:rPr>
  </w:style>
  <w:style w:type="character" w:customStyle="1" w:styleId="Heading1Char">
    <w:name w:val="Heading 1 Char"/>
    <w:basedOn w:val="DefaultParagraphFont"/>
    <w:link w:val="Heading1"/>
    <w:uiPriority w:val="9"/>
    <w:rsid w:val="009B0E49"/>
    <w:rPr>
      <w:rFonts w:ascii="Times New Roman" w:eastAsiaTheme="majorEastAsia" w:hAnsi="Times New Roman" w:cs="Times New Roman"/>
      <w:b/>
      <w:sz w:val="32"/>
      <w:szCs w:val="32"/>
    </w:rPr>
  </w:style>
  <w:style w:type="paragraph" w:styleId="List2">
    <w:name w:val="List 2"/>
    <w:basedOn w:val="Normal"/>
    <w:uiPriority w:val="99"/>
    <w:semiHidden/>
    <w:unhideWhenUsed/>
    <w:rsid w:val="009B0E49"/>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9B0E49"/>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9B0E49"/>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9B0E49"/>
    <w:pPr>
      <w:spacing w:after="160" w:line="259" w:lineRule="auto"/>
      <w:ind w:firstLine="1440"/>
      <w:contextualSpacing/>
    </w:pPr>
    <w:rPr>
      <w:rFonts w:ascii="Times New Roman" w:hAnsi="Times New Roman" w:cs="Times New Roman"/>
      <w:sz w:val="24"/>
    </w:rPr>
  </w:style>
  <w:style w:type="paragraph" w:customStyle="1" w:styleId="List1">
    <w:name w:val="List 1"/>
    <w:basedOn w:val="Heading3"/>
    <w:link w:val="List1Char"/>
    <w:rsid w:val="009B0E49"/>
    <w:pPr>
      <w:spacing w:after="160" w:line="259" w:lineRule="auto"/>
      <w:outlineLvl w:val="9"/>
    </w:pPr>
    <w:rPr>
      <w:b w:val="0"/>
      <w:sz w:val="24"/>
    </w:rPr>
  </w:style>
  <w:style w:type="character" w:customStyle="1" w:styleId="List1Char">
    <w:name w:val="List 1 Char"/>
    <w:basedOn w:val="Heading3Char"/>
    <w:link w:val="List1"/>
    <w:rsid w:val="009B0E49"/>
    <w:rPr>
      <w:rFonts w:ascii="Times New Roman" w:hAnsi="Times New Roman" w:cs="Times New Roman"/>
      <w:b w:val="0"/>
      <w:sz w:val="24"/>
      <w:szCs w:val="24"/>
    </w:rPr>
  </w:style>
  <w:style w:type="paragraph" w:customStyle="1" w:styleId="List6">
    <w:name w:val="List 6"/>
    <w:basedOn w:val="Heading3"/>
    <w:link w:val="List6Char"/>
    <w:rsid w:val="009B0E49"/>
    <w:pPr>
      <w:spacing w:line="259" w:lineRule="auto"/>
      <w:ind w:firstLine="2160"/>
      <w:contextualSpacing/>
      <w:outlineLvl w:val="9"/>
    </w:pPr>
    <w:rPr>
      <w:b w:val="0"/>
      <w:sz w:val="24"/>
    </w:rPr>
  </w:style>
  <w:style w:type="character" w:customStyle="1" w:styleId="List6Char">
    <w:name w:val="List 6 Char"/>
    <w:basedOn w:val="Heading3Char"/>
    <w:link w:val="List6"/>
    <w:rsid w:val="009B0E49"/>
    <w:rPr>
      <w:rFonts w:ascii="Times New Roman" w:hAnsi="Times New Roman" w:cs="Times New Roman"/>
      <w:b w:val="0"/>
      <w:sz w:val="24"/>
      <w:szCs w:val="24"/>
    </w:rPr>
  </w:style>
  <w:style w:type="paragraph" w:customStyle="1" w:styleId="List7">
    <w:name w:val="List 7"/>
    <w:basedOn w:val="Heading3"/>
    <w:link w:val="List7Char"/>
    <w:rsid w:val="009B0E49"/>
    <w:pPr>
      <w:spacing w:after="160" w:line="259" w:lineRule="auto"/>
      <w:ind w:firstLine="3240"/>
      <w:contextualSpacing/>
      <w:outlineLvl w:val="9"/>
    </w:pPr>
    <w:rPr>
      <w:b w:val="0"/>
      <w:sz w:val="24"/>
    </w:rPr>
  </w:style>
  <w:style w:type="character" w:customStyle="1" w:styleId="List7Char">
    <w:name w:val="List 7 Char"/>
    <w:basedOn w:val="Heading3Char"/>
    <w:link w:val="List7"/>
    <w:rsid w:val="009B0E49"/>
    <w:rPr>
      <w:rFonts w:ascii="Times New Roman" w:hAnsi="Times New Roman" w:cs="Times New Roman"/>
      <w:b w:val="0"/>
      <w:sz w:val="24"/>
      <w:szCs w:val="24"/>
    </w:rPr>
  </w:style>
  <w:style w:type="paragraph" w:customStyle="1" w:styleId="List8">
    <w:name w:val="List 8"/>
    <w:basedOn w:val="Heading3"/>
    <w:link w:val="List8Char"/>
    <w:rsid w:val="009B0E49"/>
    <w:pPr>
      <w:spacing w:after="160" w:line="259" w:lineRule="auto"/>
      <w:ind w:firstLine="3600"/>
      <w:contextualSpacing/>
      <w:outlineLvl w:val="9"/>
    </w:pPr>
    <w:rPr>
      <w:b w:val="0"/>
      <w:sz w:val="24"/>
    </w:rPr>
  </w:style>
  <w:style w:type="character" w:customStyle="1" w:styleId="List8Char">
    <w:name w:val="List 8 Char"/>
    <w:basedOn w:val="Heading3Char"/>
    <w:link w:val="List8"/>
    <w:rsid w:val="009B0E49"/>
    <w:rPr>
      <w:rFonts w:ascii="Times New Roman" w:hAnsi="Times New Roman" w:cs="Times New Roman"/>
      <w:b w:val="0"/>
      <w:sz w:val="24"/>
      <w:szCs w:val="24"/>
    </w:rPr>
  </w:style>
  <w:style w:type="paragraph" w:customStyle="1" w:styleId="List1change">
    <w:name w:val="List 1_change"/>
    <w:basedOn w:val="List4"/>
    <w:link w:val="List1changeChar"/>
    <w:rsid w:val="009B0E49"/>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9B0E49"/>
    <w:rPr>
      <w:rFonts w:ascii="Times New Roman" w:hAnsi="Times New Roman" w:cs="Times New Roman"/>
      <w:sz w:val="24"/>
    </w:rPr>
  </w:style>
  <w:style w:type="character" w:customStyle="1" w:styleId="List1changeChar">
    <w:name w:val="List 1_change Char"/>
    <w:basedOn w:val="List4Char"/>
    <w:link w:val="List1change"/>
    <w:rsid w:val="009B0E49"/>
    <w:rPr>
      <w:rFonts w:ascii="Times New Roman" w:hAnsi="Times New Roman" w:cs="Times New Roman"/>
      <w:color w:val="000000"/>
      <w:sz w:val="24"/>
      <w:szCs w:val="24"/>
    </w:rPr>
  </w:style>
  <w:style w:type="paragraph" w:customStyle="1" w:styleId="List2change">
    <w:name w:val="List 2_change"/>
    <w:basedOn w:val="List4"/>
    <w:link w:val="List2changeChar"/>
    <w:rsid w:val="009B0E49"/>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9B0E49"/>
    <w:rPr>
      <w:rFonts w:ascii="Times New Roman" w:hAnsi="Times New Roman" w:cs="Times New Roman"/>
      <w:color w:val="000000"/>
      <w:sz w:val="24"/>
      <w:szCs w:val="24"/>
    </w:rPr>
  </w:style>
  <w:style w:type="paragraph" w:customStyle="1" w:styleId="List3change">
    <w:name w:val="List 3_change"/>
    <w:basedOn w:val="List4"/>
    <w:link w:val="List3changeChar"/>
    <w:rsid w:val="009B0E49"/>
    <w:pPr>
      <w:spacing w:after="0" w:line="240" w:lineRule="auto"/>
      <w:ind w:left="1080" w:hanging="360"/>
    </w:pPr>
    <w:rPr>
      <w:szCs w:val="24"/>
    </w:rPr>
  </w:style>
  <w:style w:type="character" w:customStyle="1" w:styleId="List3changeChar">
    <w:name w:val="List 3_change Char"/>
    <w:basedOn w:val="List4Char"/>
    <w:link w:val="List3change"/>
    <w:rsid w:val="009B0E49"/>
    <w:rPr>
      <w:rFonts w:ascii="Times New Roman" w:hAnsi="Times New Roman" w:cs="Times New Roman"/>
      <w:sz w:val="24"/>
      <w:szCs w:val="24"/>
    </w:rPr>
  </w:style>
  <w:style w:type="paragraph" w:customStyle="1" w:styleId="List4change">
    <w:name w:val="List 4_change"/>
    <w:basedOn w:val="List4"/>
    <w:link w:val="List4changeChar"/>
    <w:rsid w:val="009B0E49"/>
    <w:pPr>
      <w:spacing w:after="0" w:line="240" w:lineRule="auto"/>
      <w:ind w:left="1440" w:hanging="360"/>
    </w:pPr>
    <w:rPr>
      <w:szCs w:val="24"/>
    </w:rPr>
  </w:style>
  <w:style w:type="character" w:customStyle="1" w:styleId="List4changeChar">
    <w:name w:val="List 4_change Char"/>
    <w:basedOn w:val="List4Char"/>
    <w:link w:val="List4change"/>
    <w:rsid w:val="009B0E49"/>
    <w:rPr>
      <w:rFonts w:ascii="Times New Roman" w:hAnsi="Times New Roman" w:cs="Times New Roman"/>
      <w:sz w:val="24"/>
      <w:szCs w:val="24"/>
    </w:rPr>
  </w:style>
  <w:style w:type="paragraph" w:styleId="TOC1">
    <w:name w:val="toc 1"/>
    <w:basedOn w:val="Normal"/>
    <w:next w:val="Normal"/>
    <w:autoRedefine/>
    <w:uiPriority w:val="39"/>
    <w:unhideWhenUsed/>
    <w:rsid w:val="005B07BB"/>
    <w:pPr>
      <w:spacing w:after="100"/>
    </w:pPr>
  </w:style>
  <w:style w:type="paragraph" w:styleId="TOC2">
    <w:name w:val="toc 2"/>
    <w:basedOn w:val="Normal"/>
    <w:next w:val="Normal"/>
    <w:autoRedefine/>
    <w:uiPriority w:val="39"/>
    <w:unhideWhenUsed/>
    <w:rsid w:val="005B07B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17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5124</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DASAP-90-489</_dlc_DocId>
    <_dlc_DocIdUrl xmlns="4d2834f2-6e62-48ef-822a-880d84868a39">
      <Url>https://spcs3.kc.army.mil/asaalt/ZPTeam/PPS/_layouts/15/DocIdRedir.aspx?ID=DASAP-90-489</Url>
      <Description>DASAP-90-489</Description>
    </_dlc_DocIdUrl>
    <WebPartName xmlns="4d2834f2-6e62-48ef-822a-880d84868a39" xsi:nil="true"/>
    <AFARSRevisionNo xmlns="4d2834f2-6e62-48ef-822a-880d84868a39">27.01</AFARSRevisionNo>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11A8C-02F5-4FE3-B5E8-FFF9D4C24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BDD68D-12AB-4D6E-BFFA-30FF41E22CD8}">
  <ds:schemaRefs>
    <ds:schemaRef ds:uri="http://schemas.microsoft.com/sharepoint/events"/>
  </ds:schemaRefs>
</ds:datastoreItem>
</file>

<file path=customXml/itemProps3.xml><?xml version="1.0" encoding="utf-8"?>
<ds:datastoreItem xmlns:ds="http://schemas.openxmlformats.org/officeDocument/2006/customXml" ds:itemID="{0CA9C4F4-50D6-4C62-B27A-E612165B86CC}">
  <ds:schemaRefs>
    <ds:schemaRef ds:uri="http://schemas.microsoft.com/sharepoint/v3/contenttype/forms"/>
  </ds:schemaRefs>
</ds:datastoreItem>
</file>

<file path=customXml/itemProps4.xml><?xml version="1.0" encoding="utf-8"?>
<ds:datastoreItem xmlns:ds="http://schemas.openxmlformats.org/officeDocument/2006/customXml" ds:itemID="{6C7BB93D-93A5-49CE-90C8-8F699BD36871}">
  <ds:schemaRefs>
    <ds:schemaRef ds:uri="4d2834f2-6e62-48ef-822a-880d84868a39"/>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www.w3.org/XML/1998/namespace"/>
    <ds:schemaRef ds:uri="http://purl.org/dc/dcmitype/"/>
  </ds:schemaRefs>
</ds:datastoreItem>
</file>

<file path=customXml/itemProps5.xml><?xml version="1.0" encoding="utf-8"?>
<ds:datastoreItem xmlns:ds="http://schemas.openxmlformats.org/officeDocument/2006/customXml" ds:itemID="{9CC24FD1-94B2-48F6-876E-45D9F8BE6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AFARS 5124_Revision_27_00_DRAFT</vt:lpstr>
    </vt:vector>
  </TitlesOfParts>
  <Company>U.S. Army</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5124_Revision_27_01</dc:title>
  <dc:creator>Administrator</dc:creator>
  <cp:lastModifiedBy>Gregory Pangborn</cp:lastModifiedBy>
  <cp:revision>9</cp:revision>
  <dcterms:created xsi:type="dcterms:W3CDTF">2018-04-30T15:01:00Z</dcterms:created>
  <dcterms:modified xsi:type="dcterms:W3CDTF">2020-04-29T15:28:00Z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826cfed1-408f-4a50-9c89-f7d2358098c5</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