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9CE4" w14:textId="062D2050" w:rsidR="00C04B59" w:rsidRPr="0067795C" w:rsidRDefault="00F757DF" w:rsidP="00F757DF">
      <w:pPr>
        <w:pStyle w:val="Heading1"/>
      </w:pPr>
      <w:bookmarkStart w:id="0" w:name="_Toc39052621"/>
      <w:r w:rsidRPr="00F757DF">
        <w:t>AFARS – PART 5128</w:t>
      </w:r>
      <w:r w:rsidRPr="00F757DF">
        <w:br/>
      </w:r>
      <w:r w:rsidR="00C04B59" w:rsidRPr="0067795C">
        <w:t>Bonds</w:t>
      </w:r>
      <w:r w:rsidR="00BB17A0" w:rsidRPr="0067795C">
        <w:t xml:space="preserve"> </w:t>
      </w:r>
      <w:r w:rsidR="00D32E7C" w:rsidRPr="0067795C">
        <w:t xml:space="preserve">and </w:t>
      </w:r>
      <w:r w:rsidR="00BB17A0" w:rsidRPr="0067795C">
        <w:t>I</w:t>
      </w:r>
      <w:r w:rsidR="00D32E7C" w:rsidRPr="0067795C">
        <w:t>nsurance</w:t>
      </w:r>
      <w:bookmarkEnd w:id="0"/>
    </w:p>
    <w:p w14:paraId="3CBF9CE5" w14:textId="6D56726E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F360BF">
        <w:rPr>
          <w:rFonts w:ascii="Times New Roman" w:hAnsi="Times New Roman" w:cs="Times New Roman"/>
          <w:i/>
          <w:sz w:val="24"/>
          <w:szCs w:val="24"/>
        </w:rPr>
        <w:t>0</w:t>
      </w:r>
      <w:r w:rsidR="00F27441">
        <w:rPr>
          <w:rFonts w:ascii="Times New Roman" w:hAnsi="Times New Roman" w:cs="Times New Roman"/>
          <w:i/>
          <w:sz w:val="24"/>
          <w:szCs w:val="24"/>
        </w:rPr>
        <w:t>1 May 2019</w:t>
      </w:r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3D320015" w14:textId="75CF6979" w:rsidR="0018790D" w:rsidRDefault="0018790D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21" w:history="1">
        <w:r w:rsidRPr="00186651">
          <w:rPr>
            <w:rStyle w:val="Hyperlink"/>
            <w:noProof/>
          </w:rPr>
          <w:t>AFARS – PART 5128 Bonds and Insurance</w:t>
        </w:r>
      </w:hyperlink>
    </w:p>
    <w:p w14:paraId="4239FA86" w14:textId="099C3ACA" w:rsidR="0018790D" w:rsidRDefault="0052430C">
      <w:pPr>
        <w:pStyle w:val="TOC2"/>
        <w:tabs>
          <w:tab w:val="right" w:leader="dot" w:pos="9350"/>
        </w:tabs>
        <w:rPr>
          <w:noProof/>
        </w:rPr>
      </w:pPr>
      <w:hyperlink w:anchor="_Toc39052622" w:history="1">
        <w:r w:rsidR="0018790D" w:rsidRPr="00186651">
          <w:rPr>
            <w:rStyle w:val="Hyperlink"/>
            <w:noProof/>
          </w:rPr>
          <w:t>Subpart 5128.1 – Bonds and Other Financial Protections</w:t>
        </w:r>
      </w:hyperlink>
    </w:p>
    <w:p w14:paraId="454CB8CD" w14:textId="02B68FDE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3" w:history="1">
        <w:r w:rsidR="0018790D" w:rsidRPr="00186651">
          <w:rPr>
            <w:rStyle w:val="Hyperlink"/>
            <w:noProof/>
          </w:rPr>
          <w:t>5128.101  Bid guarantees.</w:t>
        </w:r>
      </w:hyperlink>
    </w:p>
    <w:p w14:paraId="2B5A6D4F" w14:textId="64CEFB35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4" w:history="1">
        <w:r w:rsidR="0018790D" w:rsidRPr="00186651">
          <w:rPr>
            <w:rStyle w:val="Hyperlink"/>
            <w:noProof/>
          </w:rPr>
          <w:t>5128.101-1  Policy and use.</w:t>
        </w:r>
      </w:hyperlink>
    </w:p>
    <w:p w14:paraId="47204B90" w14:textId="44136B10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5" w:history="1">
        <w:r w:rsidR="0018790D" w:rsidRPr="00186651">
          <w:rPr>
            <w:rStyle w:val="Hyperlink"/>
            <w:noProof/>
          </w:rPr>
          <w:t>5128.105  Other types of bonds.</w:t>
        </w:r>
      </w:hyperlink>
    </w:p>
    <w:p w14:paraId="3CFFA150" w14:textId="4EF1D93D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26" w:history="1">
        <w:r w:rsidR="0018790D" w:rsidRPr="00186651">
          <w:rPr>
            <w:rStyle w:val="Hyperlink"/>
            <w:noProof/>
          </w:rPr>
          <w:t>5128.106  Administration.</w:t>
        </w:r>
      </w:hyperlink>
    </w:p>
    <w:p w14:paraId="35DC5746" w14:textId="27BF22B0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7" w:history="1">
        <w:r w:rsidR="0018790D" w:rsidRPr="00186651">
          <w:rPr>
            <w:rStyle w:val="Hyperlink"/>
            <w:noProof/>
          </w:rPr>
          <w:t>5128.106-2  Substitution of surety bonds.</w:t>
        </w:r>
      </w:hyperlink>
    </w:p>
    <w:p w14:paraId="610CF0C5" w14:textId="78799D11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28" w:history="1">
        <w:r w:rsidR="0018790D" w:rsidRPr="00186651">
          <w:rPr>
            <w:rStyle w:val="Hyperlink"/>
            <w:noProof/>
          </w:rPr>
          <w:t>5128.106-6  Furnishing information.</w:t>
        </w:r>
      </w:hyperlink>
    </w:p>
    <w:p w14:paraId="487D9553" w14:textId="4216BA2D" w:rsidR="0018790D" w:rsidRDefault="0052430C">
      <w:pPr>
        <w:pStyle w:val="TOC2"/>
        <w:tabs>
          <w:tab w:val="right" w:leader="dot" w:pos="9350"/>
        </w:tabs>
        <w:rPr>
          <w:noProof/>
        </w:rPr>
      </w:pPr>
      <w:hyperlink w:anchor="_Toc39052629" w:history="1">
        <w:r w:rsidR="0018790D" w:rsidRPr="00186651">
          <w:rPr>
            <w:rStyle w:val="Hyperlink"/>
            <w:noProof/>
          </w:rPr>
          <w:t>Subpart 5128.2 – Sureties and Other Security for Bonds</w:t>
        </w:r>
      </w:hyperlink>
    </w:p>
    <w:p w14:paraId="14D6703D" w14:textId="49039B18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0" w:history="1">
        <w:r w:rsidR="0018790D" w:rsidRPr="00186651">
          <w:rPr>
            <w:rStyle w:val="Hyperlink"/>
            <w:noProof/>
          </w:rPr>
          <w:t>5128.202  Acceptability of corporate sureties.</w:t>
        </w:r>
      </w:hyperlink>
    </w:p>
    <w:p w14:paraId="019C9AE6" w14:textId="04BB4C12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1" w:history="1">
        <w:r w:rsidR="0018790D" w:rsidRPr="00186651">
          <w:rPr>
            <w:rStyle w:val="Hyperlink"/>
            <w:noProof/>
          </w:rPr>
          <w:t>5128.203  Acceptability of individual sureties.</w:t>
        </w:r>
      </w:hyperlink>
    </w:p>
    <w:p w14:paraId="6FEF08A6" w14:textId="6C52D558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2" w:history="1">
        <w:r w:rsidR="0018790D" w:rsidRPr="00186651">
          <w:rPr>
            <w:rStyle w:val="Hyperlink"/>
            <w:noProof/>
          </w:rPr>
          <w:t>5128.203-7  Exclusion of individual sureties.</w:t>
        </w:r>
      </w:hyperlink>
    </w:p>
    <w:p w14:paraId="402BB0C2" w14:textId="75549E7D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3" w:history="1">
        <w:r w:rsidR="0018790D" w:rsidRPr="00186651">
          <w:rPr>
            <w:rStyle w:val="Hyperlink"/>
            <w:noProof/>
          </w:rPr>
          <w:t>5128.204  Alternatives in lieu of corporate or individual sureties.</w:t>
        </w:r>
      </w:hyperlink>
    </w:p>
    <w:p w14:paraId="6728C96E" w14:textId="234D0F56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4" w:history="1">
        <w:r w:rsidR="0018790D" w:rsidRPr="00186651">
          <w:rPr>
            <w:rStyle w:val="Hyperlink"/>
            <w:noProof/>
          </w:rPr>
          <w:t>5128.204-1  United States bonds or notes.</w:t>
        </w:r>
      </w:hyperlink>
    </w:p>
    <w:p w14:paraId="22C481B1" w14:textId="0F3FA782" w:rsidR="0018790D" w:rsidRDefault="0052430C">
      <w:pPr>
        <w:pStyle w:val="TOC2"/>
        <w:tabs>
          <w:tab w:val="right" w:leader="dot" w:pos="9350"/>
        </w:tabs>
        <w:rPr>
          <w:noProof/>
        </w:rPr>
      </w:pPr>
      <w:hyperlink w:anchor="_Toc39052635" w:history="1">
        <w:r w:rsidR="0018790D" w:rsidRPr="00186651">
          <w:rPr>
            <w:rStyle w:val="Hyperlink"/>
            <w:noProof/>
          </w:rPr>
          <w:t>Subpart 5128.3 – Insurance</w:t>
        </w:r>
      </w:hyperlink>
    </w:p>
    <w:p w14:paraId="67B01906" w14:textId="4B6D9185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6" w:history="1">
        <w:r w:rsidR="0018790D" w:rsidRPr="00186651">
          <w:rPr>
            <w:rStyle w:val="Hyperlink"/>
            <w:noProof/>
          </w:rPr>
          <w:t>5128.301  Policy.</w:t>
        </w:r>
      </w:hyperlink>
    </w:p>
    <w:p w14:paraId="69BCDE15" w14:textId="2290D0BF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7" w:history="1">
        <w:r w:rsidR="0018790D" w:rsidRPr="00186651">
          <w:rPr>
            <w:rStyle w:val="Hyperlink"/>
            <w:noProof/>
          </w:rPr>
          <w:t xml:space="preserve">5128.305  </w:t>
        </w:r>
        <w:r w:rsidR="0018790D" w:rsidRPr="00186651">
          <w:rPr>
            <w:rStyle w:val="Hyperlink"/>
            <w:noProof/>
            <w:lang w:val="en"/>
          </w:rPr>
          <w:t>Overseas workers compensation and war hazard insurance.</w:t>
        </w:r>
      </w:hyperlink>
    </w:p>
    <w:p w14:paraId="0DA0C2D8" w14:textId="58C56846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38" w:history="1">
        <w:r w:rsidR="0018790D" w:rsidRPr="00186651">
          <w:rPr>
            <w:rStyle w:val="Hyperlink"/>
            <w:noProof/>
          </w:rPr>
          <w:t>5128.307  Insurance under cost-reimbursement contracts.</w:t>
        </w:r>
      </w:hyperlink>
    </w:p>
    <w:p w14:paraId="6B5F8B91" w14:textId="75A9648D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39" w:history="1">
        <w:r w:rsidR="0018790D" w:rsidRPr="00186651">
          <w:rPr>
            <w:rStyle w:val="Hyperlink"/>
            <w:noProof/>
          </w:rPr>
          <w:t>5128.307-1  Group insurance plans.</w:t>
        </w:r>
      </w:hyperlink>
    </w:p>
    <w:p w14:paraId="4B7A353B" w14:textId="1103AD64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0" w:history="1">
        <w:r w:rsidR="0018790D" w:rsidRPr="00186651">
          <w:rPr>
            <w:rStyle w:val="Hyperlink"/>
            <w:noProof/>
          </w:rPr>
          <w:t>5128.311  Solicitation provision and contract clause on liability insurance under cost-reimbursement contracts.</w:t>
        </w:r>
      </w:hyperlink>
    </w:p>
    <w:p w14:paraId="2A590681" w14:textId="34C7A468" w:rsidR="0018790D" w:rsidRDefault="0052430C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41" w:history="1">
        <w:r w:rsidR="0018790D" w:rsidRPr="00186651">
          <w:rPr>
            <w:rStyle w:val="Hyperlink"/>
            <w:noProof/>
          </w:rPr>
          <w:t>5128.311-1  Contract clause.</w:t>
        </w:r>
      </w:hyperlink>
    </w:p>
    <w:p w14:paraId="345B562F" w14:textId="5D0904F8" w:rsidR="0018790D" w:rsidRDefault="0052430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2" w:history="1">
        <w:r w:rsidR="0018790D" w:rsidRPr="00186651">
          <w:rPr>
            <w:rStyle w:val="Hyperlink"/>
            <w:noProof/>
          </w:rPr>
          <w:t>5128.370  Additional clauses.</w:t>
        </w:r>
      </w:hyperlink>
    </w:p>
    <w:p w14:paraId="20BBAEA0" w14:textId="2F062251" w:rsidR="0067795C" w:rsidRPr="0067795C" w:rsidRDefault="0018790D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F757DF">
      <w:pPr>
        <w:pStyle w:val="Heading2"/>
      </w:pPr>
      <w:bookmarkStart w:id="1" w:name="_Toc39052622"/>
      <w:r w:rsidRPr="00F757DF">
        <w:t xml:space="preserve">Subpart 5128.1 </w:t>
      </w:r>
      <w:r>
        <w:rPr>
          <w:sz w:val="24"/>
          <w:szCs w:val="24"/>
        </w:rPr>
        <w:t>– Bond</w:t>
      </w:r>
      <w:r w:rsidR="00EF5370">
        <w:rPr>
          <w:sz w:val="24"/>
          <w:szCs w:val="24"/>
        </w:rPr>
        <w:t>s and Other Financial Protection</w:t>
      </w:r>
      <w:r>
        <w:rPr>
          <w:sz w:val="24"/>
          <w:szCs w:val="24"/>
        </w:rPr>
        <w:t>s</w:t>
      </w:r>
      <w:bookmarkEnd w:id="1"/>
    </w:p>
    <w:p w14:paraId="3CBF9CE7" w14:textId="742D6D80" w:rsidR="00E62D93" w:rsidRDefault="00E62D93" w:rsidP="00F757DF">
      <w:pPr>
        <w:pStyle w:val="Heading3"/>
      </w:pPr>
      <w:bookmarkStart w:id="2" w:name="_Toc39052623"/>
      <w:r>
        <w:t xml:space="preserve">5128.101  </w:t>
      </w:r>
      <w:r w:rsidR="00EF5370">
        <w:t xml:space="preserve">Bid </w:t>
      </w:r>
      <w:r w:rsidR="00EF5370" w:rsidRPr="0067795C">
        <w:t>g</w:t>
      </w:r>
      <w:r w:rsidRPr="0067795C">
        <w:t>uarantees</w:t>
      </w:r>
      <w:r>
        <w:t>.</w:t>
      </w:r>
      <w:bookmarkEnd w:id="2"/>
    </w:p>
    <w:p w14:paraId="6D98D034" w14:textId="77777777" w:rsidR="00F757DF" w:rsidRPr="0067795C" w:rsidRDefault="00EF5370" w:rsidP="00F757DF">
      <w:pPr>
        <w:pStyle w:val="Heading4"/>
      </w:pPr>
      <w:bookmarkStart w:id="3" w:name="_Toc39052624"/>
      <w:r w:rsidRPr="0067795C">
        <w:lastRenderedPageBreak/>
        <w:t>5128.101-1  Policy and u</w:t>
      </w:r>
      <w:r w:rsidR="00E62D93" w:rsidRPr="0067795C">
        <w:t>se.</w:t>
      </w:r>
      <w:bookmarkEnd w:id="3"/>
    </w:p>
    <w:p w14:paraId="3CBF9CE9" w14:textId="11D4E008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 The Assistant Secretary of the Army (Acquisition, Logistics and Technology) may a</w:t>
      </w:r>
      <w:r w:rsidR="00CE5DFE" w:rsidRPr="0067795C">
        <w:t xml:space="preserve">uthorize class waivers at FAR </w:t>
      </w:r>
      <w:r w:rsidR="00E62D93" w:rsidRPr="0067795C">
        <w:t>28.101-1.  See Appendix GG for further delegation.</w:t>
      </w:r>
    </w:p>
    <w:p w14:paraId="3CBF9CEA" w14:textId="77777777" w:rsidR="00E62D93" w:rsidRDefault="00E62D93" w:rsidP="00F757DF">
      <w:pPr>
        <w:pStyle w:val="Heading3"/>
      </w:pPr>
      <w:bookmarkStart w:id="4" w:name="_Toc39052625"/>
      <w:r w:rsidRPr="00E62D93">
        <w:t xml:space="preserve">5128.105  </w:t>
      </w:r>
      <w:r>
        <w:t>Other types of bonds.</w:t>
      </w:r>
      <w:bookmarkEnd w:id="4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F757DF">
      <w:pPr>
        <w:pStyle w:val="Heading3"/>
      </w:pPr>
      <w:bookmarkStart w:id="5" w:name="_Toc39052626"/>
      <w:r w:rsidRPr="00E62D93">
        <w:t>5128.106</w:t>
      </w:r>
      <w:r>
        <w:t xml:space="preserve">  Administration.</w:t>
      </w:r>
      <w:bookmarkEnd w:id="5"/>
    </w:p>
    <w:p w14:paraId="4C692A36" w14:textId="77777777" w:rsidR="00F757DF" w:rsidRPr="00E62D93" w:rsidRDefault="00E62D93" w:rsidP="00F757DF">
      <w:pPr>
        <w:pStyle w:val="Heading4"/>
      </w:pPr>
      <w:bookmarkStart w:id="6" w:name="_Toc39052627"/>
      <w:r w:rsidRPr="00E62D93">
        <w:t>5128.106-2</w:t>
      </w:r>
      <w:r>
        <w:t xml:space="preserve">  Substitution of surety bonds.</w:t>
      </w:r>
      <w:bookmarkEnd w:id="6"/>
    </w:p>
    <w:p w14:paraId="3CBF9CEE" w14:textId="67B48308" w:rsidR="00E62D93" w:rsidRPr="0067795C" w:rsidRDefault="00F757DF" w:rsidP="00F757DF">
      <w:pPr>
        <w:pStyle w:val="List1"/>
      </w:pPr>
      <w:r w:rsidRPr="0067795C">
        <w:t>(a)</w:t>
      </w:r>
      <w:r w:rsidR="00E62D93" w:rsidRPr="0067795C">
        <w:t xml:space="preserve">  The head of the contracting activity may </w:t>
      </w:r>
      <w:r w:rsidR="00F44310">
        <w:t>approve</w:t>
      </w:r>
      <w:r w:rsidR="00234159" w:rsidRPr="0067795C">
        <w:t xml:space="preserve"> actions </w:t>
      </w:r>
      <w:r w:rsidR="00E62D93" w:rsidRPr="0067795C">
        <w:t>at FAR 28.106-2.  See Appendix GG for further delegation.</w:t>
      </w:r>
    </w:p>
    <w:p w14:paraId="7ABA3974" w14:textId="77777777" w:rsidR="00F757DF" w:rsidRPr="00E62D93" w:rsidRDefault="00E62D93" w:rsidP="00F757DF">
      <w:pPr>
        <w:pStyle w:val="Heading4"/>
      </w:pPr>
      <w:bookmarkStart w:id="7" w:name="_Toc39052628"/>
      <w:r w:rsidRPr="00E62D93">
        <w:t>5128.106-6  Furnishing information.</w:t>
      </w:r>
      <w:bookmarkEnd w:id="7"/>
    </w:p>
    <w:p w14:paraId="3CBF9CF0" w14:textId="76278C99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F757DF">
      <w:pPr>
        <w:pStyle w:val="Heading2"/>
      </w:pPr>
      <w:bookmarkStart w:id="8" w:name="_Toc39052629"/>
      <w:r w:rsidRPr="00C04B59">
        <w:rPr>
          <w:sz w:val="24"/>
          <w:szCs w:val="24"/>
        </w:rPr>
        <w:t>Subpart 5128.2 – Sureties and Other Security for Bonds</w:t>
      </w:r>
      <w:bookmarkEnd w:id="8"/>
    </w:p>
    <w:p w14:paraId="10CB6492" w14:textId="77777777" w:rsidR="00F757DF" w:rsidRPr="00C04B59" w:rsidRDefault="00C04B59" w:rsidP="00F757DF">
      <w:pPr>
        <w:pStyle w:val="Heading3"/>
      </w:pPr>
      <w:bookmarkStart w:id="9" w:name="_Toc39052630"/>
      <w:r w:rsidRPr="00C04B59">
        <w:t>5128.202  Acceptability of corporate sureties.</w:t>
      </w:r>
      <w:bookmarkEnd w:id="9"/>
    </w:p>
    <w:p w14:paraId="3CBF9CF3" w14:textId="3E11D5B0" w:rsidR="00F7339A" w:rsidRPr="0067795C" w:rsidRDefault="00F757DF" w:rsidP="00F757DF">
      <w:pPr>
        <w:pStyle w:val="List1"/>
      </w:pPr>
      <w:r w:rsidRPr="0067795C">
        <w:t>(c)</w:t>
      </w:r>
      <w:r w:rsidR="00C04B59" w:rsidRPr="0067795C">
        <w:t xml:space="preserve">  </w:t>
      </w:r>
      <w:r w:rsidR="00313AB7" w:rsidRPr="0067795C">
        <w:t>If</w:t>
      </w:r>
      <w:r w:rsidR="00C04B59" w:rsidRPr="0067795C">
        <w:t xml:space="preserve"> </w:t>
      </w:r>
      <w:r w:rsidR="00313AB7" w:rsidRPr="0067795C">
        <w:t xml:space="preserve">corporate surety </w:t>
      </w:r>
      <w:r w:rsidR="00C04B59" w:rsidRPr="0067795C">
        <w:t xml:space="preserve">information </w:t>
      </w:r>
      <w:r w:rsidR="00313AB7" w:rsidRPr="0067795C">
        <w:t xml:space="preserve">from the U.S. Department of </w:t>
      </w:r>
      <w:r w:rsidR="00D91B80" w:rsidRPr="0067795C">
        <w:t xml:space="preserve">the </w:t>
      </w:r>
      <w:r w:rsidR="00313AB7" w:rsidRPr="0067795C">
        <w:t>Treasury website</w:t>
      </w:r>
      <w:r w:rsidR="00E60AEE" w:rsidRPr="0067795C">
        <w:t xml:space="preserve"> is not available, distribute</w:t>
      </w:r>
      <w:r w:rsidR="005226AD" w:rsidRPr="0067795C">
        <w:t xml:space="preserve"> </w:t>
      </w:r>
      <w:r w:rsidR="00C04B59" w:rsidRPr="0067795C">
        <w:t xml:space="preserve">in accordance with </w:t>
      </w:r>
      <w:r w:rsidR="00511E1C" w:rsidRPr="0067795C">
        <w:t>h</w:t>
      </w:r>
      <w:r w:rsidR="00C04B59" w:rsidRPr="0067795C">
        <w:t>ead of</w:t>
      </w:r>
      <w:r w:rsidR="00CA6AB9" w:rsidRPr="0067795C">
        <w:t xml:space="preserve"> the </w:t>
      </w:r>
      <w:r w:rsidR="00511E1C" w:rsidRPr="0067795C">
        <w:t>c</w:t>
      </w:r>
      <w:r w:rsidR="00C04B59" w:rsidRPr="0067795C">
        <w:t xml:space="preserve">ontracting </w:t>
      </w:r>
      <w:r w:rsidR="00511E1C" w:rsidRPr="0067795C">
        <w:t>a</w:t>
      </w:r>
      <w:r w:rsidR="00C04B59" w:rsidRPr="0067795C">
        <w:t>ctivity (HCA) instructions.</w:t>
      </w:r>
    </w:p>
    <w:p w14:paraId="0F728EB5" w14:textId="77777777" w:rsidR="00F757DF" w:rsidRPr="00C04B59" w:rsidRDefault="00C04B59" w:rsidP="00F757DF">
      <w:pPr>
        <w:pStyle w:val="Heading3"/>
      </w:pPr>
      <w:bookmarkStart w:id="10" w:name="_Toc39052631"/>
      <w:r w:rsidRPr="00C04B59">
        <w:t>5128.203  Acceptability of individual sureties.</w:t>
      </w:r>
      <w:bookmarkEnd w:id="10"/>
    </w:p>
    <w:p w14:paraId="3CBF9CF5" w14:textId="5D9DB8A8" w:rsidR="00F7339A" w:rsidRDefault="00F757DF" w:rsidP="00F757DF">
      <w:pPr>
        <w:pStyle w:val="List1"/>
      </w:pPr>
      <w:r w:rsidRPr="00C04B59">
        <w:t>(g)</w:t>
      </w:r>
      <w:r w:rsidR="00C04B59" w:rsidRPr="00C04B59">
        <w:t xml:space="preserve">  Refer evidence to the local </w:t>
      </w:r>
      <w:r w:rsidR="00E718DE">
        <w:t xml:space="preserve">contracting office’s </w:t>
      </w:r>
      <w:r w:rsidR="0091437E">
        <w:t>p</w:t>
      </w:r>
      <w:r w:rsidR="00C04B59" w:rsidRPr="00C04B59">
        <w:t xml:space="preserve">rocurement </w:t>
      </w:r>
      <w:r w:rsidR="0091437E">
        <w:t>f</w:t>
      </w:r>
      <w:r w:rsidR="00C04B59" w:rsidRPr="00C04B59">
        <w:t xml:space="preserve">raud </w:t>
      </w:r>
      <w:r w:rsidR="0091437E">
        <w:t>a</w:t>
      </w:r>
      <w:r w:rsidR="00C04B59" w:rsidRPr="00C04B59">
        <w:t>dvisor.  See Army Regulation 27-40</w:t>
      </w:r>
      <w:r w:rsidR="00BB17A0">
        <w:t xml:space="preserve"> Litigation.</w:t>
      </w:r>
    </w:p>
    <w:p w14:paraId="66469BA0" w14:textId="77777777" w:rsidR="00F757DF" w:rsidRDefault="00C04B59" w:rsidP="00F757DF">
      <w:pPr>
        <w:pStyle w:val="Heading4"/>
      </w:pPr>
      <w:bookmarkStart w:id="11" w:name="_Toc39052632"/>
      <w:r w:rsidRPr="00C04B59">
        <w:t>5128.203-7  Exclusion of individual sureties.</w:t>
      </w:r>
      <w:bookmarkEnd w:id="11"/>
    </w:p>
    <w:p w14:paraId="3CBF9CF7" w14:textId="3D56381D" w:rsidR="00F7339A" w:rsidRDefault="00F757DF" w:rsidP="00F757DF">
      <w:pPr>
        <w:pStyle w:val="List1"/>
      </w:pPr>
      <w:r w:rsidRPr="00C04B59">
        <w:t>(d)</w:t>
      </w:r>
      <w:r w:rsidR="00C04B59" w:rsidRPr="00C04B59">
        <w:t xml:space="preserve">  Send the determination and findings justifying acceptance to the HCA.  If the </w:t>
      </w:r>
      <w:smartTag w:uri="urn:schemas-microsoft-com:office:smarttags" w:element="stockticker">
        <w:r w:rsidR="00C04B59" w:rsidRPr="00C04B59">
          <w:t>HCA</w:t>
        </w:r>
      </w:smartTag>
      <w:r w:rsidR="00C04B59" w:rsidRPr="00C04B59">
        <w:t xml:space="preserve"> concurs,</w:t>
      </w:r>
      <w:r w:rsidR="00D32E7C">
        <w:t xml:space="preserve"> send </w:t>
      </w:r>
      <w:r w:rsidR="00C04B59" w:rsidRPr="00C04B59">
        <w:t>the request and concurrence through the addressee in 5101.290(b)(</w:t>
      </w:r>
      <w:r w:rsidR="004418F3">
        <w:t>5</w:t>
      </w:r>
      <w:r w:rsidR="00C04B59" w:rsidRPr="00C04B59">
        <w:t xml:space="preserve">) to the </w:t>
      </w:r>
      <w:r w:rsidR="00FE42EE">
        <w:t xml:space="preserve">Assistant Secretary of the Army (Acquisition, Logistics and Technology) </w:t>
      </w:r>
      <w:r w:rsidR="00C04B59" w:rsidRPr="00C04B59">
        <w:t>for a determination.</w:t>
      </w:r>
      <w:r w:rsidR="00FE42EE">
        <w:t xml:space="preserve">  See Appendix GG for further delegation. </w:t>
      </w:r>
    </w:p>
    <w:p w14:paraId="3CBF9CF8" w14:textId="77777777" w:rsidR="00C04B59" w:rsidRPr="00C04B59" w:rsidRDefault="00C04B59" w:rsidP="00F757DF">
      <w:pPr>
        <w:pStyle w:val="Heading3"/>
      </w:pPr>
      <w:bookmarkStart w:id="12" w:name="_Toc39052633"/>
      <w:r w:rsidRPr="00C04B59">
        <w:t xml:space="preserve">5128.204  </w:t>
      </w:r>
      <w:r w:rsidRPr="0067795C">
        <w:t>Alternatives</w:t>
      </w:r>
      <w:r w:rsidRPr="00C04B59">
        <w:t xml:space="preserve"> in lieu of corporate or individual sureties.</w:t>
      </w:r>
      <w:bookmarkEnd w:id="12"/>
    </w:p>
    <w:p w14:paraId="3CBF9CF9" w14:textId="77777777" w:rsidR="00C04B59" w:rsidRPr="00C04B59" w:rsidRDefault="00C04B59" w:rsidP="00F757DF">
      <w:pPr>
        <w:pStyle w:val="Heading4"/>
      </w:pPr>
      <w:bookmarkStart w:id="13" w:name="_Toc39052634"/>
      <w:r w:rsidRPr="00C04B59">
        <w:t>5128.204-1  United States bonds or notes.</w:t>
      </w:r>
      <w:bookmarkEnd w:id="13"/>
    </w:p>
    <w:p w14:paraId="3CBF9CFA" w14:textId="77777777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When a contractor furnishes security in lieu of corporate or individual sureties on bonds, the contracting officer must send a certified copy of the receipt for the deposited security and a certified copy of any required power of attorney and agreement to legal counsel along with the bond.</w:t>
      </w:r>
    </w:p>
    <w:p w14:paraId="3CBF9CFB" w14:textId="77777777" w:rsidR="00C04B59" w:rsidRPr="00C04B59" w:rsidRDefault="00C04B59" w:rsidP="00F757DF">
      <w:pPr>
        <w:pStyle w:val="Heading2"/>
      </w:pPr>
      <w:bookmarkStart w:id="14" w:name="_Toc39052635"/>
      <w:r w:rsidRPr="00C04B59">
        <w:rPr>
          <w:sz w:val="24"/>
          <w:szCs w:val="24"/>
        </w:rPr>
        <w:lastRenderedPageBreak/>
        <w:t xml:space="preserve">Subpart 5128.3 </w:t>
      </w:r>
      <w:r w:rsidR="00DE05F6">
        <w:rPr>
          <w:sz w:val="24"/>
          <w:szCs w:val="24"/>
        </w:rPr>
        <w:t>–</w:t>
      </w:r>
      <w:r w:rsidRPr="00C04B59">
        <w:rPr>
          <w:sz w:val="24"/>
          <w:szCs w:val="24"/>
        </w:rPr>
        <w:t xml:space="preserve"> Insurance</w:t>
      </w:r>
      <w:bookmarkEnd w:id="14"/>
    </w:p>
    <w:p w14:paraId="6E96A5E7" w14:textId="77777777" w:rsidR="00F757DF" w:rsidRPr="00C04B59" w:rsidRDefault="00C04B59" w:rsidP="00F757DF">
      <w:pPr>
        <w:pStyle w:val="Heading3"/>
      </w:pPr>
      <w:bookmarkStart w:id="15" w:name="_Toc39052636"/>
      <w:r w:rsidRPr="00C04B59">
        <w:t>5128.301  Policy.</w:t>
      </w:r>
      <w:bookmarkEnd w:id="15"/>
    </w:p>
    <w:p w14:paraId="3CBF9CFD" w14:textId="3850B9FC" w:rsidR="00F7339A" w:rsidRDefault="00F757DF" w:rsidP="00F757DF">
      <w:pPr>
        <w:pStyle w:val="List1"/>
      </w:pPr>
      <w:r w:rsidRPr="00C04B59">
        <w:t>(b)</w:t>
      </w:r>
      <w:r w:rsidR="00C04B59" w:rsidRPr="00C04B59">
        <w:t xml:space="preserve">  </w:t>
      </w:r>
      <w:r w:rsidR="00511E1C">
        <w:t>When more than one agency is involved and the Army retains contract administration functions, the c</w:t>
      </w:r>
      <w:r w:rsidR="00C04B59" w:rsidRPr="00C04B59">
        <w:t xml:space="preserve">ontracting officer responsible for contract administration </w:t>
      </w:r>
      <w:r w:rsidR="00511E1C">
        <w:t xml:space="preserve">is </w:t>
      </w:r>
      <w:r w:rsidR="00C04B59" w:rsidRPr="00C04B59">
        <w:t xml:space="preserve">the point of contact. </w:t>
      </w:r>
      <w:r w:rsidR="00511E1C" w:rsidRPr="00511E1C">
        <w:t xml:space="preserve"> </w:t>
      </w:r>
      <w:r w:rsidR="00511E1C" w:rsidRPr="00D34D21">
        <w:t>Contracting officers shall review and approve the contractor’s insurance program and coordinate with other interested agencies before acting on significant insurance matters</w:t>
      </w:r>
      <w:r w:rsidR="00511E1C" w:rsidRPr="005226AD">
        <w:t>.</w:t>
      </w:r>
    </w:p>
    <w:p w14:paraId="153D760A" w14:textId="77777777" w:rsidR="00F757DF" w:rsidRPr="00EF5370" w:rsidRDefault="00B64D74" w:rsidP="00F757DF">
      <w:pPr>
        <w:pStyle w:val="Heading3"/>
        <w:rPr>
          <w:lang w:val="en"/>
        </w:rPr>
      </w:pPr>
      <w:bookmarkStart w:id="16" w:name="_Toc39052637"/>
      <w:r w:rsidRPr="00B64D74">
        <w:t xml:space="preserve">5128.305  </w:t>
      </w:r>
      <w:r w:rsidRPr="00EF5370">
        <w:rPr>
          <w:lang w:val="en"/>
        </w:rPr>
        <w:t>Overseas workers compensation and war hazard insurance.</w:t>
      </w:r>
      <w:bookmarkEnd w:id="16"/>
    </w:p>
    <w:p w14:paraId="3CBF9CFE" w14:textId="26E08D6F" w:rsidR="009B43CA" w:rsidRPr="00EF5370" w:rsidRDefault="00F757DF" w:rsidP="00F757DF">
      <w:pPr>
        <w:pStyle w:val="List1"/>
      </w:pPr>
      <w:r w:rsidRPr="00B64D74">
        <w:rPr>
          <w:lang w:val="en"/>
        </w:rPr>
        <w:t>(d)</w:t>
      </w:r>
      <w:r w:rsidR="00B64D74" w:rsidRPr="00B64D74">
        <w:rPr>
          <w:lang w:val="en"/>
        </w:rPr>
        <w:t xml:space="preserve">  </w:t>
      </w:r>
      <w:r w:rsidR="00B64D74">
        <w:rPr>
          <w:lang w:val="en"/>
        </w:rPr>
        <w:t>The Assistant Secretary of the Army (</w:t>
      </w:r>
      <w:r w:rsidR="0067795C">
        <w:rPr>
          <w:lang w:val="en"/>
        </w:rPr>
        <w:t>Acquisition</w:t>
      </w:r>
      <w:r w:rsidR="00B64D74">
        <w:rPr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F757DF">
      <w:pPr>
        <w:pStyle w:val="Heading3"/>
      </w:pPr>
      <w:bookmarkStart w:id="17" w:name="_Toc39052638"/>
      <w:r w:rsidRPr="00C04B59">
        <w:t>5128.307  Insurance under cost-reimbursement contracts.</w:t>
      </w:r>
      <w:bookmarkEnd w:id="17"/>
    </w:p>
    <w:p w14:paraId="68612412" w14:textId="77777777" w:rsidR="00F757DF" w:rsidRPr="00C04B59" w:rsidRDefault="00C04B59" w:rsidP="00F757DF">
      <w:pPr>
        <w:pStyle w:val="Heading4"/>
      </w:pPr>
      <w:bookmarkStart w:id="18" w:name="_Toc39052639"/>
      <w:r w:rsidRPr="00C04B59">
        <w:t>5128.307-1  Group insurance plans.</w:t>
      </w:r>
      <w:bookmarkEnd w:id="18"/>
    </w:p>
    <w:p w14:paraId="3CBF9D01" w14:textId="020EC799" w:rsidR="00F7339A" w:rsidRDefault="00F757DF" w:rsidP="00F757DF">
      <w:pPr>
        <w:pStyle w:val="List1"/>
      </w:pPr>
      <w:r w:rsidRPr="00C04B59">
        <w:t>(a)</w:t>
      </w:r>
      <w:r w:rsidR="00C04B59" w:rsidRPr="00C04B59">
        <w:t xml:space="preserve">  </w:t>
      </w:r>
      <w:r w:rsidR="00C04B59" w:rsidRPr="00C04B59">
        <w:rPr>
          <w:i/>
        </w:rPr>
        <w:t>Prior approval requirement.</w:t>
      </w:r>
      <w:r w:rsidR="00C04B59" w:rsidRPr="00C04B59">
        <w:t xml:space="preserve">  Group insurance plans under cost-reimbursement contracts administered by the Army must be submitted for approval to the contracting officer.</w:t>
      </w:r>
    </w:p>
    <w:p w14:paraId="3CBF9D02" w14:textId="77777777" w:rsidR="00C04B59" w:rsidRPr="00C04B59" w:rsidRDefault="00C04B59" w:rsidP="00F757DF">
      <w:pPr>
        <w:pStyle w:val="Heading3"/>
      </w:pPr>
      <w:bookmarkStart w:id="19" w:name="_Toc39052640"/>
      <w:r w:rsidRPr="00C04B59">
        <w:t>5128.311  Solicitation provision and contract clause on liability insurance under cost-reimbursement contracts.</w:t>
      </w:r>
      <w:bookmarkEnd w:id="19"/>
    </w:p>
    <w:p w14:paraId="3CBF9D03" w14:textId="77777777" w:rsidR="00C04B59" w:rsidRPr="00C04B59" w:rsidRDefault="00C04B59" w:rsidP="00F757DF">
      <w:pPr>
        <w:pStyle w:val="Heading4"/>
      </w:pPr>
      <w:bookmarkStart w:id="20" w:name="_Toc39052641"/>
      <w:r w:rsidRPr="00C04B59">
        <w:t>5128.311-1  Contract clause.</w:t>
      </w:r>
      <w:bookmarkEnd w:id="20"/>
    </w:p>
    <w:p w14:paraId="3CBF9D04" w14:textId="40B6EF19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contracting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r w:rsidR="00FF2DF6">
        <w:rPr>
          <w:rFonts w:ascii="Times New Roman" w:hAnsi="Times New Roman" w:cs="Times New Roman"/>
          <w:sz w:val="24"/>
          <w:szCs w:val="24"/>
        </w:rPr>
        <w:t>Attorney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9275 Gunston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E25EB96" w14:textId="77777777" w:rsidR="00F757DF" w:rsidRPr="00D92F73" w:rsidRDefault="00D92F73" w:rsidP="00F757DF">
      <w:pPr>
        <w:pStyle w:val="Heading3"/>
      </w:pPr>
      <w:bookmarkStart w:id="21" w:name="_Toc39052642"/>
      <w:r w:rsidRPr="00D92F73">
        <w:t>5128.370  Additional clauses.</w:t>
      </w:r>
      <w:bookmarkEnd w:id="21"/>
    </w:p>
    <w:p w14:paraId="3CBF9D0B" w14:textId="2A787384" w:rsidR="001C0A1C" w:rsidRPr="00F44310" w:rsidRDefault="00F757DF" w:rsidP="00F757DF">
      <w:pPr>
        <w:pStyle w:val="List1"/>
      </w:pPr>
      <w:r>
        <w:t>(a)</w:t>
      </w:r>
      <w:r w:rsidR="00D92F73">
        <w:t xml:space="preserve">(2)  The head of the contracting activity makes the decision at DFARS 228.370(a)(2).  See Appendix GG for further delegation.  </w:t>
      </w:r>
    </w:p>
    <w:sectPr w:rsidR="001C0A1C" w:rsidRPr="00F4431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8790D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2430C"/>
    <w:rsid w:val="00557291"/>
    <w:rsid w:val="005B7238"/>
    <w:rsid w:val="00600BE7"/>
    <w:rsid w:val="00613964"/>
    <w:rsid w:val="00616F80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D607E"/>
    <w:rsid w:val="00CE5DFE"/>
    <w:rsid w:val="00D11536"/>
    <w:rsid w:val="00D32E7C"/>
    <w:rsid w:val="00D34D21"/>
    <w:rsid w:val="00D60578"/>
    <w:rsid w:val="00D87C56"/>
    <w:rsid w:val="00D91B80"/>
    <w:rsid w:val="00D92F73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57DF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B"/>
  </w:style>
  <w:style w:type="paragraph" w:styleId="Heading1">
    <w:name w:val="heading 1"/>
    <w:basedOn w:val="Normal"/>
    <w:next w:val="Normal"/>
    <w:link w:val="Heading1Char"/>
    <w:uiPriority w:val="9"/>
    <w:qFormat/>
    <w:rsid w:val="00F757D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757D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757DF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7795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7D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757DF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757D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757D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757D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757D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757D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F757DF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F757DF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F757DF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F757DF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757DF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757DF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757DF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757DF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F757DF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879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90D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CD607E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DASAP-90-493</_dlc_DocId>
    <_dlc_DocIdUrl xmlns="4d2834f2-6e62-48ef-822a-880d84868a39">
      <Url>https://spcs3.kc.army.mil/asaalt/ZPTeam/PPS/_layouts/15/DocIdRedir.aspx?ID=DASAP-90-493</Url>
      <Description>DASAP-90-493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36561-E60D-40EF-811D-74D84A37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4d2834f2-6e62-48ef-822a-880d84868a39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1BA410-72F3-4C06-A9C4-8D3C1B84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5128_Revision_27_01</dc:title>
  <dc:creator>Administrator</dc:creator>
  <cp:lastModifiedBy>Gregory Pangborn</cp:lastModifiedBy>
  <cp:revision>11</cp:revision>
  <cp:lastPrinted>2013-07-31T13:55:00Z</cp:lastPrinted>
  <dcterms:created xsi:type="dcterms:W3CDTF">2018-04-30T15:43:00Z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eb7a3e78-7664-4a0b-a7cd-9682292723bf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