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642BD9">
      <w:pPr>
        <w:pStyle w:val="Heading2"/>
      </w:pPr>
      <w:r w:rsidRPr="005006BB">
        <w:t>Service Contracting</w:t>
      </w:r>
    </w:p>
    <w:p w14:paraId="4DD5930F" w14:textId="097A35BA"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6B313E">
        <w:rPr>
          <w:rFonts w:ascii="Times New Roman" w:hAnsi="Times New Roman" w:cs="Times New Roman"/>
          <w:i/>
        </w:rPr>
        <w:t>31 March 2021</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642BD9">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642BD9">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642BD9">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0" w:name="_Toc536101147"/>
      <w:bookmarkStart w:id="1" w:name="_Toc7073983"/>
      <w:bookmarkStart w:id="2" w:name="_Toc7169912"/>
      <w:r w:rsidRPr="005006BB">
        <w:t>Subpart</w:t>
      </w:r>
      <w:r w:rsidRPr="00FF6B71">
        <w:t xml:space="preserve"> 5137.1 – Service Contracts – General</w:t>
      </w:r>
      <w:bookmarkEnd w:id="0"/>
      <w:bookmarkEnd w:id="1"/>
      <w:bookmarkEnd w:id="2"/>
    </w:p>
    <w:p w14:paraId="5317A3F7" w14:textId="6EF8C60B" w:rsidR="00B91930" w:rsidRDefault="00B91930" w:rsidP="005006BB">
      <w:pPr>
        <w:pStyle w:val="Heading4"/>
      </w:pPr>
      <w:bookmarkStart w:id="3" w:name="_Toc536101148"/>
      <w:bookmarkStart w:id="4" w:name="_Toc7073984"/>
      <w:bookmarkStart w:id="5" w:name="_Toc7169913"/>
      <w:r>
        <w:t>5137.102-</w:t>
      </w:r>
      <w:proofErr w:type="gramStart"/>
      <w:r>
        <w:t>90</w:t>
      </w:r>
      <w:r w:rsidR="0060724F">
        <w:t xml:space="preserve">  Policy</w:t>
      </w:r>
      <w:proofErr w:type="gramEnd"/>
      <w:r w:rsidR="0060724F">
        <w:t>.</w:t>
      </w:r>
      <w:bookmarkEnd w:id="3"/>
      <w:bookmarkEnd w:id="4"/>
      <w:bookmarkEnd w:id="5"/>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23A132A5" w14:textId="77777777" w:rsidR="00D0678D" w:rsidRPr="00FF6B71" w:rsidRDefault="00892149" w:rsidP="005006BB">
      <w:pPr>
        <w:pStyle w:val="Heading4"/>
      </w:pPr>
      <w:bookmarkStart w:id="6" w:name="_Toc536101149"/>
      <w:bookmarkStart w:id="7" w:name="_Toc7073985"/>
      <w:bookmarkStart w:id="8" w:name="_Toc7169914"/>
      <w:proofErr w:type="gramStart"/>
      <w:r w:rsidRPr="00FF6B71">
        <w:t xml:space="preserve">5137.104 </w:t>
      </w:r>
      <w:r w:rsidR="00394958">
        <w:t xml:space="preserve"> </w:t>
      </w:r>
      <w:r w:rsidRPr="00FF6B71">
        <w:t>Personal</w:t>
      </w:r>
      <w:proofErr w:type="gramEnd"/>
      <w:r w:rsidRPr="00FF6B71">
        <w:t xml:space="preserve"> services contracts.</w:t>
      </w:r>
      <w:bookmarkEnd w:id="6"/>
      <w:bookmarkEnd w:id="7"/>
      <w:bookmarkEnd w:id="8"/>
    </w:p>
    <w:p w14:paraId="4AB449BA" w14:textId="77777777"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Appendix GG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77777777"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Appendix GG for further delegation.</w:t>
      </w:r>
    </w:p>
    <w:p w14:paraId="54C0327B" w14:textId="6D1A4062"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9" w:name="_Toc536101150"/>
      <w:bookmarkStart w:id="10" w:name="_Toc7073986"/>
      <w:bookmarkStart w:id="11"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9"/>
      <w:bookmarkEnd w:id="10"/>
      <w:bookmarkEnd w:id="11"/>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2" w:name="_Toc536101151"/>
      <w:bookmarkStart w:id="13" w:name="_Toc7073987"/>
      <w:bookmarkStart w:id="14" w:name="_Toc7169916"/>
      <w:r>
        <w:t>5137.113-</w:t>
      </w:r>
      <w:proofErr w:type="gramStart"/>
      <w:r>
        <w:t xml:space="preserve">1 </w:t>
      </w:r>
      <w:r w:rsidR="00D91C61">
        <w:t xml:space="preserve"> </w:t>
      </w:r>
      <w:r>
        <w:t>Waiver</w:t>
      </w:r>
      <w:proofErr w:type="gramEnd"/>
      <w:r>
        <w:t xml:space="preserve"> of cost allowability limitations.</w:t>
      </w:r>
      <w:bookmarkEnd w:id="12"/>
      <w:bookmarkEnd w:id="13"/>
      <w:bookmarkEnd w:id="14"/>
    </w:p>
    <w:p w14:paraId="36E4EFEC" w14:textId="620AD0CC"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Appendix GG for further delegation.</w:t>
      </w:r>
    </w:p>
    <w:p w14:paraId="00F60664" w14:textId="77777777" w:rsidR="00D0678D" w:rsidRPr="00FF6B71" w:rsidRDefault="000776F1" w:rsidP="005006BB">
      <w:pPr>
        <w:pStyle w:val="Heading4"/>
      </w:pPr>
      <w:bookmarkStart w:id="15" w:name="_Toc536101152"/>
      <w:bookmarkStart w:id="16" w:name="_Toc7073988"/>
      <w:bookmarkStart w:id="17"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5"/>
      <w:bookmarkEnd w:id="16"/>
      <w:bookmarkEnd w:id="17"/>
    </w:p>
    <w:p w14:paraId="795FCC44" w14:textId="77777777" w:rsidR="00D0678D" w:rsidRPr="00FF6B71" w:rsidRDefault="00BC309D" w:rsidP="005006BB">
      <w:pPr>
        <w:pStyle w:val="Heading4"/>
      </w:pPr>
      <w:bookmarkStart w:id="18" w:name="_Toc536101153"/>
      <w:bookmarkStart w:id="19" w:name="_Toc7073989"/>
      <w:bookmarkStart w:id="20" w:name="_Toc7169918"/>
      <w:r w:rsidRPr="00FF6B71">
        <w:lastRenderedPageBreak/>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18"/>
      <w:bookmarkEnd w:id="19"/>
      <w:bookmarkEnd w:id="20"/>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4DDFD601"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Appendix GG for further delegation.</w:t>
      </w:r>
    </w:p>
    <w:p w14:paraId="54215E85" w14:textId="1CA6B4D7"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See Appendix GG for further delegation.</w:t>
      </w:r>
    </w:p>
    <w:p w14:paraId="38BD7C8C" w14:textId="77777777" w:rsidR="007F05E0" w:rsidRPr="00FF6B71" w:rsidRDefault="00BC309D" w:rsidP="005006BB">
      <w:pPr>
        <w:pStyle w:val="Heading3"/>
      </w:pPr>
      <w:bookmarkStart w:id="21" w:name="_Toc536101154"/>
      <w:bookmarkStart w:id="22" w:name="_Toc7073990"/>
      <w:bookmarkStart w:id="23" w:name="_Toc7169919"/>
      <w:r w:rsidRPr="00FF6B71">
        <w:t>Subpart 5137.2 – Advisory and Assistance Services</w:t>
      </w:r>
      <w:bookmarkEnd w:id="21"/>
      <w:bookmarkEnd w:id="22"/>
      <w:bookmarkEnd w:id="23"/>
    </w:p>
    <w:p w14:paraId="585FCE7D" w14:textId="77777777" w:rsidR="00316F0B" w:rsidRDefault="000776F1" w:rsidP="005006BB">
      <w:pPr>
        <w:pStyle w:val="Heading4"/>
      </w:pPr>
      <w:bookmarkStart w:id="24" w:name="_Toc536101155"/>
      <w:bookmarkStart w:id="25" w:name="_Toc7073991"/>
      <w:bookmarkStart w:id="26"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4"/>
      <w:bookmarkEnd w:id="25"/>
      <w:bookmarkEnd w:id="26"/>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006BB">
      <w:pPr>
        <w:pStyle w:val="Heading3"/>
      </w:pPr>
      <w:bookmarkStart w:id="27" w:name="_Toc536101156"/>
      <w:bookmarkStart w:id="28" w:name="_Toc7073992"/>
      <w:bookmarkStart w:id="29" w:name="_Toc7169921"/>
      <w:r w:rsidRPr="00E52364">
        <w:t xml:space="preserve">Subpart 5137.5 – </w:t>
      </w:r>
      <w:r w:rsidR="00206CF3">
        <w:t xml:space="preserve">Management Oversight of </w:t>
      </w:r>
      <w:r w:rsidR="00153E81">
        <w:t>Service</w:t>
      </w:r>
      <w:r w:rsidR="00206CF3">
        <w:t xml:space="preserve"> Contracts</w:t>
      </w:r>
      <w:bookmarkEnd w:id="27"/>
      <w:bookmarkEnd w:id="28"/>
      <w:bookmarkEnd w:id="29"/>
    </w:p>
    <w:p w14:paraId="6DB155F9" w14:textId="77777777" w:rsidR="004F6ED2" w:rsidRDefault="004F6ED2" w:rsidP="005006BB">
      <w:pPr>
        <w:pStyle w:val="Heading4"/>
      </w:pPr>
      <w:bookmarkStart w:id="30" w:name="_Toc536101157"/>
      <w:bookmarkStart w:id="31" w:name="_Toc7073993"/>
      <w:bookmarkStart w:id="32" w:name="_Toc7169922"/>
      <w:proofErr w:type="gramStart"/>
      <w:r>
        <w:t xml:space="preserve">5137.503 </w:t>
      </w:r>
      <w:r w:rsidR="00686894">
        <w:t xml:space="preserve"> </w:t>
      </w:r>
      <w:r>
        <w:t>Agency</w:t>
      </w:r>
      <w:proofErr w:type="gramEnd"/>
      <w:r>
        <w:t>-head responsibilities</w:t>
      </w:r>
      <w:r w:rsidR="00D91C61">
        <w:t>.</w:t>
      </w:r>
      <w:bookmarkEnd w:id="30"/>
      <w:bookmarkEnd w:id="31"/>
      <w:bookmarkEnd w:id="32"/>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3" w:name="_Toc536101158"/>
      <w:bookmarkStart w:id="34" w:name="_Toc7073994"/>
      <w:bookmarkStart w:id="35"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3"/>
      <w:bookmarkEnd w:id="34"/>
      <w:bookmarkEnd w:id="35"/>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6" w:name="_Toc536101159"/>
      <w:bookmarkStart w:id="37" w:name="_Toc7073995"/>
      <w:bookmarkStart w:id="38"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6"/>
      <w:bookmarkEnd w:id="37"/>
      <w:bookmarkEnd w:id="38"/>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DoDI 5000.74, Defense Acquisition of Services, section 2 for applicability of the instruction</w:t>
      </w:r>
      <w:r w:rsidR="00320665">
        <w:t xml:space="preserve"> and this subpart</w:t>
      </w:r>
      <w:r w:rsidR="00191178">
        <w:t>.</w:t>
      </w:r>
    </w:p>
    <w:p w14:paraId="015585B6" w14:textId="008AC194"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39" w:name="_Toc536101160"/>
      <w:bookmarkStart w:id="40" w:name="_Toc7073996"/>
      <w:bookmarkStart w:id="41"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39"/>
      <w:bookmarkEnd w:id="40"/>
      <w:bookmarkEnd w:id="41"/>
    </w:p>
    <w:p w14:paraId="267A12D7" w14:textId="1C79AEBA"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r w:rsidR="00200B61">
        <w:rPr>
          <w:rFonts w:ascii="Times New Roman" w:hAnsi="Times New Roman" w:cs="Times New Roman"/>
        </w:rPr>
        <w:t xml:space="preserve">DoDI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See Appendix GG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lastRenderedPageBreak/>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2" w:name="_Toc536101161"/>
      <w:bookmarkStart w:id="43" w:name="_Toc7073997"/>
    </w:p>
    <w:p w14:paraId="7D40BAFF" w14:textId="0907D914" w:rsidR="00F20981" w:rsidRDefault="00274586" w:rsidP="005006BB">
      <w:pPr>
        <w:pStyle w:val="Heading4"/>
      </w:pPr>
      <w:bookmarkStart w:id="44"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2"/>
      <w:bookmarkEnd w:id="43"/>
      <w:bookmarkEnd w:id="44"/>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5" w:name="_Toc7073998"/>
      <w:bookmarkStart w:id="46"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5"/>
      <w:r w:rsidR="00B0712D">
        <w:t>Reserved</w:t>
      </w:r>
      <w:proofErr w:type="gramEnd"/>
      <w:r w:rsidR="00B0712D">
        <w:t>.</w:t>
      </w:r>
      <w:bookmarkEnd w:id="46"/>
    </w:p>
    <w:p w14:paraId="2E5A6989" w14:textId="77777777" w:rsidR="00B0712D" w:rsidRPr="00556629" w:rsidRDefault="00B0712D" w:rsidP="00B0712D"/>
    <w:p w14:paraId="2723C6C0" w14:textId="17EF8DCB" w:rsidR="00274586" w:rsidRPr="007A470E" w:rsidRDefault="00274586" w:rsidP="007A470E">
      <w:pPr>
        <w:pStyle w:val="Heading4"/>
      </w:pPr>
      <w:bookmarkStart w:id="47" w:name="_Toc536101162"/>
      <w:bookmarkStart w:id="48" w:name="_Toc7073999"/>
      <w:bookmarkStart w:id="49"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7"/>
      <w:bookmarkEnd w:id="48"/>
      <w:bookmarkEnd w:id="49"/>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lastRenderedPageBreak/>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77777777"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spellStart"/>
      <w:r>
        <w:t>effiencies</w:t>
      </w:r>
      <w:proofErr w:type="spellEnd"/>
      <w:r>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lastRenderedPageBreak/>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lastRenderedPageBreak/>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0" w:name="_Toc536101163"/>
      <w:bookmarkStart w:id="51" w:name="_Toc7074000"/>
      <w:bookmarkStart w:id="52"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0"/>
      <w:bookmarkEnd w:id="51"/>
      <w:bookmarkEnd w:id="52"/>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505F286A"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006BB">
      <w:pPr>
        <w:pStyle w:val="Heading3"/>
      </w:pPr>
      <w:bookmarkStart w:id="53" w:name="_Toc536101164"/>
      <w:bookmarkStart w:id="54" w:name="_Toc7074001"/>
      <w:bookmarkStart w:id="55" w:name="_Toc7169930"/>
      <w:r w:rsidRPr="00FF6B71">
        <w:t>Subpart 5137.72 – Educational Service Agreements</w:t>
      </w:r>
      <w:bookmarkEnd w:id="53"/>
      <w:bookmarkEnd w:id="54"/>
      <w:bookmarkEnd w:id="55"/>
    </w:p>
    <w:p w14:paraId="24942A75" w14:textId="77777777" w:rsidR="00D0678D" w:rsidRPr="00FF6B71" w:rsidRDefault="000776F1" w:rsidP="005006BB">
      <w:pPr>
        <w:pStyle w:val="Heading4"/>
      </w:pPr>
      <w:bookmarkStart w:id="56" w:name="_Toc536101165"/>
      <w:bookmarkStart w:id="57" w:name="_Toc7074002"/>
      <w:bookmarkStart w:id="58"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6"/>
      <w:bookmarkEnd w:id="57"/>
      <w:bookmarkEnd w:id="58"/>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59" w:name="_Toc536101166"/>
      <w:bookmarkStart w:id="60" w:name="_Toc7074003"/>
      <w:bookmarkStart w:id="61"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59"/>
      <w:bookmarkEnd w:id="60"/>
      <w:bookmarkEnd w:id="61"/>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2" w:name="_Toc536101167"/>
      <w:bookmarkStart w:id="63" w:name="_Toc7074004"/>
      <w:bookmarkStart w:id="64" w:name="_Toc7169933"/>
      <w:r w:rsidRPr="00FF6B71">
        <w:lastRenderedPageBreak/>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2"/>
      <w:bookmarkEnd w:id="63"/>
      <w:bookmarkEnd w:id="64"/>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r w:rsidRPr="00FF6B71">
        <w:rPr>
          <w:rFonts w:ascii="Times New Roman" w:hAnsi="Times New Roman" w:cs="Times New Roman"/>
        </w:rPr>
        <w:t>1)-(4).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5" w:name="_Toc536101168"/>
      <w:bookmarkStart w:id="66" w:name="_Toc7074005"/>
      <w:bookmarkStart w:id="67"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5"/>
      <w:bookmarkEnd w:id="66"/>
      <w:bookmarkEnd w:id="67"/>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lastRenderedPageBreak/>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68" w:name="_Toc536101169"/>
      <w:bookmarkStart w:id="69" w:name="_Toc7074006"/>
      <w:bookmarkStart w:id="70"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68"/>
      <w:bookmarkEnd w:id="69"/>
      <w:bookmarkEnd w:id="70"/>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1" w:name="_Toc536101170"/>
      <w:bookmarkStart w:id="72" w:name="_Toc7074007"/>
      <w:bookmarkStart w:id="73"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1"/>
      <w:bookmarkEnd w:id="72"/>
      <w:bookmarkEnd w:id="73"/>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lastRenderedPageBreak/>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4" w:name="_Toc536101171"/>
      <w:bookmarkStart w:id="75" w:name="_Toc7074008"/>
      <w:bookmarkStart w:id="76" w:name="_Toc7169937"/>
      <w:r>
        <w:t>Subpart 5137.74 – Services at Installations Being Closed</w:t>
      </w:r>
      <w:bookmarkEnd w:id="74"/>
      <w:bookmarkEnd w:id="75"/>
      <w:bookmarkEnd w:id="76"/>
    </w:p>
    <w:p w14:paraId="045D7195" w14:textId="5CB23D7F" w:rsidR="00F9652B" w:rsidRDefault="00F9652B" w:rsidP="005006BB">
      <w:pPr>
        <w:pStyle w:val="Heading4"/>
      </w:pPr>
      <w:bookmarkStart w:id="77" w:name="_Toc536101172"/>
      <w:bookmarkStart w:id="78" w:name="_Toc7074009"/>
      <w:bookmarkStart w:id="79" w:name="_Toc7169938"/>
      <w:proofErr w:type="gramStart"/>
      <w:r>
        <w:t>5137.7401  Policy</w:t>
      </w:r>
      <w:proofErr w:type="gramEnd"/>
      <w:r>
        <w:t>.</w:t>
      </w:r>
      <w:bookmarkEnd w:id="77"/>
      <w:bookmarkEnd w:id="78"/>
      <w:bookmarkEnd w:id="79"/>
    </w:p>
    <w:p w14:paraId="644FD25C" w14:textId="257A6137" w:rsidR="00F9652B" w:rsidRPr="005006BB" w:rsidRDefault="00F9652B" w:rsidP="005006BB">
      <w:pPr>
        <w:rPr>
          <w:rFonts w:ascii="Times New Roman" w:hAnsi="Times New Roman" w:cs="Times New Roman"/>
          <w:b/>
        </w:rPr>
      </w:pPr>
      <w:r w:rsidRPr="005006BB">
        <w:rPr>
          <w:rFonts w:ascii="Times New Roman" w:hAnsi="Times New Roman" w:cs="Times New Roman"/>
        </w:rPr>
        <w:t>(c)  The head of the contracting activity makes the determination at DFARS 237.7401(c).  See Appendix GG for further delegation.</w:t>
      </w:r>
    </w:p>
    <w:p w14:paraId="634625A8" w14:textId="77777777" w:rsidR="00D0678D" w:rsidRPr="00FF6B71" w:rsidRDefault="00BC309D" w:rsidP="005006BB">
      <w:pPr>
        <w:pStyle w:val="Heading3"/>
      </w:pPr>
      <w:bookmarkStart w:id="80" w:name="_Toc536101173"/>
      <w:bookmarkStart w:id="81" w:name="_Toc7074010"/>
      <w:bookmarkStart w:id="82" w:name="_Toc7169939"/>
      <w:r w:rsidRPr="00FF6B71">
        <w:t>Subpart 5137.9</w:t>
      </w:r>
      <w:r w:rsidR="008311D0">
        <w:t>0</w:t>
      </w:r>
      <w:r w:rsidRPr="00FF6B71">
        <w:t xml:space="preserve"> – Security Clearances and Identification for Contractor Personnel</w:t>
      </w:r>
      <w:bookmarkEnd w:id="80"/>
      <w:bookmarkEnd w:id="81"/>
      <w:bookmarkEnd w:id="82"/>
    </w:p>
    <w:p w14:paraId="151F91A6" w14:textId="77777777" w:rsidR="00D0678D" w:rsidRPr="00FF6B71" w:rsidRDefault="000776F1" w:rsidP="005006BB">
      <w:pPr>
        <w:pStyle w:val="Heading4"/>
      </w:pPr>
      <w:bookmarkStart w:id="83" w:name="_Toc536101174"/>
      <w:bookmarkStart w:id="84" w:name="_Toc7074011"/>
      <w:bookmarkStart w:id="85"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3"/>
      <w:bookmarkEnd w:id="84"/>
      <w:bookmarkEnd w:id="85"/>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6" w:name="_Toc536101175"/>
      <w:bookmarkStart w:id="87" w:name="_Toc7074012"/>
      <w:bookmarkStart w:id="88" w:name="_Toc7169941"/>
      <w:r w:rsidRPr="00FF6B71">
        <w:t>Subpart 5137.9</w:t>
      </w:r>
      <w:r w:rsidR="008311D0">
        <w:t>1</w:t>
      </w:r>
      <w:r w:rsidRPr="00FF6B71">
        <w:t xml:space="preserve"> – Accounting for Contract Services</w:t>
      </w:r>
      <w:bookmarkEnd w:id="86"/>
      <w:bookmarkEnd w:id="87"/>
      <w:bookmarkEnd w:id="88"/>
    </w:p>
    <w:p w14:paraId="04C990C9" w14:textId="42DD229B" w:rsidR="00D0678D" w:rsidRPr="00FF6B71" w:rsidRDefault="000776F1" w:rsidP="005006BB">
      <w:pPr>
        <w:pStyle w:val="Heading4"/>
      </w:pPr>
      <w:bookmarkStart w:id="89" w:name="_Toc536101176"/>
      <w:bookmarkStart w:id="90" w:name="_Toc7074013"/>
      <w:bookmarkStart w:id="91"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89"/>
      <w:bookmarkEnd w:id="90"/>
      <w:bookmarkEnd w:id="91"/>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7A34EABF"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w:t>
      </w:r>
      <w:r w:rsidR="006B313E" w:rsidRPr="00114BF0">
        <w:t>Report all services contracts that meet the threshold outlined in FAR 4.1703 – Reporting Requirements.</w:t>
      </w:r>
      <w:r w:rsidR="00E52F64">
        <w:rPr>
          <w:rFonts w:cs="Times New Roman"/>
        </w:rPr>
        <w:t xml:space="preserve"> </w:t>
      </w:r>
      <w:r w:rsidRPr="00FF6B71">
        <w:rPr>
          <w:rFonts w:cs="Times New Roman"/>
        </w:rPr>
        <w:t xml:space="preserve"> The list of contracts for which reporting is not applicable is located on the </w:t>
      </w:r>
      <w:r w:rsidR="00736C2D" w:rsidRPr="00FF6B71">
        <w:rPr>
          <w:rFonts w:cs="Times New Roman"/>
        </w:rPr>
        <w:t xml:space="preserve">Assistant Secretary of the Army Manpower </w:t>
      </w:r>
      <w:r w:rsidR="00E52F64">
        <w:rPr>
          <w:rFonts w:cs="Times New Roman"/>
        </w:rPr>
        <w:t>and</w:t>
      </w:r>
      <w:r w:rsidR="00E52F64" w:rsidRPr="00FF6B71">
        <w:rPr>
          <w:rFonts w:cs="Times New Roman"/>
        </w:rPr>
        <w:t xml:space="preserve"> </w:t>
      </w:r>
      <w:r w:rsidR="00736C2D" w:rsidRPr="00FF6B71">
        <w:rPr>
          <w:rFonts w:cs="Times New Roman"/>
        </w:rPr>
        <w:t>Reserve Affairs (</w:t>
      </w:r>
      <w:r w:rsidRPr="00FF6B71">
        <w:rPr>
          <w:rFonts w:cs="Times New Roman"/>
        </w:rPr>
        <w:t>ASA</w:t>
      </w:r>
      <w:r w:rsidR="003E70A3">
        <w:rPr>
          <w:rFonts w:cs="Times New Roman"/>
        </w:rPr>
        <w:t>(</w:t>
      </w:r>
      <w:r w:rsidRPr="00FF6B71">
        <w:rPr>
          <w:rFonts w:cs="Times New Roman"/>
        </w:rPr>
        <w:t>M&amp;RA</w:t>
      </w:r>
      <w:r w:rsidR="003E70A3">
        <w:rPr>
          <w:rFonts w:cs="Times New Roman"/>
        </w:rPr>
        <w:t>)</w:t>
      </w:r>
      <w:r w:rsidRPr="00FF6B71">
        <w:rPr>
          <w:rFonts w:cs="Times New Roman"/>
        </w:rPr>
        <w:t>) website</w:t>
      </w:r>
      <w:r w:rsidR="002954D7">
        <w:rPr>
          <w:rFonts w:cs="Times New Roman"/>
        </w:rPr>
        <w:t xml:space="preserve"> </w:t>
      </w:r>
      <w:hyperlink r:id="rId11" w:history="1">
        <w:r w:rsidR="00F930A4" w:rsidRPr="002B03C8">
          <w:rPr>
            <w:rStyle w:val="Hyperlink"/>
          </w:rPr>
          <w:t>http://www.asamra.army.mil/scra/documents/ServicesContractApprovalForm.pdf</w:t>
        </w:r>
      </w:hyperlink>
      <w:r w:rsidR="002954D7">
        <w:rPr>
          <w:rFonts w:cs="Times New Roman"/>
        </w:rPr>
        <w:t>.</w:t>
      </w:r>
      <w:r w:rsidR="00F930A4">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12"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lastRenderedPageBreak/>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13"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14"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15"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8C0D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CC95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A6C7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660B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CC7A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CC2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A0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2C0A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64C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6E90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2BD9"/>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2">
    <w:name w:val="heading 2"/>
    <w:basedOn w:val="Normal"/>
    <w:next w:val="Normal"/>
    <w:link w:val="Heading2Char"/>
    <w:uiPriority w:val="99"/>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M.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am.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5" Type="http://schemas.openxmlformats.org/officeDocument/2006/relationships/hyperlink" Target="https://www.ecmra.mil/" TargetMode="Externa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4.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B0241B88-64E6-4515-AFBE-F4A6D12F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Jacob Yeager</cp:lastModifiedBy>
  <cp:revision>3</cp:revision>
  <cp:lastPrinted>2019-01-08T19:52:00Z</cp:lastPrinted>
  <dcterms:created xsi:type="dcterms:W3CDTF">2021-03-31T14:47:00Z</dcterms:created>
  <dcterms:modified xsi:type="dcterms:W3CDTF">2021-04-19T18:03:00Z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