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3FA6" w14:textId="1D7BD58C" w:rsidR="00934719" w:rsidRDefault="00C972A6" w:rsidP="00C972A6">
      <w:pPr>
        <w:pStyle w:val="Heading1"/>
      </w:pPr>
      <w:r w:rsidRPr="00C972A6">
        <w:t>AFARS – PART 5107</w:t>
      </w:r>
      <w:r w:rsidRPr="00C972A6">
        <w:br/>
      </w:r>
      <w:r w:rsidR="00017E3A">
        <w:t>Acquisition Planning</w:t>
      </w:r>
    </w:p>
    <w:p w14:paraId="47163FA7" w14:textId="139E88BD" w:rsidR="00934719" w:rsidRDefault="00017E3A">
      <w:pPr>
        <w:jc w:val="center"/>
      </w:pPr>
      <w:r>
        <w:rPr>
          <w:rFonts w:ascii="Times New Roman" w:hAnsi="Times New Roman" w:cs="Times New Roman"/>
          <w:i/>
          <w:iCs/>
          <w:sz w:val="24"/>
          <w:szCs w:val="24"/>
        </w:rPr>
        <w:t xml:space="preserve">(Revised </w:t>
      </w:r>
      <w:r w:rsidR="00CE462A">
        <w:rPr>
          <w:rFonts w:ascii="Times New Roman" w:hAnsi="Times New Roman" w:cs="Times New Roman"/>
          <w:i/>
          <w:iCs/>
          <w:sz w:val="24"/>
          <w:szCs w:val="24"/>
        </w:rPr>
        <w:t>28 April 2020</w:t>
      </w:r>
      <w:r>
        <w:rPr>
          <w:rFonts w:ascii="Times New Roman" w:hAnsi="Times New Roman" w:cs="Times New Roman"/>
          <w:i/>
          <w:iCs/>
          <w:sz w:val="24"/>
          <w:szCs w:val="24"/>
        </w:rPr>
        <w:t>)</w:t>
      </w:r>
    </w:p>
    <w:p w14:paraId="47163FA8" w14:textId="1C4931C3" w:rsidR="00934719" w:rsidRDefault="00962212">
      <w:pPr>
        <w:pStyle w:val="TOC3"/>
      </w:pPr>
      <w:hyperlink w:anchor="_Toc1567884" w:history="1">
        <w:r w:rsidR="00017E3A">
          <w:rPr>
            <w:rStyle w:val="Hyperlink"/>
            <w:rFonts w:ascii="Times New Roman" w:hAnsi="Times New Roman" w:cs="Times New Roman"/>
            <w:sz w:val="24"/>
            <w:szCs w:val="24"/>
          </w:rPr>
          <w:t>Subpart 5107.1 – Acquisition Plan</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A9" w14:textId="70C3DAF1" w:rsidR="00934719" w:rsidRDefault="00962212">
      <w:pPr>
        <w:pStyle w:val="TOC4"/>
      </w:pPr>
      <w:hyperlink w:anchor="_Toc1567885" w:history="1">
        <w:r w:rsidR="00017E3A">
          <w:rPr>
            <w:rStyle w:val="Hyperlink"/>
            <w:rFonts w:ascii="Times New Roman" w:hAnsi="Times New Roman" w:cs="Times New Roman"/>
            <w:sz w:val="24"/>
            <w:szCs w:val="24"/>
          </w:rPr>
          <w:t>5107.103  Agency-head responsibilitie</w:t>
        </w:r>
        <w:r w:rsidR="00C972A6">
          <w:rPr>
            <w:rStyle w:val="Hyperlink"/>
            <w:rFonts w:ascii="Times New Roman" w:hAnsi="Times New Roman" w:cs="Times New Roman"/>
            <w:sz w:val="24"/>
            <w:szCs w:val="24"/>
          </w:rPr>
          <w:t>s.</w:t>
        </w:r>
      </w:hyperlink>
    </w:p>
    <w:p w14:paraId="47163FAA" w14:textId="49636C00" w:rsidR="00934719" w:rsidRDefault="00962212">
      <w:pPr>
        <w:pStyle w:val="TOC4"/>
      </w:pPr>
      <w:hyperlink w:anchor="_Toc1567886" w:history="1">
        <w:r w:rsidR="00017E3A">
          <w:rPr>
            <w:rStyle w:val="Hyperlink"/>
            <w:rFonts w:ascii="Times New Roman" w:hAnsi="Times New Roman" w:cs="Times New Roman"/>
            <w:sz w:val="24"/>
            <w:szCs w:val="24"/>
          </w:rPr>
          <w:t>5107.103-90  Acquisition plan approval</w:t>
        </w:r>
        <w:r w:rsidR="00C972A6">
          <w:rPr>
            <w:rStyle w:val="Hyperlink"/>
            <w:rFonts w:ascii="Times New Roman" w:hAnsi="Times New Roman" w:cs="Times New Roman"/>
            <w:sz w:val="24"/>
            <w:szCs w:val="24"/>
          </w:rPr>
          <w:t>s.</w:t>
        </w:r>
      </w:hyperlink>
    </w:p>
    <w:p w14:paraId="47163FAB" w14:textId="2E4443B2" w:rsidR="00934719" w:rsidRDefault="00962212">
      <w:pPr>
        <w:pStyle w:val="TOC4"/>
      </w:pPr>
      <w:hyperlink w:anchor="_Toc1567887" w:history="1">
        <w:r w:rsidR="00017E3A">
          <w:rPr>
            <w:rStyle w:val="Hyperlink"/>
            <w:rFonts w:ascii="Times New Roman" w:hAnsi="Times New Roman" w:cs="Times New Roman"/>
            <w:sz w:val="24"/>
            <w:szCs w:val="24"/>
          </w:rPr>
          <w:t>5107.104  General procedure</w:t>
        </w:r>
        <w:r w:rsidR="00C972A6">
          <w:rPr>
            <w:rStyle w:val="Hyperlink"/>
            <w:rFonts w:ascii="Times New Roman" w:hAnsi="Times New Roman" w:cs="Times New Roman"/>
            <w:sz w:val="24"/>
            <w:szCs w:val="24"/>
          </w:rPr>
          <w:t>s.</w:t>
        </w:r>
      </w:hyperlink>
    </w:p>
    <w:p w14:paraId="47163FAC" w14:textId="12BCDCBF" w:rsidR="00934719" w:rsidRDefault="00962212">
      <w:pPr>
        <w:pStyle w:val="TOC4"/>
      </w:pPr>
      <w:hyperlink w:anchor="_Toc1567888" w:history="1">
        <w:r w:rsidR="00017E3A">
          <w:rPr>
            <w:rStyle w:val="Hyperlink"/>
            <w:rFonts w:ascii="Times New Roman" w:hAnsi="Times New Roman" w:cs="Times New Roman"/>
            <w:sz w:val="24"/>
            <w:szCs w:val="24"/>
          </w:rPr>
          <w:t xml:space="preserve">5107.105  </w:t>
        </w:r>
        <w:r w:rsidR="00017E3A">
          <w:rPr>
            <w:rStyle w:val="Hyperlink"/>
            <w:rFonts w:ascii="Times New Roman" w:hAnsi="Times New Roman" w:cs="Times New Roman"/>
            <w:sz w:val="24"/>
            <w:szCs w:val="24"/>
            <w:lang w:val="en"/>
          </w:rPr>
          <w:t>Contents of written acquisition plan</w:t>
        </w:r>
        <w:r w:rsidR="00C972A6">
          <w:rPr>
            <w:rStyle w:val="Hyperlink"/>
            <w:rFonts w:ascii="Times New Roman" w:hAnsi="Times New Roman" w:cs="Times New Roman"/>
            <w:sz w:val="24"/>
            <w:szCs w:val="24"/>
            <w:lang w:val="en"/>
          </w:rPr>
          <w:t>s.</w:t>
        </w:r>
      </w:hyperlink>
    </w:p>
    <w:p w14:paraId="47163FAD" w14:textId="64DCDAEE" w:rsidR="00934719" w:rsidRDefault="00962212">
      <w:pPr>
        <w:pStyle w:val="TOC4"/>
      </w:pPr>
      <w:hyperlink w:anchor="_Toc1567889" w:history="1">
        <w:r w:rsidR="00017E3A">
          <w:rPr>
            <w:rStyle w:val="Hyperlink"/>
            <w:rFonts w:ascii="Times New Roman" w:hAnsi="Times New Roman" w:cs="Times New Roman"/>
            <w:sz w:val="24"/>
            <w:szCs w:val="24"/>
            <w:lang w:val="en"/>
          </w:rPr>
          <w:t>5107.107  Additional requirements for acquisitions involving consolidation, bundling, or substantial bundlin</w:t>
        </w:r>
        <w:r w:rsidR="00C972A6">
          <w:rPr>
            <w:rStyle w:val="Hyperlink"/>
            <w:rFonts w:ascii="Times New Roman" w:hAnsi="Times New Roman" w:cs="Times New Roman"/>
            <w:sz w:val="24"/>
            <w:szCs w:val="24"/>
            <w:lang w:val="en"/>
          </w:rPr>
          <w:t>g.</w:t>
        </w:r>
      </w:hyperlink>
    </w:p>
    <w:p w14:paraId="47163FAE" w14:textId="4A80F998" w:rsidR="00934719" w:rsidRDefault="00962212">
      <w:pPr>
        <w:pStyle w:val="TOC4"/>
      </w:pPr>
      <w:hyperlink w:anchor="_Toc1567890" w:history="1">
        <w:r w:rsidR="00017E3A">
          <w:rPr>
            <w:rStyle w:val="Hyperlink"/>
            <w:rFonts w:ascii="Times New Roman" w:hAnsi="Times New Roman" w:cs="Times New Roman"/>
            <w:sz w:val="24"/>
            <w:szCs w:val="24"/>
          </w:rPr>
          <w:t>5107.107-2  Consolidatio</w:t>
        </w:r>
        <w:r w:rsidR="00C972A6">
          <w:rPr>
            <w:rStyle w:val="Hyperlink"/>
            <w:rFonts w:ascii="Times New Roman" w:hAnsi="Times New Roman" w:cs="Times New Roman"/>
            <w:sz w:val="24"/>
            <w:szCs w:val="24"/>
          </w:rPr>
          <w:t>n.</w:t>
        </w:r>
      </w:hyperlink>
    </w:p>
    <w:p w14:paraId="47163FAF" w14:textId="7C098242" w:rsidR="00934719" w:rsidRDefault="00962212">
      <w:pPr>
        <w:pStyle w:val="TOC3"/>
      </w:pPr>
      <w:hyperlink w:anchor="_Toc1567891" w:history="1">
        <w:r w:rsidR="00017E3A">
          <w:rPr>
            <w:rStyle w:val="Hyperlink"/>
            <w:rFonts w:ascii="Times New Roman" w:hAnsi="Times New Roman" w:cs="Times New Roman"/>
            <w:sz w:val="24"/>
            <w:szCs w:val="24"/>
          </w:rPr>
          <w:t>Subpart 5107.2 – Planning for the Purchase of Supplies in Economic Quantitie</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B0" w14:textId="6FFDA785" w:rsidR="00934719" w:rsidRDefault="00962212">
      <w:pPr>
        <w:pStyle w:val="TOC4"/>
      </w:pPr>
      <w:hyperlink w:anchor="_Toc1567892" w:history="1">
        <w:r w:rsidR="00017E3A">
          <w:rPr>
            <w:rStyle w:val="Hyperlink"/>
            <w:rFonts w:ascii="Times New Roman" w:hAnsi="Times New Roman" w:cs="Times New Roman"/>
            <w:sz w:val="24"/>
            <w:szCs w:val="24"/>
          </w:rPr>
          <w:t>5107.204  Responsibilities of contracting officer</w:t>
        </w:r>
        <w:r w:rsidR="00C972A6">
          <w:rPr>
            <w:rStyle w:val="Hyperlink"/>
            <w:rFonts w:ascii="Times New Roman" w:hAnsi="Times New Roman" w:cs="Times New Roman"/>
            <w:sz w:val="24"/>
            <w:szCs w:val="24"/>
          </w:rPr>
          <w:t>s.</w:t>
        </w:r>
      </w:hyperlink>
    </w:p>
    <w:p w14:paraId="47163FB1" w14:textId="4385430D" w:rsidR="00934719" w:rsidRDefault="00962212">
      <w:pPr>
        <w:pStyle w:val="TOC3"/>
      </w:pPr>
      <w:hyperlink w:anchor="_Toc1567893" w:history="1">
        <w:r w:rsidR="00017E3A">
          <w:rPr>
            <w:rStyle w:val="Hyperlink"/>
            <w:rFonts w:ascii="Times New Roman" w:hAnsi="Times New Roman" w:cs="Times New Roman"/>
            <w:sz w:val="24"/>
            <w:szCs w:val="24"/>
          </w:rPr>
          <w:t>Subpart 5107.3 – Contractor Versus Government Performanc</w:t>
        </w:r>
        <w:r w:rsidR="00C972A6">
          <w:rPr>
            <w:rStyle w:val="Hyperlink"/>
            <w:rFonts w:ascii="Times New Roman" w:hAnsi="Times New Roman" w:cs="Times New Roman"/>
            <w:sz w:val="24"/>
            <w:szCs w:val="24"/>
          </w:rPr>
          <w:t>e</w:t>
        </w:r>
        <w:r w:rsidR="00C972A6">
          <w:rPr>
            <w:rStyle w:val="Hyperlink"/>
            <w:rFonts w:ascii="Times New Roman" w:hAnsi="Times New Roman" w:cs="Times New Roman"/>
            <w:vanish/>
            <w:color w:val="auto"/>
            <w:sz w:val="24"/>
            <w:szCs w:val="24"/>
            <w:u w:val="none"/>
          </w:rPr>
          <w:t>.</w:t>
        </w:r>
      </w:hyperlink>
    </w:p>
    <w:p w14:paraId="47163FB2" w14:textId="745556B3" w:rsidR="00934719" w:rsidRDefault="00962212">
      <w:pPr>
        <w:pStyle w:val="TOC4"/>
      </w:pPr>
      <w:hyperlink w:anchor="_Toc1567894" w:history="1">
        <w:r w:rsidR="00017E3A">
          <w:rPr>
            <w:rStyle w:val="Hyperlink"/>
            <w:rFonts w:ascii="Times New Roman" w:hAnsi="Times New Roman" w:cs="Times New Roman"/>
            <w:sz w:val="24"/>
            <w:szCs w:val="24"/>
          </w:rPr>
          <w:t>5107.302  Polic</w:t>
        </w:r>
        <w:r w:rsidR="00C972A6">
          <w:rPr>
            <w:rStyle w:val="Hyperlink"/>
            <w:rFonts w:ascii="Times New Roman" w:hAnsi="Times New Roman" w:cs="Times New Roman"/>
            <w:sz w:val="24"/>
            <w:szCs w:val="24"/>
          </w:rPr>
          <w:t>y.</w:t>
        </w:r>
      </w:hyperlink>
    </w:p>
    <w:p w14:paraId="47163FB3" w14:textId="45094AB9" w:rsidR="00934719" w:rsidRDefault="00962212">
      <w:pPr>
        <w:pStyle w:val="TOC3"/>
      </w:pPr>
      <w:hyperlink w:anchor="_Toc1567895" w:history="1">
        <w:r w:rsidR="00017E3A">
          <w:rPr>
            <w:rStyle w:val="Hyperlink"/>
            <w:rFonts w:ascii="Times New Roman" w:hAnsi="Times New Roman" w:cs="Times New Roman"/>
            <w:sz w:val="24"/>
            <w:szCs w:val="24"/>
          </w:rPr>
          <w:t>Subpart 5107.4 – Equipment Lease or Purchas</w:t>
        </w:r>
        <w:r w:rsidR="00C972A6">
          <w:rPr>
            <w:rStyle w:val="Hyperlink"/>
            <w:rFonts w:ascii="Times New Roman" w:hAnsi="Times New Roman" w:cs="Times New Roman"/>
            <w:sz w:val="24"/>
            <w:szCs w:val="24"/>
          </w:rPr>
          <w:t>e</w:t>
        </w:r>
        <w:r w:rsidR="00C972A6">
          <w:rPr>
            <w:rStyle w:val="Hyperlink"/>
            <w:rFonts w:ascii="Times New Roman" w:hAnsi="Times New Roman" w:cs="Times New Roman"/>
            <w:vanish/>
            <w:color w:val="auto"/>
            <w:sz w:val="24"/>
            <w:szCs w:val="24"/>
            <w:u w:val="none"/>
          </w:rPr>
          <w:t>.</w:t>
        </w:r>
      </w:hyperlink>
    </w:p>
    <w:p w14:paraId="47163FB4" w14:textId="1381D3C9" w:rsidR="00934719" w:rsidRDefault="00962212">
      <w:pPr>
        <w:pStyle w:val="TOC4"/>
      </w:pPr>
      <w:hyperlink w:anchor="_Toc1567896" w:history="1">
        <w:r w:rsidR="00017E3A">
          <w:rPr>
            <w:rStyle w:val="Hyperlink"/>
            <w:rFonts w:ascii="Times New Roman" w:hAnsi="Times New Roman" w:cs="Times New Roman"/>
            <w:sz w:val="24"/>
            <w:szCs w:val="24"/>
          </w:rPr>
          <w:t>5107.470  Statutory requirement</w:t>
        </w:r>
        <w:r w:rsidR="00C972A6">
          <w:rPr>
            <w:rStyle w:val="Hyperlink"/>
            <w:rFonts w:ascii="Times New Roman" w:hAnsi="Times New Roman" w:cs="Times New Roman"/>
            <w:sz w:val="24"/>
            <w:szCs w:val="24"/>
          </w:rPr>
          <w:t>s.</w:t>
        </w:r>
      </w:hyperlink>
    </w:p>
    <w:p w14:paraId="47163FB5" w14:textId="3F3DB134" w:rsidR="00934719" w:rsidRDefault="00962212">
      <w:pPr>
        <w:pStyle w:val="TOC3"/>
      </w:pPr>
      <w:hyperlink w:anchor="_Toc1567897" w:history="1">
        <w:r w:rsidR="00017E3A">
          <w:rPr>
            <w:rStyle w:val="Hyperlink"/>
            <w:rFonts w:ascii="Times New Roman" w:hAnsi="Times New Roman" w:cs="Times New Roman"/>
            <w:sz w:val="24"/>
            <w:szCs w:val="24"/>
          </w:rPr>
          <w:t>Subpart 5107.5 – Inherently Governmental Function</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B6" w14:textId="4AF3DFA9" w:rsidR="00934719" w:rsidRDefault="00962212">
      <w:pPr>
        <w:pStyle w:val="TOC4"/>
      </w:pPr>
      <w:hyperlink w:anchor="_Toc1567898" w:history="1">
        <w:r w:rsidR="00017E3A">
          <w:rPr>
            <w:rStyle w:val="Hyperlink"/>
            <w:rFonts w:ascii="Times New Roman" w:hAnsi="Times New Roman" w:cs="Times New Roman"/>
            <w:sz w:val="24"/>
            <w:szCs w:val="24"/>
          </w:rPr>
          <w:t>5107.503  Polic</w:t>
        </w:r>
        <w:r w:rsidR="00C972A6">
          <w:rPr>
            <w:rStyle w:val="Hyperlink"/>
            <w:rFonts w:ascii="Times New Roman" w:hAnsi="Times New Roman" w:cs="Times New Roman"/>
            <w:sz w:val="24"/>
            <w:szCs w:val="24"/>
          </w:rPr>
          <w:t>y.</w:t>
        </w:r>
      </w:hyperlink>
    </w:p>
    <w:p w14:paraId="47163FB7" w14:textId="49C5C8DE" w:rsidR="00934719" w:rsidRDefault="00962212">
      <w:pPr>
        <w:pStyle w:val="TOC3"/>
      </w:pPr>
      <w:hyperlink w:anchor="_Toc1567899" w:history="1">
        <w:r w:rsidR="00017E3A">
          <w:rPr>
            <w:rStyle w:val="Hyperlink"/>
            <w:rFonts w:ascii="Times New Roman" w:hAnsi="Times New Roman" w:cs="Times New Roman"/>
            <w:sz w:val="24"/>
            <w:szCs w:val="24"/>
          </w:rPr>
          <w:t>Subpart 5107.90 – Independent Government Estimate</w:t>
        </w:r>
        <w:r w:rsidR="00C972A6">
          <w:rPr>
            <w:rStyle w:val="Hyperlink"/>
            <w:rFonts w:ascii="Times New Roman" w:hAnsi="Times New Roman" w:cs="Times New Roman"/>
            <w:sz w:val="24"/>
            <w:szCs w:val="24"/>
          </w:rPr>
          <w:t>s</w:t>
        </w:r>
        <w:r w:rsidR="00C972A6">
          <w:rPr>
            <w:rStyle w:val="Hyperlink"/>
            <w:rFonts w:ascii="Times New Roman" w:hAnsi="Times New Roman" w:cs="Times New Roman"/>
            <w:vanish/>
            <w:color w:val="auto"/>
            <w:sz w:val="24"/>
            <w:szCs w:val="24"/>
            <w:u w:val="none"/>
          </w:rPr>
          <w:t>.</w:t>
        </w:r>
      </w:hyperlink>
    </w:p>
    <w:p w14:paraId="47163FB8" w14:textId="554F6F16" w:rsidR="00934719" w:rsidRDefault="00962212">
      <w:pPr>
        <w:pStyle w:val="TOC4"/>
      </w:pPr>
      <w:hyperlink w:anchor="_Toc1567900" w:history="1">
        <w:r w:rsidR="00017E3A">
          <w:rPr>
            <w:rStyle w:val="Hyperlink"/>
            <w:rFonts w:ascii="Times New Roman" w:hAnsi="Times New Roman" w:cs="Times New Roman"/>
            <w:sz w:val="24"/>
            <w:szCs w:val="24"/>
          </w:rPr>
          <w:t>5107.9000  Scop</w:t>
        </w:r>
        <w:r w:rsidR="00C972A6">
          <w:rPr>
            <w:rStyle w:val="Hyperlink"/>
            <w:rFonts w:ascii="Times New Roman" w:hAnsi="Times New Roman" w:cs="Times New Roman"/>
            <w:sz w:val="24"/>
            <w:szCs w:val="24"/>
          </w:rPr>
          <w:t>e.</w:t>
        </w:r>
      </w:hyperlink>
    </w:p>
    <w:p w14:paraId="47163FB9" w14:textId="46D11A78" w:rsidR="00934719" w:rsidRDefault="00962212">
      <w:pPr>
        <w:pStyle w:val="TOC4"/>
      </w:pPr>
      <w:hyperlink w:anchor="_Toc1567901" w:history="1">
        <w:r w:rsidR="00017E3A">
          <w:rPr>
            <w:rStyle w:val="Hyperlink"/>
            <w:rFonts w:ascii="Times New Roman" w:hAnsi="Times New Roman" w:cs="Times New Roman"/>
            <w:sz w:val="24"/>
            <w:szCs w:val="24"/>
          </w:rPr>
          <w:t>5107.9001  Definition</w:t>
        </w:r>
        <w:r w:rsidR="00C972A6">
          <w:rPr>
            <w:rStyle w:val="Hyperlink"/>
            <w:rFonts w:ascii="Times New Roman" w:hAnsi="Times New Roman" w:cs="Times New Roman"/>
            <w:sz w:val="24"/>
            <w:szCs w:val="24"/>
          </w:rPr>
          <w:t>s.</w:t>
        </w:r>
      </w:hyperlink>
    </w:p>
    <w:p w14:paraId="47163FBA" w14:textId="0F9EE4F5" w:rsidR="00934719" w:rsidRDefault="00962212">
      <w:pPr>
        <w:pStyle w:val="TOC4"/>
      </w:pPr>
      <w:hyperlink w:anchor="_Toc1567902" w:history="1">
        <w:r w:rsidR="00017E3A">
          <w:rPr>
            <w:rStyle w:val="Hyperlink"/>
            <w:rFonts w:ascii="Times New Roman" w:hAnsi="Times New Roman" w:cs="Times New Roman"/>
            <w:sz w:val="24"/>
            <w:szCs w:val="24"/>
          </w:rPr>
          <w:t>5107.9002  Polic</w:t>
        </w:r>
        <w:r w:rsidR="00C972A6">
          <w:rPr>
            <w:rStyle w:val="Hyperlink"/>
            <w:rFonts w:ascii="Times New Roman" w:hAnsi="Times New Roman" w:cs="Times New Roman"/>
            <w:sz w:val="24"/>
            <w:szCs w:val="24"/>
          </w:rPr>
          <w:t>y.</w:t>
        </w:r>
      </w:hyperlink>
    </w:p>
    <w:p w14:paraId="47163FBB" w14:textId="58C92ED2" w:rsidR="00934719" w:rsidRDefault="00962212">
      <w:pPr>
        <w:pStyle w:val="TOC3"/>
      </w:pPr>
      <w:hyperlink w:anchor="_Toc1567903" w:history="1">
        <w:r w:rsidR="00017E3A">
          <w:rPr>
            <w:rStyle w:val="Hyperlink"/>
            <w:rFonts w:ascii="Times New Roman" w:hAnsi="Times New Roman" w:cs="Times New Roman"/>
            <w:sz w:val="24"/>
            <w:szCs w:val="24"/>
          </w:rPr>
          <w:t>Subpart 5107.91 – Integrating Antiterrorism and Operations Securit</w:t>
        </w:r>
        <w:r w:rsidR="00C972A6">
          <w:rPr>
            <w:rStyle w:val="Hyperlink"/>
            <w:rFonts w:ascii="Times New Roman" w:hAnsi="Times New Roman" w:cs="Times New Roman"/>
            <w:sz w:val="24"/>
            <w:szCs w:val="24"/>
          </w:rPr>
          <w:t>y</w:t>
        </w:r>
        <w:r w:rsidR="00C972A6">
          <w:rPr>
            <w:rStyle w:val="Hyperlink"/>
            <w:rFonts w:ascii="Times New Roman" w:hAnsi="Times New Roman" w:cs="Times New Roman"/>
            <w:vanish/>
            <w:color w:val="auto"/>
            <w:sz w:val="24"/>
            <w:szCs w:val="24"/>
            <w:u w:val="none"/>
          </w:rPr>
          <w:t>.</w:t>
        </w:r>
      </w:hyperlink>
    </w:p>
    <w:p w14:paraId="47163FBC" w14:textId="5DAC5A7E" w:rsidR="00934719" w:rsidRDefault="00962212">
      <w:pPr>
        <w:pStyle w:val="TOC4"/>
      </w:pPr>
      <w:hyperlink w:anchor="_Toc1567904" w:history="1">
        <w:r w:rsidR="00017E3A">
          <w:rPr>
            <w:rStyle w:val="Hyperlink"/>
            <w:rFonts w:ascii="Times New Roman" w:hAnsi="Times New Roman" w:cs="Times New Roman"/>
            <w:sz w:val="24"/>
            <w:szCs w:val="24"/>
          </w:rPr>
          <w:t>5107.9100  Scop</w:t>
        </w:r>
        <w:r w:rsidR="00C972A6">
          <w:rPr>
            <w:rStyle w:val="Hyperlink"/>
            <w:rFonts w:ascii="Times New Roman" w:hAnsi="Times New Roman" w:cs="Times New Roman"/>
            <w:sz w:val="24"/>
            <w:szCs w:val="24"/>
          </w:rPr>
          <w:t>e.</w:t>
        </w:r>
      </w:hyperlink>
    </w:p>
    <w:p w14:paraId="47163FBD" w14:textId="328D6682" w:rsidR="00934719" w:rsidRDefault="00962212">
      <w:pPr>
        <w:pStyle w:val="TOC4"/>
      </w:pPr>
      <w:hyperlink w:anchor="_Toc1567905" w:history="1">
        <w:r w:rsidR="00017E3A">
          <w:rPr>
            <w:rStyle w:val="Hyperlink"/>
            <w:rFonts w:ascii="Times New Roman" w:hAnsi="Times New Roman" w:cs="Times New Roman"/>
            <w:sz w:val="24"/>
            <w:szCs w:val="24"/>
          </w:rPr>
          <w:t>5107.9101  Polic</w:t>
        </w:r>
        <w:r w:rsidR="00C972A6">
          <w:rPr>
            <w:rStyle w:val="Hyperlink"/>
            <w:rFonts w:ascii="Times New Roman" w:hAnsi="Times New Roman" w:cs="Times New Roman"/>
            <w:sz w:val="24"/>
            <w:szCs w:val="24"/>
          </w:rPr>
          <w:t>y.</w:t>
        </w:r>
      </w:hyperlink>
    </w:p>
    <w:p w14:paraId="47163FBE" w14:textId="77777777" w:rsidR="00934719" w:rsidRDefault="00017E3A">
      <w:r>
        <w:rPr>
          <w:rFonts w:ascii="Times New Roman" w:hAnsi="Times New Roman" w:cs="Times New Roman"/>
          <w:i/>
          <w:iCs/>
          <w:sz w:val="24"/>
          <w:szCs w:val="24"/>
        </w:rPr>
        <w:t> </w:t>
      </w:r>
    </w:p>
    <w:p w14:paraId="47163FBF" w14:textId="77777777" w:rsidR="00934719" w:rsidRDefault="00017E3A" w:rsidP="00C972A6">
      <w:pPr>
        <w:pStyle w:val="Heading2"/>
        <w:rPr>
          <w:rFonts w:eastAsia="Times New Roman"/>
        </w:rPr>
      </w:pPr>
      <w:bookmarkStart w:id="0" w:name="_Toc1567884"/>
      <w:bookmarkStart w:id="1" w:name="_Toc521999498"/>
      <w:bookmarkStart w:id="2" w:name="_Toc513812647"/>
      <w:bookmarkStart w:id="3" w:name="_Toc512603878"/>
      <w:bookmarkEnd w:id="0"/>
      <w:bookmarkEnd w:id="1"/>
      <w:bookmarkEnd w:id="2"/>
      <w:r w:rsidRPr="00C972A6">
        <w:t xml:space="preserve">Subpart 5107.1 </w:t>
      </w:r>
      <w:r>
        <w:rPr>
          <w:rFonts w:eastAsia="Times New Roman"/>
        </w:rPr>
        <w:t>– Acquisition Plans</w:t>
      </w:r>
      <w:bookmarkEnd w:id="3"/>
    </w:p>
    <w:p w14:paraId="6CCC34A9" w14:textId="77777777" w:rsidR="00C972A6" w:rsidRDefault="00017E3A">
      <w:pPr>
        <w:pStyle w:val="Heading4"/>
        <w:rPr>
          <w:rFonts w:eastAsia="Times New Roman"/>
        </w:rPr>
      </w:pPr>
      <w:bookmarkStart w:id="4" w:name="_Toc1567885"/>
      <w:bookmarkStart w:id="5" w:name="_Toc521999499"/>
      <w:bookmarkStart w:id="6" w:name="_Toc513812648"/>
      <w:bookmarkStart w:id="7" w:name="_Toc512603879"/>
      <w:bookmarkEnd w:id="4"/>
      <w:bookmarkEnd w:id="5"/>
      <w:bookmarkEnd w:id="6"/>
      <w:r>
        <w:rPr>
          <w:rFonts w:eastAsia="Times New Roman"/>
        </w:rPr>
        <w:t>5107.103  Agency-head responsibilities.</w:t>
      </w:r>
      <w:bookmarkEnd w:id="7"/>
    </w:p>
    <w:p w14:paraId="7071EF2B" w14:textId="79EBC2AB" w:rsidR="00C972A6" w:rsidRDefault="00C972A6" w:rsidP="00C972A6">
      <w:pPr>
        <w:pStyle w:val="List1"/>
      </w:pPr>
      <w:r>
        <w:lastRenderedPageBreak/>
        <w:t>(d)</w:t>
      </w:r>
      <w:r w:rsidR="00017E3A">
        <w:t>(i)  Except as provided in (d)(i)(B), prepare written acquisition plans, for up to a five-year period, in accordance with dollar thresholds identified at the DFARS 207.103(d)(i).</w:t>
      </w:r>
    </w:p>
    <w:p w14:paraId="3A77B87C" w14:textId="12C75890" w:rsidR="00C972A6" w:rsidRDefault="00C972A6" w:rsidP="00C972A6">
      <w:pPr>
        <w:pStyle w:val="List4"/>
      </w:pPr>
      <w:r>
        <w:rPr>
          <w:szCs w:val="24"/>
        </w:rPr>
        <w:t>(B)</w:t>
      </w:r>
      <w:r w:rsidR="00017E3A">
        <w:rPr>
          <w:szCs w:val="24"/>
        </w:rPr>
        <w:t xml:space="preserve"> Procurements for foreign military sales (see DFARS 225.73), other than procurements funded with U.S. appropriated funds, are exempt from the requirements at DFARS 207.103(d)(i) to prepare a written acquisition plan, when—</w:t>
      </w:r>
    </w:p>
    <w:p w14:paraId="54A23441" w14:textId="60645154" w:rsidR="00C972A6" w:rsidRDefault="00C972A6" w:rsidP="00C972A6">
      <w:pPr>
        <w:pStyle w:val="List6"/>
      </w:pPr>
      <w:r>
        <w:t>(1)</w:t>
      </w:r>
      <w:r w:rsidR="00017E3A">
        <w:t xml:space="preserve"> An International Agreement Competitive Restrictions (ICAR) has been approved IAW 5106.302-4(c); or</w:t>
      </w:r>
    </w:p>
    <w:p w14:paraId="0EF50124" w14:textId="669497D0" w:rsidR="00C972A6" w:rsidRDefault="00C972A6" w:rsidP="00C972A6">
      <w:pPr>
        <w:pStyle w:val="List6"/>
      </w:pPr>
      <w:r>
        <w:t>(2)</w:t>
      </w:r>
      <w:r w:rsidR="00017E3A">
        <w:t xml:space="preserve">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14:paraId="248EF7E7" w14:textId="55DF9ABF" w:rsidR="00C972A6" w:rsidRDefault="00C972A6" w:rsidP="00C972A6">
      <w:pPr>
        <w:pStyle w:val="List3"/>
      </w:pPr>
      <w:r>
        <w:rPr>
          <w:szCs w:val="24"/>
        </w:rPr>
        <w:t>(ii)</w:t>
      </w:r>
      <w:r w:rsidR="00017E3A">
        <w:rPr>
          <w:szCs w:val="24"/>
        </w:rPr>
        <w:t>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14:paraId="47163FC6" w14:textId="4B984BC5" w:rsidR="00934719" w:rsidRDefault="00C972A6" w:rsidP="00C972A6">
      <w:pPr>
        <w:pStyle w:val="List1"/>
      </w:pPr>
      <w:r>
        <w:t>(m)</w:t>
      </w:r>
      <w:r w:rsidR="00017E3A">
        <w:t>  Only the acquisition plan approval authority may waive requirements of detail and formality.</w:t>
      </w:r>
    </w:p>
    <w:p w14:paraId="06A2C785" w14:textId="77777777" w:rsidR="00C972A6" w:rsidRDefault="00017E3A" w:rsidP="00C972A6">
      <w:pPr>
        <w:pStyle w:val="Heading4"/>
        <w:rPr>
          <w:rFonts w:eastAsia="Times New Roman"/>
        </w:rPr>
      </w:pPr>
      <w:bookmarkStart w:id="8" w:name="_Toc1567886"/>
      <w:bookmarkStart w:id="9" w:name="_Toc521999500"/>
      <w:bookmarkStart w:id="10" w:name="_Toc513812649"/>
      <w:bookmarkStart w:id="11" w:name="_Toc512603880"/>
      <w:bookmarkEnd w:id="8"/>
      <w:bookmarkEnd w:id="9"/>
      <w:bookmarkEnd w:id="10"/>
      <w:r w:rsidRPr="00C972A6">
        <w:rPr>
          <w:rFonts w:eastAsia="Times New Roman"/>
        </w:rPr>
        <w:t>5107.103-90</w:t>
      </w:r>
      <w:r>
        <w:rPr>
          <w:rFonts w:eastAsia="Times New Roman"/>
        </w:rPr>
        <w:t>  Acquisition plan approvals.</w:t>
      </w:r>
      <w:bookmarkEnd w:id="11"/>
    </w:p>
    <w:p w14:paraId="7881C3FC" w14:textId="0444DE2E" w:rsidR="00C972A6" w:rsidRDefault="00C972A6" w:rsidP="00C972A6">
      <w:pPr>
        <w:pStyle w:val="List1"/>
      </w:pPr>
      <w:r>
        <w:t>(a)</w:t>
      </w:r>
      <w:r w:rsidR="00017E3A">
        <w:t>  For acquisition plan approval, the dollar thresholds identified at DFARS 207.103(d)(i) apply to the following:</w:t>
      </w:r>
    </w:p>
    <w:p w14:paraId="119E26E7" w14:textId="549D9230" w:rsidR="00C972A6" w:rsidRDefault="00C972A6" w:rsidP="00C972A6">
      <w:pPr>
        <w:pStyle w:val="List2"/>
      </w:pPr>
      <w:r>
        <w:rPr>
          <w:szCs w:val="24"/>
        </w:rPr>
        <w:t>(1)</w:t>
      </w:r>
      <w:r w:rsidR="00017E3A">
        <w:rPr>
          <w:szCs w:val="24"/>
        </w:rPr>
        <w:t xml:space="preserve">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p w14:paraId="7446CCBE" w14:textId="4685D446" w:rsidR="00C972A6" w:rsidRDefault="00C972A6" w:rsidP="00C972A6">
      <w:pPr>
        <w:pStyle w:val="List2"/>
      </w:pPr>
      <w:r>
        <w:rPr>
          <w:szCs w:val="24"/>
        </w:rPr>
        <w:t>(2)</w:t>
      </w:r>
      <w:r w:rsidR="00017E3A">
        <w:rPr>
          <w:szCs w:val="24"/>
        </w:rPr>
        <w:t>  For all non-PEO/direct-reporting program manager acquisitions, the Assistant Secretary of the Army (Acquisition, Logistics and Technology) is the acquisition plan approval authority.  See Appendix GG for further delegation.</w:t>
      </w:r>
    </w:p>
    <w:p w14:paraId="4250DB9E" w14:textId="47BEC5D9" w:rsidR="00C972A6" w:rsidRDefault="00C972A6" w:rsidP="00C972A6">
      <w:pPr>
        <w:pStyle w:val="List1"/>
      </w:pPr>
      <w:r>
        <w:t>(b)</w:t>
      </w:r>
      <w:r w:rsidR="00017E3A">
        <w:t xml:space="preserve">  Approval of acquisition plans for procurements below the thresholds identified at DFARS 207.103(d)(i) shall be in accordance with contracting activity procedures.</w:t>
      </w:r>
    </w:p>
    <w:p w14:paraId="5F709740" w14:textId="381750E2" w:rsidR="00C972A6" w:rsidRDefault="00C972A6" w:rsidP="00C972A6">
      <w:pPr>
        <w:pStyle w:val="List1"/>
      </w:pPr>
      <w:r>
        <w:t>(c)</w:t>
      </w:r>
      <w:r w:rsidR="00017E3A">
        <w:t xml:space="preserve">  For Army Acquisition Executive-designated special interest acquisitions, the Assistant Secretary of the Army (Acquisition, Logistics and Technology) or the Deputy Assistant Secretary of the Army (Procurement) must approve the acquisition plans.  Process </w:t>
      </w:r>
      <w:r w:rsidR="00017E3A">
        <w:lastRenderedPageBreak/>
        <w:t xml:space="preserve">acquisition plans for special interest acquisitions in the same manner as other acquisition plans and include all the concurrences listed in paragraph (c). </w:t>
      </w:r>
    </w:p>
    <w:p w14:paraId="5D046E57" w14:textId="64A06328" w:rsidR="00C972A6" w:rsidRDefault="00C972A6" w:rsidP="00C972A6">
      <w:pPr>
        <w:pStyle w:val="List1"/>
      </w:pPr>
      <w:r>
        <w:t>(d)</w:t>
      </w:r>
      <w:r w:rsidR="00017E3A">
        <w:t xml:space="preserve">  The requests for approval of acquisition plans in accordance with the thresholds identified at DFARS 207.103(d)(i) must include the concurrence of the –</w:t>
      </w:r>
    </w:p>
    <w:p w14:paraId="41D96439" w14:textId="45123467" w:rsidR="00C972A6" w:rsidRDefault="00C972A6" w:rsidP="00C972A6">
      <w:pPr>
        <w:pStyle w:val="List2"/>
      </w:pPr>
      <w:r>
        <w:rPr>
          <w:szCs w:val="24"/>
        </w:rPr>
        <w:t>(1)</w:t>
      </w:r>
      <w:r w:rsidR="00017E3A">
        <w:rPr>
          <w:szCs w:val="24"/>
        </w:rPr>
        <w:t>  Contracting officer;</w:t>
      </w:r>
    </w:p>
    <w:p w14:paraId="1DADB3D8" w14:textId="3B19C7C5" w:rsidR="00C972A6" w:rsidRDefault="00C972A6" w:rsidP="00C972A6">
      <w:pPr>
        <w:pStyle w:val="List2"/>
      </w:pPr>
      <w:r>
        <w:rPr>
          <w:szCs w:val="24"/>
        </w:rPr>
        <w:t>(2)</w:t>
      </w:r>
      <w:r w:rsidR="00017E3A">
        <w:rPr>
          <w:szCs w:val="24"/>
        </w:rPr>
        <w:t>  Local advocate for competition;</w:t>
      </w:r>
    </w:p>
    <w:p w14:paraId="17603EB3" w14:textId="41AD4447" w:rsidR="00C972A6" w:rsidRDefault="00C972A6" w:rsidP="00C972A6">
      <w:pPr>
        <w:pStyle w:val="List2"/>
      </w:pPr>
      <w:r>
        <w:rPr>
          <w:szCs w:val="24"/>
        </w:rPr>
        <w:t>(3)</w:t>
      </w:r>
      <w:r w:rsidR="00017E3A">
        <w:rPr>
          <w:szCs w:val="24"/>
        </w:rPr>
        <w:t>  Local office of small business programs or small business specialist;</w:t>
      </w:r>
    </w:p>
    <w:p w14:paraId="5751FA78" w14:textId="328B6C3F" w:rsidR="00C972A6" w:rsidRDefault="00C972A6" w:rsidP="00C972A6">
      <w:pPr>
        <w:pStyle w:val="List2"/>
      </w:pPr>
      <w:r>
        <w:rPr>
          <w:szCs w:val="24"/>
        </w:rPr>
        <w:t>(4)</w:t>
      </w:r>
      <w:r w:rsidR="00017E3A">
        <w:rPr>
          <w:szCs w:val="24"/>
        </w:rPr>
        <w:t>  Legal office; and</w:t>
      </w:r>
    </w:p>
    <w:p w14:paraId="47163FD2" w14:textId="35DFE2B1" w:rsidR="00934719" w:rsidRDefault="00C972A6" w:rsidP="00C972A6">
      <w:pPr>
        <w:pStyle w:val="List2"/>
      </w:pPr>
      <w:r>
        <w:rPr>
          <w:szCs w:val="24"/>
        </w:rPr>
        <w:t>(5)</w:t>
      </w:r>
      <w:r w:rsidR="00017E3A">
        <w:rPr>
          <w:szCs w:val="24"/>
        </w:rPr>
        <w:t>  Appropriate elements from the supporting contracting activity chain of command.</w:t>
      </w:r>
    </w:p>
    <w:p w14:paraId="57881322" w14:textId="77777777" w:rsidR="00C972A6" w:rsidRDefault="00017E3A">
      <w:pPr>
        <w:pStyle w:val="Heading4"/>
        <w:rPr>
          <w:rFonts w:eastAsia="Times New Roman"/>
        </w:rPr>
      </w:pPr>
      <w:bookmarkStart w:id="12" w:name="_Toc1567887"/>
      <w:bookmarkStart w:id="13" w:name="_Toc521999501"/>
      <w:bookmarkStart w:id="14" w:name="_Toc513812650"/>
      <w:bookmarkStart w:id="15" w:name="_Toc512603881"/>
      <w:bookmarkEnd w:id="12"/>
      <w:bookmarkEnd w:id="13"/>
      <w:bookmarkEnd w:id="14"/>
      <w:r>
        <w:rPr>
          <w:rFonts w:eastAsia="Times New Roman"/>
        </w:rPr>
        <w:t>5107.104  General procedures.</w:t>
      </w:r>
      <w:bookmarkEnd w:id="15"/>
    </w:p>
    <w:p w14:paraId="269544CE" w14:textId="33BAE456" w:rsidR="00C972A6" w:rsidRDefault="00C972A6" w:rsidP="00C972A6">
      <w:pPr>
        <w:pStyle w:val="List1"/>
      </w:pPr>
      <w:r>
        <w:t>(a)</w:t>
      </w:r>
      <w:r w:rsidR="00017E3A">
        <w:t>(i)  Each head of the contracting activity (HCA) must establish procedures for forecasting all significant, as defined by a specified monetary threshold, or sensitive contracting requirements anticipated for the upcoming fiscal year.</w:t>
      </w:r>
    </w:p>
    <w:p w14:paraId="03FF30C0" w14:textId="2E2AA99A" w:rsidR="00C972A6" w:rsidRDefault="00C972A6" w:rsidP="00C972A6">
      <w:pPr>
        <w:pStyle w:val="List3"/>
      </w:pPr>
      <w:r>
        <w:rPr>
          <w:szCs w:val="24"/>
        </w:rPr>
        <w:t>(ii)</w:t>
      </w:r>
      <w:r w:rsidR="00017E3A">
        <w:rPr>
          <w:szCs w:val="24"/>
        </w:rPr>
        <w:t>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14:paraId="1425611E" w14:textId="7F6F9CA3" w:rsidR="00C972A6" w:rsidRDefault="00C972A6" w:rsidP="00C972A6">
      <w:pPr>
        <w:pStyle w:val="List3"/>
      </w:pPr>
      <w:r>
        <w:rPr>
          <w:szCs w:val="24"/>
        </w:rPr>
        <w:t>(iii)</w:t>
      </w:r>
      <w:r w:rsidR="00017E3A">
        <w:rPr>
          <w:szCs w:val="24"/>
        </w:rPr>
        <w:t>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14:paraId="13CACAF0" w14:textId="54E44BAF" w:rsidR="00C972A6" w:rsidRDefault="00C972A6" w:rsidP="00C972A6">
      <w:pPr>
        <w:pStyle w:val="List3"/>
      </w:pPr>
      <w:r>
        <w:rPr>
          <w:szCs w:val="24"/>
        </w:rPr>
        <w:t>(iv)</w:t>
      </w:r>
      <w:r w:rsidR="00017E3A">
        <w:rPr>
          <w:szCs w:val="24"/>
        </w:rPr>
        <w:t>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14:paraId="400F79AA" w14:textId="003EF0B5" w:rsidR="00C972A6" w:rsidRDefault="00C972A6" w:rsidP="00C972A6">
      <w:pPr>
        <w:pStyle w:val="List3"/>
      </w:pPr>
      <w:r>
        <w:rPr>
          <w:szCs w:val="24"/>
        </w:rPr>
        <w:t>(v)</w:t>
      </w:r>
      <w:r w:rsidR="00017E3A">
        <w:rPr>
          <w:szCs w:val="24"/>
        </w:rPr>
        <w:t xml:space="preserve">  In acquisitions where sole source approvals are necessary, acquisition planning must provide appropriate opportunities for the following:</w:t>
      </w:r>
    </w:p>
    <w:p w14:paraId="7B6DDB6A" w14:textId="2B247B22" w:rsidR="00C972A6" w:rsidRDefault="00C972A6" w:rsidP="00C972A6">
      <w:pPr>
        <w:pStyle w:val="List4"/>
      </w:pPr>
      <w:r>
        <w:rPr>
          <w:szCs w:val="24"/>
        </w:rPr>
        <w:t>(A)</w:t>
      </w:r>
      <w:r w:rsidR="00017E3A">
        <w:rPr>
          <w:szCs w:val="24"/>
        </w:rPr>
        <w:t xml:space="preserve">  Involving Defense Contract Management Agency and Defense Contract Audit Agency early in the acquisition process.</w:t>
      </w:r>
    </w:p>
    <w:p w14:paraId="66DA906A" w14:textId="1A9B044B" w:rsidR="00C972A6" w:rsidRDefault="00C972A6" w:rsidP="00C972A6">
      <w:pPr>
        <w:pStyle w:val="List4"/>
      </w:pPr>
      <w:r>
        <w:rPr>
          <w:szCs w:val="24"/>
        </w:rPr>
        <w:t>(B)</w:t>
      </w:r>
      <w:r w:rsidR="00017E3A">
        <w:rPr>
          <w:szCs w:val="24"/>
        </w:rPr>
        <w:t xml:space="preserve">  Obtaining appropriate contractor input for use in the development of the acquisition strategy.</w:t>
      </w:r>
    </w:p>
    <w:p w14:paraId="46339EA1" w14:textId="2DF2615A" w:rsidR="00C972A6" w:rsidRDefault="00C972A6" w:rsidP="00C972A6">
      <w:pPr>
        <w:pStyle w:val="List4"/>
      </w:pPr>
      <w:r>
        <w:rPr>
          <w:szCs w:val="24"/>
        </w:rPr>
        <w:t>(C)</w:t>
      </w:r>
      <w:r w:rsidR="00017E3A">
        <w:rPr>
          <w:szCs w:val="24"/>
        </w:rPr>
        <w:t xml:space="preserve">  Establishing a Government and contractor team, including individuals with execution responsibility as well as reviewers, committed on a real-time basis to streamline the acquisition process and maintain open communications.</w:t>
      </w:r>
    </w:p>
    <w:p w14:paraId="736ACE66" w14:textId="2B333241" w:rsidR="00C972A6" w:rsidRDefault="00C972A6" w:rsidP="00C972A6">
      <w:pPr>
        <w:pStyle w:val="List4"/>
      </w:pPr>
      <w:r>
        <w:rPr>
          <w:szCs w:val="24"/>
        </w:rPr>
        <w:lastRenderedPageBreak/>
        <w:t>(D)</w:t>
      </w:r>
      <w:r w:rsidR="00017E3A">
        <w:rPr>
          <w:szCs w:val="24"/>
        </w:rPr>
        <w:t xml:space="preserve">  Teaming of Government and contractor personnel in development of the proposal and model contract, leading to agreement on contractor effort and costs associated with the task(s).</w:t>
      </w:r>
    </w:p>
    <w:p w14:paraId="47163FDD" w14:textId="4D7FC9B9" w:rsidR="00934719" w:rsidRDefault="00C972A6" w:rsidP="00C972A6">
      <w:pPr>
        <w:pStyle w:val="List4"/>
      </w:pPr>
      <w:r>
        <w:rPr>
          <w:szCs w:val="24"/>
        </w:rPr>
        <w:t>(E)</w:t>
      </w:r>
      <w:r w:rsidR="00017E3A">
        <w:rPr>
          <w:szCs w:val="24"/>
        </w:rPr>
        <w:t xml:space="preserve">  Teaming of the Government and contractor personnel during post-award contract performance to improve communications and develop efficient contract administration.</w:t>
      </w:r>
    </w:p>
    <w:p w14:paraId="53D1A7B6" w14:textId="77777777" w:rsidR="00C972A6" w:rsidRDefault="00017E3A">
      <w:pPr>
        <w:pStyle w:val="Heading4"/>
        <w:rPr>
          <w:rFonts w:eastAsia="Times New Roman"/>
        </w:rPr>
      </w:pPr>
      <w:bookmarkStart w:id="16" w:name="_Toc1567888"/>
      <w:bookmarkStart w:id="17" w:name="_Toc521999502"/>
      <w:bookmarkStart w:id="18" w:name="_Toc513812651"/>
      <w:bookmarkStart w:id="19" w:name="_Toc512603882"/>
      <w:bookmarkEnd w:id="16"/>
      <w:bookmarkEnd w:id="17"/>
      <w:bookmarkEnd w:id="18"/>
      <w:r>
        <w:rPr>
          <w:rFonts w:eastAsia="Times New Roman"/>
          <w:color w:val="000000"/>
        </w:rPr>
        <w:t xml:space="preserve">5107.105  </w:t>
      </w:r>
      <w:bookmarkEnd w:id="19"/>
      <w:r>
        <w:rPr>
          <w:rFonts w:eastAsia="Times New Roman"/>
          <w:lang w:val="en"/>
        </w:rPr>
        <w:t>Contents of written acquisition plans.</w:t>
      </w:r>
    </w:p>
    <w:p w14:paraId="47163FDF" w14:textId="3D521575" w:rsidR="00934719" w:rsidRDefault="00C972A6" w:rsidP="00C972A6">
      <w:pPr>
        <w:pStyle w:val="List1"/>
      </w:pPr>
      <w:r>
        <w:t>(b)</w:t>
      </w:r>
      <w:r w:rsidR="00017E3A">
        <w:t>(20)(C)(8)(iv) The head of contracting activity is responsible to perform the duties at DFARS 207.105.  See Appendix GG for further delegation.</w:t>
      </w:r>
    </w:p>
    <w:p w14:paraId="47163FE0" w14:textId="77777777" w:rsidR="00934719" w:rsidRDefault="00017E3A">
      <w:pPr>
        <w:pStyle w:val="Heading4"/>
        <w:rPr>
          <w:rFonts w:eastAsia="Times New Roman"/>
        </w:rPr>
      </w:pPr>
      <w:bookmarkStart w:id="20" w:name="_Toc1567889"/>
      <w:bookmarkStart w:id="21" w:name="_Toc521999503"/>
      <w:bookmarkStart w:id="22" w:name="_Toc513812652"/>
      <w:bookmarkStart w:id="23" w:name="_Toc512603883"/>
      <w:bookmarkEnd w:id="20"/>
      <w:bookmarkEnd w:id="21"/>
      <w:bookmarkEnd w:id="22"/>
      <w:r>
        <w:rPr>
          <w:rFonts w:eastAsia="Times New Roman"/>
          <w:lang w:val="en"/>
        </w:rPr>
        <w:t>5107.107  Additional requirements for acquisitions involving consolidation, bundling, or substantial bundling</w:t>
      </w:r>
      <w:bookmarkEnd w:id="23"/>
      <w:r>
        <w:rPr>
          <w:rFonts w:eastAsia="Times New Roman"/>
          <w:lang w:val="en"/>
        </w:rPr>
        <w:t>.</w:t>
      </w:r>
    </w:p>
    <w:p w14:paraId="47163FE1" w14:textId="77777777" w:rsidR="00934719" w:rsidRDefault="00017E3A" w:rsidP="00C972A6">
      <w:pPr>
        <w:pStyle w:val="Heading4"/>
        <w:rPr>
          <w:rFonts w:eastAsia="Times New Roman"/>
        </w:rPr>
      </w:pPr>
      <w:bookmarkStart w:id="24" w:name="_Toc1567890"/>
      <w:bookmarkStart w:id="25" w:name="_Toc521999504"/>
      <w:bookmarkStart w:id="26" w:name="_Toc513812653"/>
      <w:bookmarkStart w:id="27" w:name="_Toc512603884"/>
      <w:bookmarkEnd w:id="24"/>
      <w:bookmarkEnd w:id="25"/>
      <w:bookmarkEnd w:id="26"/>
      <w:r w:rsidRPr="00C972A6">
        <w:rPr>
          <w:rFonts w:eastAsia="Times New Roman"/>
        </w:rPr>
        <w:t>5107.107-2</w:t>
      </w:r>
      <w:r>
        <w:rPr>
          <w:rFonts w:eastAsia="Times New Roman"/>
        </w:rPr>
        <w:t>  Consolidation.</w:t>
      </w:r>
      <w:bookmarkEnd w:id="27"/>
    </w:p>
    <w:p w14:paraId="324F70F9" w14:textId="77777777" w:rsidR="00C972A6" w:rsidRDefault="00017E3A">
      <w:pPr>
        <w:autoSpaceDE w:val="0"/>
        <w:autoSpaceDN w:val="0"/>
        <w:spacing w:after="240"/>
      </w:pPr>
      <w:r>
        <w:rPr>
          <w:rFonts w:ascii="Times New Roman" w:hAnsi="Times New Roman" w:cs="Times New Roman"/>
          <w:b/>
          <w:bCs/>
          <w:color w:val="000000"/>
          <w:sz w:val="24"/>
          <w:szCs w:val="24"/>
        </w:rPr>
        <w:t> </w:t>
      </w:r>
      <w:r>
        <w:rPr>
          <w:rFonts w:ascii="Times New Roman" w:hAnsi="Times New Roman" w:cs="Times New Roman"/>
          <w:color w:val="000000"/>
          <w:sz w:val="24"/>
          <w:szCs w:val="24"/>
        </w:rPr>
        <w:t>(b)  The Senior Procurement Executive has delegated authority to make the consolidation determination prescribed at FAR 7.107-2 as follows:</w:t>
      </w:r>
    </w:p>
    <w:p w14:paraId="539555F1" w14:textId="5417C1C6" w:rsidR="00C972A6" w:rsidRDefault="00C972A6" w:rsidP="00C972A6">
      <w:pPr>
        <w:pStyle w:val="List3"/>
      </w:pPr>
      <w:r>
        <w:rPr>
          <w:color w:val="000000"/>
          <w:szCs w:val="24"/>
        </w:rPr>
        <w:t>(i)</w:t>
      </w:r>
      <w:r w:rsidR="00017E3A">
        <w:rPr>
          <w:color w:val="000000"/>
          <w:szCs w:val="24"/>
        </w:rPr>
        <w:t xml:space="preserve">  Where the total value of the consolidated requirements is $500 million or more, the Deputy Assistant Secretary of the Army (Procurement) will make the determination.</w:t>
      </w:r>
    </w:p>
    <w:p w14:paraId="47163FE4" w14:textId="17EF7BA0" w:rsidR="00934719" w:rsidRDefault="00C972A6" w:rsidP="00C972A6">
      <w:pPr>
        <w:pStyle w:val="List3"/>
      </w:pPr>
      <w:r>
        <w:rPr>
          <w:color w:val="000000"/>
          <w:szCs w:val="24"/>
        </w:rPr>
        <w:t>(ii)</w:t>
      </w:r>
      <w:r w:rsidR="00017E3A">
        <w:rPr>
          <w:color w:val="000000"/>
          <w:szCs w:val="24"/>
        </w:rPr>
        <w:t xml:space="preserve">  Where the total value of the consolidated requirements is above $2 million but less than $500 million, the HCA will make the determination. See Appendix GG for further delegation.</w:t>
      </w:r>
    </w:p>
    <w:p w14:paraId="47163FE5" w14:textId="77777777" w:rsidR="00934719" w:rsidRDefault="00017E3A" w:rsidP="00C972A6">
      <w:pPr>
        <w:pStyle w:val="Heading2"/>
        <w:rPr>
          <w:rFonts w:eastAsia="Times New Roman"/>
        </w:rPr>
      </w:pPr>
      <w:bookmarkStart w:id="28" w:name="_Toc1567891"/>
      <w:bookmarkStart w:id="29" w:name="_Toc521999505"/>
      <w:bookmarkStart w:id="30" w:name="_Toc513812654"/>
      <w:bookmarkStart w:id="31" w:name="_Toc512603885"/>
      <w:bookmarkEnd w:id="28"/>
      <w:bookmarkEnd w:id="29"/>
      <w:bookmarkEnd w:id="30"/>
      <w:r>
        <w:rPr>
          <w:rFonts w:eastAsia="Times New Roman"/>
        </w:rPr>
        <w:t>Subpart 5107.2 – Planning for the Purchase of Supplies in Economic Quantities</w:t>
      </w:r>
      <w:bookmarkEnd w:id="31"/>
    </w:p>
    <w:p w14:paraId="080924C5" w14:textId="77777777" w:rsidR="00C972A6" w:rsidRDefault="00017E3A">
      <w:pPr>
        <w:pStyle w:val="Heading4"/>
        <w:rPr>
          <w:rFonts w:eastAsia="Times New Roman"/>
        </w:rPr>
      </w:pPr>
      <w:bookmarkStart w:id="32" w:name="_Toc1567892"/>
      <w:bookmarkStart w:id="33" w:name="_Toc521999506"/>
      <w:bookmarkStart w:id="34" w:name="_Toc513812655"/>
      <w:bookmarkStart w:id="35" w:name="_Toc512603886"/>
      <w:bookmarkEnd w:id="32"/>
      <w:bookmarkEnd w:id="33"/>
      <w:bookmarkEnd w:id="34"/>
      <w:r>
        <w:rPr>
          <w:rFonts w:eastAsia="Times New Roman"/>
        </w:rPr>
        <w:t>5107.204  Responsibilities of contracting officers.</w:t>
      </w:r>
      <w:bookmarkEnd w:id="35"/>
    </w:p>
    <w:p w14:paraId="47163FE7" w14:textId="26B9D293" w:rsidR="00934719" w:rsidRDefault="00C972A6" w:rsidP="00C972A6">
      <w:pPr>
        <w:pStyle w:val="List1"/>
      </w:pPr>
      <w:r>
        <w:t>(a)</w:t>
      </w:r>
      <w:r w:rsidR="00017E3A">
        <w:t>  Send offerors’ responses to the solicitation provision in FAR 52.207-4 to the requiring activity.</w:t>
      </w:r>
    </w:p>
    <w:p w14:paraId="47163FE8" w14:textId="77777777" w:rsidR="00934719" w:rsidRDefault="00017E3A" w:rsidP="00C972A6">
      <w:pPr>
        <w:pStyle w:val="Heading2"/>
        <w:rPr>
          <w:rFonts w:eastAsia="Times New Roman"/>
        </w:rPr>
      </w:pPr>
      <w:bookmarkStart w:id="36" w:name="_Toc1567893"/>
      <w:bookmarkStart w:id="37" w:name="_Toc521999507"/>
      <w:bookmarkStart w:id="38" w:name="_Toc513812656"/>
      <w:bookmarkStart w:id="39" w:name="_Toc512603887"/>
      <w:bookmarkEnd w:id="36"/>
      <w:bookmarkEnd w:id="37"/>
      <w:bookmarkEnd w:id="38"/>
      <w:r>
        <w:rPr>
          <w:rFonts w:eastAsia="Times New Roman"/>
        </w:rPr>
        <w:t>Subpart 5107.3 – Contractor Versus Government Performance</w:t>
      </w:r>
      <w:bookmarkEnd w:id="39"/>
    </w:p>
    <w:p w14:paraId="47163FE9" w14:textId="77777777" w:rsidR="00934719" w:rsidRDefault="00017E3A">
      <w:pPr>
        <w:pStyle w:val="Heading4"/>
        <w:rPr>
          <w:rFonts w:eastAsia="Times New Roman"/>
        </w:rPr>
      </w:pPr>
      <w:bookmarkStart w:id="40" w:name="_Toc1567894"/>
      <w:bookmarkStart w:id="41" w:name="_Toc521999508"/>
      <w:bookmarkStart w:id="42" w:name="_Toc513812657"/>
      <w:bookmarkStart w:id="43" w:name="_Toc512603888"/>
      <w:bookmarkEnd w:id="40"/>
      <w:bookmarkEnd w:id="41"/>
      <w:bookmarkEnd w:id="42"/>
      <w:r>
        <w:rPr>
          <w:rFonts w:eastAsia="Times New Roman"/>
        </w:rPr>
        <w:t>5107.302  Policy.</w:t>
      </w:r>
      <w:bookmarkEnd w:id="43"/>
    </w:p>
    <w:p w14:paraId="47163FEA" w14:textId="43726917" w:rsidR="00934719" w:rsidRDefault="00017E3A">
      <w:pPr>
        <w:spacing w:after="240"/>
      </w:pPr>
      <w:r>
        <w:rPr>
          <w:rFonts w:ascii="Times New Roman" w:hAnsi="Times New Roman" w:cs="Times New Roman"/>
          <w:sz w:val="24"/>
          <w:szCs w:val="24"/>
        </w:rPr>
        <w:t xml:space="preserve">To achieve fair and even-handed competition between in-house entities and industry, the </w:t>
      </w:r>
      <w:r w:rsidR="00DF4894">
        <w:rPr>
          <w:rFonts w:ascii="Times New Roman" w:hAnsi="Times New Roman" w:cs="Times New Roman"/>
          <w:sz w:val="24"/>
          <w:szCs w:val="24"/>
        </w:rPr>
        <w:t>senior</w:t>
      </w:r>
      <w:r>
        <w:rPr>
          <w:rFonts w:ascii="Times New Roman" w:hAnsi="Times New Roman" w:cs="Times New Roman"/>
          <w:sz w:val="24"/>
          <w:szCs w:val="24"/>
        </w:rPr>
        <w:t xml:space="preserve"> contracting </w:t>
      </w:r>
      <w:r w:rsidR="00DF4894">
        <w:rPr>
          <w:rFonts w:ascii="Times New Roman" w:hAnsi="Times New Roman" w:cs="Times New Roman"/>
          <w:sz w:val="24"/>
          <w:szCs w:val="24"/>
        </w:rPr>
        <w:t xml:space="preserve">official </w:t>
      </w:r>
      <w:r>
        <w:rPr>
          <w:rFonts w:ascii="Times New Roman" w:hAnsi="Times New Roman" w:cs="Times New Roman"/>
          <w:sz w:val="24"/>
          <w:szCs w:val="24"/>
        </w:rPr>
        <w:t>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w:p w14:paraId="47163FEB" w14:textId="77777777" w:rsidR="00934719" w:rsidRDefault="00017E3A" w:rsidP="00C972A6">
      <w:pPr>
        <w:pStyle w:val="Heading2"/>
        <w:rPr>
          <w:rFonts w:eastAsia="Times New Roman"/>
        </w:rPr>
      </w:pPr>
      <w:bookmarkStart w:id="44" w:name="_Toc1567895"/>
      <w:bookmarkStart w:id="45" w:name="_Toc521999509"/>
      <w:bookmarkStart w:id="46" w:name="_Toc513812658"/>
      <w:bookmarkStart w:id="47" w:name="_Toc512603889"/>
      <w:bookmarkEnd w:id="44"/>
      <w:bookmarkEnd w:id="45"/>
      <w:bookmarkEnd w:id="46"/>
      <w:r>
        <w:rPr>
          <w:rFonts w:eastAsia="Times New Roman"/>
        </w:rPr>
        <w:lastRenderedPageBreak/>
        <w:t>Subpart 5107.4 – Equipment Lease or Purchase</w:t>
      </w:r>
      <w:bookmarkEnd w:id="47"/>
    </w:p>
    <w:p w14:paraId="717BDB12" w14:textId="77777777" w:rsidR="00C972A6" w:rsidRDefault="00017E3A">
      <w:pPr>
        <w:pStyle w:val="Heading4"/>
        <w:rPr>
          <w:rFonts w:eastAsia="Times New Roman"/>
        </w:rPr>
      </w:pPr>
      <w:bookmarkStart w:id="48" w:name="_Toc1567896"/>
      <w:bookmarkStart w:id="49" w:name="_Toc521999510"/>
      <w:bookmarkStart w:id="50" w:name="_Toc513812659"/>
      <w:bookmarkStart w:id="51" w:name="_Toc512603890"/>
      <w:bookmarkEnd w:id="48"/>
      <w:bookmarkEnd w:id="49"/>
      <w:bookmarkEnd w:id="50"/>
      <w:r>
        <w:rPr>
          <w:rFonts w:eastAsia="Times New Roman"/>
        </w:rPr>
        <w:t>5107.470  Statutory requirements.</w:t>
      </w:r>
      <w:bookmarkEnd w:id="51"/>
    </w:p>
    <w:p w14:paraId="47163FED" w14:textId="29CFBAD1" w:rsidR="00934719" w:rsidRDefault="00C972A6" w:rsidP="00C972A6">
      <w:pPr>
        <w:pStyle w:val="List1"/>
      </w:pPr>
      <w:r>
        <w:t>(b)</w:t>
      </w:r>
      <w:r w:rsidR="00017E3A">
        <w:t>  The head of the contracting activity shall make the determination as described in DFARS 207.470(b).  See Appendix GG for further delegation.</w:t>
      </w:r>
    </w:p>
    <w:p w14:paraId="47163FEE" w14:textId="77777777" w:rsidR="00934719" w:rsidRDefault="00017E3A" w:rsidP="00C972A6">
      <w:pPr>
        <w:pStyle w:val="Heading2"/>
        <w:rPr>
          <w:rFonts w:eastAsia="Times New Roman"/>
        </w:rPr>
      </w:pPr>
      <w:bookmarkStart w:id="52" w:name="_Toc1567897"/>
      <w:bookmarkStart w:id="53" w:name="_Toc521999511"/>
      <w:bookmarkStart w:id="54" w:name="_Toc513812660"/>
      <w:bookmarkStart w:id="55" w:name="_Toc512603891"/>
      <w:bookmarkEnd w:id="52"/>
      <w:bookmarkEnd w:id="53"/>
      <w:bookmarkEnd w:id="54"/>
      <w:r>
        <w:rPr>
          <w:rFonts w:eastAsia="Times New Roman"/>
        </w:rPr>
        <w:t>Subpart 5107.5 – Inherently Governmental Functions</w:t>
      </w:r>
      <w:bookmarkEnd w:id="55"/>
    </w:p>
    <w:p w14:paraId="33BFEB86" w14:textId="77777777" w:rsidR="00C972A6" w:rsidRDefault="00017E3A">
      <w:pPr>
        <w:pStyle w:val="Heading4"/>
        <w:rPr>
          <w:rFonts w:eastAsia="Times New Roman"/>
        </w:rPr>
      </w:pPr>
      <w:bookmarkStart w:id="56" w:name="_Toc1567898"/>
      <w:bookmarkStart w:id="57" w:name="_Toc521999512"/>
      <w:bookmarkStart w:id="58" w:name="_Toc513812661"/>
      <w:bookmarkStart w:id="59" w:name="_Toc512603892"/>
      <w:bookmarkEnd w:id="56"/>
      <w:bookmarkEnd w:id="57"/>
      <w:bookmarkEnd w:id="58"/>
      <w:r>
        <w:rPr>
          <w:rFonts w:eastAsia="Times New Roman"/>
        </w:rPr>
        <w:t>5107.503  Policy.</w:t>
      </w:r>
      <w:bookmarkEnd w:id="59"/>
    </w:p>
    <w:p w14:paraId="4ACCA6C1" w14:textId="7C50AF3F" w:rsidR="00C972A6" w:rsidRDefault="00C972A6" w:rsidP="00C972A6">
      <w:pPr>
        <w:pStyle w:val="List1"/>
      </w:pPr>
      <w:r>
        <w:t>(e)</w:t>
      </w:r>
      <w:r w:rsidR="00017E3A">
        <w:t xml:space="preserv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  </w:t>
      </w:r>
    </w:p>
    <w:p w14:paraId="47163FF1" w14:textId="273B4A77" w:rsidR="00934719" w:rsidRDefault="00C972A6" w:rsidP="00C972A6">
      <w:pPr>
        <w:pStyle w:val="List3"/>
      </w:pPr>
      <w:r>
        <w:rPr>
          <w:szCs w:val="24"/>
        </w:rPr>
        <w:t>(ii)</w:t>
      </w:r>
      <w:r w:rsidR="00017E3A">
        <w:rPr>
          <w:szCs w:val="24"/>
        </w:rPr>
        <w:t>  The Request for Services Contract Approval (RSCA) form (see Army Regulation (AR) 70-13), or the acquisition plan, acquisition strategy, or memorandum for file satisfies the requirement in 5107.503(e)(i).</w:t>
      </w:r>
    </w:p>
    <w:p w14:paraId="47163FF2" w14:textId="77777777" w:rsidR="00934719" w:rsidRDefault="00017E3A">
      <w:pPr>
        <w:pStyle w:val="ind4"/>
        <w:spacing w:after="240"/>
        <w:ind w:left="0"/>
      </w:pPr>
      <w:r>
        <w:rPr>
          <w:rFonts w:ascii="Times New Roman" w:hAnsi="Times New Roman" w:cs="Times New Roman"/>
          <w:sz w:val="24"/>
          <w:szCs w:val="24"/>
        </w:rPr>
        <w:t>      (iii)  RSCA policy for requiring activities is available at AR 70-13, sections 2-2 and 2-9, and at the Office of the Assistant Secretary of the Army (Manpower and Reserve Affairs) website:  </w:t>
      </w:r>
      <w:hyperlink r:id="rId8" w:history="1">
        <w:r>
          <w:rPr>
            <w:rStyle w:val="Hyperlink"/>
            <w:rFonts w:ascii="Times New Roman" w:hAnsi="Times New Roman" w:cs="Times New Roman"/>
            <w:sz w:val="24"/>
            <w:szCs w:val="24"/>
          </w:rPr>
          <w:t>http://www.asamra.army.mil/scra/</w:t>
        </w:r>
      </w:hyperlink>
      <w:r>
        <w:rPr>
          <w:rFonts w:ascii="Times New Roman" w:hAnsi="Times New Roman" w:cs="Times New Roman"/>
          <w:sz w:val="24"/>
          <w:szCs w:val="24"/>
        </w:rPr>
        <w:t xml:space="preserve">. </w:t>
      </w:r>
    </w:p>
    <w:p w14:paraId="47163FF3" w14:textId="77777777" w:rsidR="00934719" w:rsidRDefault="00017E3A">
      <w:pPr>
        <w:pStyle w:val="ind4"/>
        <w:spacing w:after="240"/>
        <w:ind w:left="0"/>
      </w:pPr>
      <w:r>
        <w:rPr>
          <w:rFonts w:ascii="Times New Roman" w:hAnsi="Times New Roman" w:cs="Times New Roman"/>
          <w:sz w:val="24"/>
          <w:szCs w:val="24"/>
        </w:rPr>
        <w:t> </w:t>
      </w:r>
    </w:p>
    <w:p w14:paraId="47163FF4" w14:textId="77777777" w:rsidR="00934719" w:rsidRDefault="00017E3A" w:rsidP="00C972A6">
      <w:pPr>
        <w:pStyle w:val="Heading2"/>
        <w:rPr>
          <w:rFonts w:eastAsia="Times New Roman"/>
        </w:rPr>
      </w:pPr>
      <w:bookmarkStart w:id="60" w:name="_Toc1567899"/>
      <w:bookmarkStart w:id="61" w:name="_Toc521999513"/>
      <w:bookmarkStart w:id="62" w:name="_Toc513812662"/>
      <w:bookmarkStart w:id="63" w:name="_Toc512603893"/>
      <w:bookmarkEnd w:id="60"/>
      <w:bookmarkEnd w:id="61"/>
      <w:bookmarkEnd w:id="62"/>
      <w:r>
        <w:rPr>
          <w:rFonts w:eastAsia="Times New Roman"/>
        </w:rPr>
        <w:t>Subpart 5107.90 – Independent Government Estimates</w:t>
      </w:r>
      <w:bookmarkEnd w:id="63"/>
    </w:p>
    <w:p w14:paraId="47163FF5" w14:textId="77777777" w:rsidR="00934719" w:rsidRDefault="00017E3A">
      <w:pPr>
        <w:pStyle w:val="Heading4"/>
        <w:rPr>
          <w:rFonts w:eastAsia="Times New Roman"/>
        </w:rPr>
      </w:pPr>
      <w:bookmarkStart w:id="64" w:name="_Toc1567900"/>
      <w:bookmarkStart w:id="65" w:name="_Toc521999514"/>
      <w:bookmarkStart w:id="66" w:name="_Toc513812663"/>
      <w:bookmarkStart w:id="67" w:name="_Toc512603894"/>
      <w:bookmarkEnd w:id="64"/>
      <w:bookmarkEnd w:id="65"/>
      <w:bookmarkEnd w:id="66"/>
      <w:r>
        <w:rPr>
          <w:rFonts w:eastAsia="Times New Roman"/>
        </w:rPr>
        <w:t>5107.9000  Scope.</w:t>
      </w:r>
      <w:bookmarkEnd w:id="67"/>
    </w:p>
    <w:p w14:paraId="47163FF6" w14:textId="77777777" w:rsidR="00934719" w:rsidRDefault="00017E3A">
      <w:pPr>
        <w:spacing w:after="240"/>
      </w:pPr>
      <w:r>
        <w:rPr>
          <w:rFonts w:ascii="Times New Roman" w:hAnsi="Times New Roman" w:cs="Times New Roman"/>
          <w:sz w:val="24"/>
          <w:szCs w:val="24"/>
        </w:rPr>
        <w:t>This subpart prescribes policy for the preparation of independent government  estimates.</w:t>
      </w:r>
    </w:p>
    <w:p w14:paraId="47163FF7" w14:textId="77777777" w:rsidR="00934719" w:rsidRDefault="00017E3A">
      <w:pPr>
        <w:pStyle w:val="Heading4"/>
        <w:rPr>
          <w:rFonts w:eastAsia="Times New Roman"/>
        </w:rPr>
      </w:pPr>
      <w:bookmarkStart w:id="68" w:name="_Toc1567901"/>
      <w:bookmarkStart w:id="69" w:name="_Toc521999515"/>
      <w:bookmarkStart w:id="70" w:name="_Toc513812664"/>
      <w:bookmarkStart w:id="71" w:name="_Toc512603895"/>
      <w:bookmarkEnd w:id="68"/>
      <w:bookmarkEnd w:id="69"/>
      <w:bookmarkEnd w:id="70"/>
      <w:r>
        <w:rPr>
          <w:rFonts w:eastAsia="Times New Roman"/>
        </w:rPr>
        <w:t>5107.9001  Definitions.</w:t>
      </w:r>
      <w:bookmarkEnd w:id="71"/>
    </w:p>
    <w:p w14:paraId="47163FF8" w14:textId="77777777" w:rsidR="00934719" w:rsidRDefault="00017E3A">
      <w:pPr>
        <w:spacing w:after="240"/>
      </w:pPr>
      <w:r>
        <w:rPr>
          <w:rFonts w:ascii="Times New Roman" w:hAnsi="Times New Roman" w:cs="Times New Roman"/>
          <w:sz w:val="24"/>
          <w:szCs w:val="24"/>
        </w:rPr>
        <w:t>“Independent government  estimate (IGE),” as used in this subpart, means the Government’s estimate of the projected price or cost that a contractor would incur in the successful performance of a contract.</w:t>
      </w:r>
    </w:p>
    <w:p w14:paraId="55453639" w14:textId="77777777" w:rsidR="00C972A6" w:rsidRDefault="00017E3A">
      <w:pPr>
        <w:pStyle w:val="Heading4"/>
        <w:rPr>
          <w:rFonts w:eastAsia="Times New Roman"/>
        </w:rPr>
      </w:pPr>
      <w:bookmarkStart w:id="72" w:name="_Toc1567902"/>
      <w:bookmarkStart w:id="73" w:name="_Toc521999516"/>
      <w:bookmarkStart w:id="74" w:name="_Toc513812665"/>
      <w:bookmarkStart w:id="75" w:name="_Toc512603896"/>
      <w:bookmarkEnd w:id="72"/>
      <w:bookmarkEnd w:id="73"/>
      <w:bookmarkEnd w:id="74"/>
      <w:r>
        <w:rPr>
          <w:rFonts w:eastAsia="Times New Roman"/>
        </w:rPr>
        <w:t>5107.9002  Policy.</w:t>
      </w:r>
      <w:bookmarkEnd w:id="75"/>
    </w:p>
    <w:p w14:paraId="30D84154" w14:textId="2E795A72" w:rsidR="00C972A6" w:rsidRDefault="00C972A6" w:rsidP="00C972A6">
      <w:pPr>
        <w:pStyle w:val="List1"/>
      </w:pPr>
      <w:r>
        <w:t>(a)</w:t>
      </w:r>
      <w:r w:rsidR="00017E3A">
        <w:t>  Contracting officers shall require the preparation of an IGE in every procurement action in excess of the simplified acquisition threshold (SAT).  The contracting officer, at his or her discretion, may require an IGE for actions less than the SAT.</w:t>
      </w:r>
    </w:p>
    <w:p w14:paraId="70E955C5" w14:textId="5768B2EB" w:rsidR="00C972A6" w:rsidRDefault="00C972A6" w:rsidP="00C972A6">
      <w:pPr>
        <w:pStyle w:val="List1"/>
      </w:pPr>
      <w:r>
        <w:lastRenderedPageBreak/>
        <w:t>(b)</w:t>
      </w:r>
      <w:r w:rsidR="00017E3A">
        <w:t>  The contracting officer shall ensure, prior to accepting an IGE, that—</w:t>
      </w:r>
    </w:p>
    <w:p w14:paraId="4BA8A0C3" w14:textId="55B6ECEE" w:rsidR="00C972A6" w:rsidRDefault="00C972A6" w:rsidP="00C972A6">
      <w:pPr>
        <w:pStyle w:val="List2"/>
      </w:pPr>
      <w:r>
        <w:rPr>
          <w:szCs w:val="24"/>
        </w:rPr>
        <w:t>(1)</w:t>
      </w:r>
      <w:r w:rsidR="00017E3A">
        <w:rPr>
          <w:szCs w:val="24"/>
        </w:rPr>
        <w:t>  The IGE contains enough detail to verify the validity of the offerors’ proposals;</w:t>
      </w:r>
    </w:p>
    <w:p w14:paraId="0EEF07AB" w14:textId="2A52472C" w:rsidR="00C972A6" w:rsidRDefault="00C972A6" w:rsidP="00C972A6">
      <w:pPr>
        <w:pStyle w:val="List2"/>
      </w:pPr>
      <w:r>
        <w:rPr>
          <w:szCs w:val="24"/>
        </w:rPr>
        <w:t>(2)</w:t>
      </w:r>
      <w:r w:rsidR="00017E3A">
        <w:rPr>
          <w:szCs w:val="24"/>
        </w:rPr>
        <w:t>  The IGE provides sufficient narrative and analytical detail, to include reference material, to support its preparation;</w:t>
      </w:r>
    </w:p>
    <w:p w14:paraId="36ECA7B3" w14:textId="16B2B1CE" w:rsidR="00C972A6" w:rsidRDefault="00C972A6" w:rsidP="00C972A6">
      <w:pPr>
        <w:pStyle w:val="List2"/>
      </w:pPr>
      <w:r>
        <w:rPr>
          <w:szCs w:val="24"/>
        </w:rPr>
        <w:t>(3)</w:t>
      </w:r>
      <w:r w:rsidR="00017E3A">
        <w:rPr>
          <w:szCs w:val="24"/>
        </w:rPr>
        <w:t>  The IGE contains a certification that the Government independently developed the IGE prior to seeking formal proposals from contractors, or for construction, within a timeframe consistent with FAR 36.203; and:</w:t>
      </w:r>
    </w:p>
    <w:p w14:paraId="47163FFF" w14:textId="0B1262C9" w:rsidR="00934719" w:rsidRDefault="00C972A6" w:rsidP="00C972A6">
      <w:pPr>
        <w:pStyle w:val="List3"/>
      </w:pPr>
      <w:r>
        <w:rPr>
          <w:szCs w:val="24"/>
        </w:rPr>
        <w:t>(i)</w:t>
      </w:r>
      <w:r w:rsidR="00017E3A">
        <w:rPr>
          <w:szCs w:val="24"/>
        </w:rPr>
        <w:t xml:space="preserve"> Be signed and dated,  by hand or by Common-Access-Card (CAC), by the preparer,  and includes the preparer’s organization, position, title, and telephone number;</w:t>
      </w:r>
    </w:p>
    <w:p w14:paraId="47164000" w14:textId="4BDCD147" w:rsidR="00934719" w:rsidRDefault="00017E3A">
      <w:pPr>
        <w:spacing w:after="240"/>
        <w:ind w:firstLine="1080"/>
      </w:pPr>
      <w:r>
        <w:rPr>
          <w:rFonts w:ascii="Times New Roman" w:hAnsi="Times New Roman" w:cs="Times New Roman"/>
          <w:sz w:val="24"/>
          <w:szCs w:val="24"/>
        </w:rPr>
        <w:t> (ii)  Be signed and dated</w:t>
      </w:r>
      <w:r w:rsidR="00F03096">
        <w:rPr>
          <w:rFonts w:ascii="Times New Roman" w:hAnsi="Times New Roman" w:cs="Times New Roman"/>
          <w:sz w:val="24"/>
          <w:szCs w:val="24"/>
        </w:rPr>
        <w:t>,  by hand or by CAC, by the pre</w:t>
      </w:r>
      <w:r>
        <w:rPr>
          <w:rFonts w:ascii="Times New Roman" w:hAnsi="Times New Roman" w:cs="Times New Roman"/>
          <w:sz w:val="24"/>
          <w:szCs w:val="24"/>
        </w:rPr>
        <w:t xml:space="preserve">parer’s immediate supervisor, and includes the reviewer’s organization, position, title, rank or grade, and telephone number. </w:t>
      </w:r>
    </w:p>
    <w:p w14:paraId="47164001" w14:textId="77777777" w:rsidR="00934719" w:rsidRDefault="00017E3A" w:rsidP="00C972A6">
      <w:pPr>
        <w:pStyle w:val="Heading2"/>
        <w:rPr>
          <w:rFonts w:eastAsia="Times New Roman"/>
        </w:rPr>
      </w:pPr>
      <w:bookmarkStart w:id="76" w:name="_Toc1567903"/>
      <w:bookmarkStart w:id="77" w:name="_Toc521999517"/>
      <w:bookmarkStart w:id="78" w:name="_Toc513812666"/>
      <w:bookmarkStart w:id="79" w:name="_Toc512603897"/>
      <w:bookmarkEnd w:id="76"/>
      <w:bookmarkEnd w:id="77"/>
      <w:bookmarkEnd w:id="78"/>
      <w:r>
        <w:rPr>
          <w:rFonts w:eastAsia="Times New Roman"/>
        </w:rPr>
        <w:t>Subpart 5107.91 – Integrating Antiterrorism and Operations Security</w:t>
      </w:r>
      <w:bookmarkEnd w:id="79"/>
    </w:p>
    <w:p w14:paraId="47164002" w14:textId="77777777" w:rsidR="00934719" w:rsidRDefault="00017E3A" w:rsidP="00C972A6">
      <w:pPr>
        <w:pStyle w:val="Heading3"/>
        <w:rPr>
          <w:rFonts w:eastAsia="Times New Roman"/>
        </w:rPr>
      </w:pPr>
      <w:bookmarkStart w:id="80" w:name="_Toc1567904"/>
      <w:bookmarkStart w:id="81" w:name="_Toc521999518"/>
      <w:bookmarkStart w:id="82" w:name="_Toc513812667"/>
      <w:bookmarkStart w:id="83" w:name="_Toc512603898"/>
      <w:bookmarkEnd w:id="80"/>
      <w:bookmarkEnd w:id="81"/>
      <w:bookmarkEnd w:id="82"/>
      <w:r w:rsidRPr="00C972A6">
        <w:rPr>
          <w:rFonts w:eastAsia="Times New Roman"/>
        </w:rPr>
        <w:t xml:space="preserve">5107.9100 </w:t>
      </w:r>
      <w:r>
        <w:rPr>
          <w:rFonts w:eastAsia="Times New Roman"/>
        </w:rPr>
        <w:t> Scope.</w:t>
      </w:r>
      <w:bookmarkEnd w:id="83"/>
    </w:p>
    <w:p w14:paraId="47164003" w14:textId="77777777" w:rsidR="00934719" w:rsidRDefault="00017E3A">
      <w:pPr>
        <w:spacing w:after="240"/>
      </w:pPr>
      <w:r>
        <w:rPr>
          <w:rFonts w:ascii="Times New Roman" w:hAnsi="Times New Roman" w:cs="Times New Roman"/>
          <w:sz w:val="24"/>
          <w:szCs w:val="24"/>
        </w:rPr>
        <w:t>This subpart prescribes policy for integrating antiterrorism (AT) and operations security (OPSEC) considerations into Army contracts.</w:t>
      </w:r>
    </w:p>
    <w:p w14:paraId="47164004" w14:textId="77777777" w:rsidR="00934719" w:rsidRDefault="00017E3A">
      <w:pPr>
        <w:pStyle w:val="Heading4"/>
        <w:rPr>
          <w:rFonts w:eastAsia="Times New Roman"/>
        </w:rPr>
      </w:pPr>
      <w:bookmarkStart w:id="84" w:name="_Toc1567905"/>
      <w:bookmarkStart w:id="85" w:name="_Toc521999519"/>
      <w:bookmarkStart w:id="86" w:name="_Toc513812668"/>
      <w:bookmarkStart w:id="87" w:name="_Toc512603899"/>
      <w:bookmarkEnd w:id="84"/>
      <w:bookmarkEnd w:id="85"/>
      <w:bookmarkEnd w:id="86"/>
      <w:r>
        <w:rPr>
          <w:rFonts w:eastAsia="Times New Roman"/>
        </w:rPr>
        <w:t>5107.9101  Policy.</w:t>
      </w:r>
      <w:bookmarkEnd w:id="87"/>
    </w:p>
    <w:p w14:paraId="47164005" w14:textId="0DB68861" w:rsidR="00934719" w:rsidRDefault="00017E3A">
      <w:pPr>
        <w:spacing w:after="240"/>
      </w:pPr>
      <w:r>
        <w:rPr>
          <w:rFonts w:ascii="Times New Roman" w:hAnsi="Times New Roman" w:cs="Times New Roman"/>
          <w:sz w:val="24"/>
          <w:szCs w:val="24"/>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Id9" w:history="1">
        <w:r w:rsidR="00CE462A">
          <w:rPr>
            <w:rStyle w:val="Hyperlink"/>
            <w:rFonts w:ascii="Times New Roman" w:hAnsi="Times New Roman" w:cs="Times New Roman"/>
            <w:sz w:val="24"/>
            <w:szCs w:val="24"/>
            <w:lang w:val="en"/>
          </w:rPr>
          <w:t>https://army.deps.mil/army/sites/PMG/prog/ATEP/AT%20in%20Contracting/AT%20OPSEC%20Desk%20Reference%205th%20Edition_web.pdf</w:t>
        </w:r>
      </w:hyperlink>
      <w:r w:rsidR="007051D9">
        <w:rPr>
          <w:rFonts w:ascii="Times New Roman" w:hAnsi="Times New Roman" w:cs="Times New Roman"/>
          <w:sz w:val="24"/>
          <w:szCs w:val="24"/>
          <w:lang w:val="en"/>
        </w:rPr>
        <w:t xml:space="preserve"> </w:t>
      </w:r>
      <w:r>
        <w:rPr>
          <w:rFonts w:ascii="Times New Roman" w:hAnsi="Times New Roman" w:cs="Times New Roman"/>
          <w:sz w:val="24"/>
          <w:szCs w:val="24"/>
        </w:rPr>
        <w:t>(Army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rsidR="0093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3A"/>
    <w:rsid w:val="00017E3A"/>
    <w:rsid w:val="002419EC"/>
    <w:rsid w:val="003B287F"/>
    <w:rsid w:val="007051D9"/>
    <w:rsid w:val="00767623"/>
    <w:rsid w:val="00934719"/>
    <w:rsid w:val="00962212"/>
    <w:rsid w:val="00C972A6"/>
    <w:rsid w:val="00CE462A"/>
    <w:rsid w:val="00DF4894"/>
    <w:rsid w:val="00F0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63FA5"/>
  <w15:chartTrackingRefBased/>
  <w15:docId w15:val="{78BAFFD3-9EFD-44AD-AEB7-D7AF2DA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szCs w:val="22"/>
    </w:rPr>
  </w:style>
  <w:style w:type="paragraph" w:styleId="Heading1">
    <w:name w:val="heading 1"/>
    <w:basedOn w:val="Normal"/>
    <w:next w:val="Normal"/>
    <w:link w:val="Heading1Char"/>
    <w:uiPriority w:val="9"/>
    <w:qFormat/>
    <w:rsid w:val="00C972A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link w:val="Heading2Char"/>
    <w:uiPriority w:val="9"/>
    <w:qFormat/>
    <w:rsid w:val="00C972A6"/>
    <w:pPr>
      <w:keepNext/>
      <w:keepLines/>
      <w:spacing w:after="240"/>
      <w:jc w:val="center"/>
      <w:outlineLvl w:val="1"/>
    </w:pPr>
    <w:rPr>
      <w:rFonts w:ascii="Times New Roman" w:hAnsi="Times New Roman" w:cs="Times New Roman"/>
      <w:b/>
      <w:bCs/>
      <w:sz w:val="32"/>
      <w:szCs w:val="32"/>
    </w:rPr>
  </w:style>
  <w:style w:type="paragraph" w:styleId="Heading3">
    <w:name w:val="heading 3"/>
    <w:basedOn w:val="Normal"/>
    <w:link w:val="Heading3Char"/>
    <w:uiPriority w:val="9"/>
    <w:qFormat/>
    <w:rsid w:val="00C972A6"/>
    <w:pPr>
      <w:spacing w:after="240"/>
      <w:outlineLvl w:val="2"/>
    </w:pPr>
    <w:rPr>
      <w:rFonts w:ascii="Times New Roman" w:hAnsi="Times New Roman" w:cs="Times New Roman"/>
      <w:b/>
      <w:bCs/>
      <w:szCs w:val="24"/>
    </w:rPr>
  </w:style>
  <w:style w:type="paragraph" w:styleId="Heading4">
    <w:name w:val="heading 4"/>
    <w:basedOn w:val="Normal"/>
    <w:link w:val="Heading4Char"/>
    <w:uiPriority w:val="9"/>
    <w:qFormat/>
    <w:pPr>
      <w:spacing w:after="240"/>
      <w:outlineLvl w:val="3"/>
    </w:pPr>
    <w:rPr>
      <w:rFonts w:ascii="Times New Roman" w:hAnsi="Times New Roman" w:cs="Times New Roman"/>
      <w:b/>
      <w:bCs/>
      <w:sz w:val="24"/>
      <w:szCs w:val="24"/>
    </w:rPr>
  </w:style>
  <w:style w:type="paragraph" w:styleId="Heading5">
    <w:name w:val="heading 5"/>
    <w:basedOn w:val="Normal"/>
    <w:link w:val="Heading5Char"/>
    <w:uiPriority w:val="9"/>
    <w:qFormat/>
    <w:pPr>
      <w:spacing w:after="240"/>
      <w:outlineLvl w:val="4"/>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C972A6"/>
    <w:rPr>
      <w:rFonts w:ascii="Times New Roman" w:eastAsiaTheme="minorEastAsia" w:hAnsi="Times New Roman" w:cs="Times New Roman"/>
      <w:b/>
      <w:bCs/>
      <w:sz w:val="32"/>
      <w:szCs w:val="32"/>
    </w:rPr>
  </w:style>
  <w:style w:type="character" w:customStyle="1" w:styleId="Heading3Char">
    <w:name w:val="Heading 3 Char"/>
    <w:basedOn w:val="DefaultParagraphFont"/>
    <w:link w:val="Heading3"/>
    <w:uiPriority w:val="9"/>
    <w:rsid w:val="00C972A6"/>
    <w:rPr>
      <w:rFonts w:ascii="Times New Roman" w:eastAsiaTheme="minorEastAsia" w:hAnsi="Times New Roman" w:cs="Times New Roman"/>
      <w:b/>
      <w:bCs/>
      <w:sz w:val="22"/>
      <w:szCs w:val="24"/>
    </w:rPr>
  </w:style>
  <w:style w:type="character" w:customStyle="1" w:styleId="Heading4Char">
    <w:name w:val="Heading 4 Char"/>
    <w:basedOn w:val="DefaultParagraphFont"/>
    <w:link w:val="Heading4"/>
    <w:uiPriority w:val="9"/>
    <w:semiHidden/>
    <w:rPr>
      <w:rFonts w:ascii="Times New Roman" w:hAnsi="Times New Roman" w:cs="Times New Roman" w:hint="default"/>
      <w:b/>
      <w:bCs/>
    </w:rPr>
  </w:style>
  <w:style w:type="character" w:customStyle="1" w:styleId="Heading5Char">
    <w:name w:val="Heading 5 Char"/>
    <w:basedOn w:val="DefaultParagraphFont"/>
    <w:link w:val="Heading5"/>
    <w:uiPriority w:val="9"/>
    <w:semiHidden/>
    <w:rPr>
      <w:b/>
      <w:bCs/>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autoRedefine/>
    <w:uiPriority w:val="39"/>
    <w:semiHidden/>
    <w:unhideWhenUsed/>
    <w:pPr>
      <w:spacing w:after="100"/>
      <w:ind w:left="440"/>
    </w:pPr>
  </w:style>
  <w:style w:type="paragraph" w:styleId="TOC4">
    <w:name w:val="toc 4"/>
    <w:basedOn w:val="Normal"/>
    <w:autoRedefine/>
    <w:uiPriority w:val="39"/>
    <w:semiHidden/>
    <w:unhideWhenUsed/>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PlainText">
    <w:name w:val="Plain Text"/>
    <w:basedOn w:val="Normal"/>
    <w:link w:val="PlainTextChar"/>
    <w:uiPriority w:val="99"/>
    <w:semiHidden/>
    <w:unhideWhenUsed/>
    <w:pPr>
      <w:spacing w:after="0" w:line="240" w:lineRule="auto"/>
    </w:pPr>
  </w:style>
  <w:style w:type="character" w:customStyle="1" w:styleId="PlainTextChar">
    <w:name w:val="Plain Text Char"/>
    <w:basedOn w:val="DefaultParagraphFont"/>
    <w:link w:val="PlainText"/>
    <w:uiPriority w:val="99"/>
    <w:semiHidden/>
    <w:rPr>
      <w:rFonts w:ascii="Calibri" w:hAnsi="Calibri" w:cs="Calibri" w:hint="default"/>
    </w:rPr>
  </w:style>
  <w:style w:type="paragraph" w:styleId="CommentSubject">
    <w:name w:val="annotation subject"/>
    <w:basedOn w:val="Normal"/>
    <w:link w:val="CommentSubjectChar"/>
    <w:uiPriority w:val="99"/>
    <w:semiHidden/>
    <w:unhideWhenUsed/>
    <w:pPr>
      <w:spacing w:line="240" w:lineRule="auto"/>
    </w:pPr>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ind4">
    <w:name w:val="ind .4"/>
    <w:basedOn w:val="Normal"/>
    <w:pPr>
      <w:ind w:left="576"/>
    </w:pPr>
  </w:style>
  <w:style w:type="paragraph" w:customStyle="1" w:styleId="ind12">
    <w:name w:val="ind 1.2"/>
    <w:basedOn w:val="Normal"/>
    <w:pPr>
      <w:ind w:left="1728"/>
    </w:pPr>
  </w:style>
  <w:style w:type="paragraph" w:customStyle="1" w:styleId="ind16">
    <w:name w:val="ind 1.6"/>
    <w:basedOn w:val="Normal"/>
    <w:pPr>
      <w:ind w:left="2304"/>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C972A6"/>
    <w:rPr>
      <w:rFonts w:ascii="Times New Roman" w:eastAsiaTheme="majorEastAsia" w:hAnsi="Times New Roman" w:cs="Times New Roman"/>
      <w:b/>
      <w:sz w:val="32"/>
      <w:szCs w:val="32"/>
    </w:rPr>
  </w:style>
  <w:style w:type="paragraph" w:styleId="List2">
    <w:name w:val="List 2"/>
    <w:basedOn w:val="Normal"/>
    <w:uiPriority w:val="99"/>
    <w:semiHidden/>
    <w:unhideWhenUsed/>
    <w:rsid w:val="00C972A6"/>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2A6"/>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C972A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2A6"/>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C972A6"/>
    <w:pPr>
      <w:spacing w:after="160" w:line="240" w:lineRule="auto"/>
    </w:pPr>
    <w:rPr>
      <w:rFonts w:ascii="Times New Roman" w:eastAsia="Times New Roman" w:hAnsi="Times New Roman" w:cs="Times New Roman"/>
      <w:sz w:val="24"/>
    </w:rPr>
  </w:style>
  <w:style w:type="character" w:customStyle="1" w:styleId="List1Char">
    <w:name w:val="List 1 Char"/>
    <w:basedOn w:val="Heading4Char"/>
    <w:link w:val="List1"/>
    <w:rsid w:val="00C972A6"/>
    <w:rPr>
      <w:rFonts w:ascii="Times New Roman" w:hAnsi="Times New Roman" w:cs="Times New Roman" w:hint="default"/>
      <w:b w:val="0"/>
      <w:bCs w:val="0"/>
      <w:sz w:val="24"/>
      <w:szCs w:val="22"/>
    </w:rPr>
  </w:style>
  <w:style w:type="paragraph" w:customStyle="1" w:styleId="List6">
    <w:name w:val="List 6"/>
    <w:link w:val="List6Char"/>
    <w:rsid w:val="00C972A6"/>
    <w:pPr>
      <w:spacing w:line="259" w:lineRule="auto"/>
      <w:ind w:firstLine="2160"/>
    </w:pPr>
    <w:rPr>
      <w:rFonts w:ascii="Times New Roman" w:hAnsi="Times New Roman" w:cs="Times New Roman"/>
      <w:bCs/>
      <w:sz w:val="24"/>
      <w:szCs w:val="24"/>
    </w:rPr>
  </w:style>
  <w:style w:type="character" w:customStyle="1" w:styleId="List6Char">
    <w:name w:val="List 6 Char"/>
    <w:basedOn w:val="Heading4Char"/>
    <w:link w:val="List6"/>
    <w:rsid w:val="00C972A6"/>
    <w:rPr>
      <w:rFonts w:ascii="Times New Roman" w:hAnsi="Times New Roman" w:cs="Times New Roman" w:hint="default"/>
      <w:b w:val="0"/>
      <w:bCs/>
      <w:sz w:val="24"/>
      <w:szCs w:val="24"/>
    </w:rPr>
  </w:style>
  <w:style w:type="paragraph" w:customStyle="1" w:styleId="List7">
    <w:name w:val="List 7"/>
    <w:link w:val="List7Char"/>
    <w:rsid w:val="00C972A6"/>
    <w:pPr>
      <w:spacing w:after="160" w:line="259" w:lineRule="auto"/>
      <w:ind w:firstLine="3240"/>
      <w:contextualSpacing/>
    </w:pPr>
    <w:rPr>
      <w:rFonts w:ascii="Times New Roman" w:hAnsi="Times New Roman" w:cs="Times New Roman"/>
      <w:b/>
    </w:rPr>
  </w:style>
  <w:style w:type="character" w:customStyle="1" w:styleId="List7Char">
    <w:name w:val="List 7 Char"/>
    <w:basedOn w:val="Heading4Char"/>
    <w:link w:val="List7"/>
    <w:rsid w:val="00C972A6"/>
    <w:rPr>
      <w:rFonts w:ascii="Times New Roman" w:hAnsi="Times New Roman" w:cs="Times New Roman" w:hint="default"/>
      <w:b/>
      <w:bCs w:val="0"/>
    </w:rPr>
  </w:style>
  <w:style w:type="paragraph" w:customStyle="1" w:styleId="List8">
    <w:name w:val="List 8"/>
    <w:link w:val="List8Char"/>
    <w:rsid w:val="00C972A6"/>
    <w:pPr>
      <w:spacing w:after="160" w:line="259" w:lineRule="auto"/>
      <w:ind w:firstLine="3600"/>
    </w:pPr>
    <w:rPr>
      <w:rFonts w:ascii="Times New Roman" w:hAnsi="Times New Roman" w:cs="Times New Roman"/>
      <w:bCs/>
      <w:sz w:val="24"/>
      <w:szCs w:val="24"/>
    </w:rPr>
  </w:style>
  <w:style w:type="character" w:customStyle="1" w:styleId="List8Char">
    <w:name w:val="List 8 Char"/>
    <w:basedOn w:val="Heading4Char"/>
    <w:link w:val="List8"/>
    <w:rsid w:val="00C972A6"/>
    <w:rPr>
      <w:rFonts w:ascii="Times New Roman" w:hAnsi="Times New Roman" w:cs="Times New Roman" w:hint="default"/>
      <w:b w:val="0"/>
      <w:bCs/>
      <w:sz w:val="24"/>
      <w:szCs w:val="24"/>
    </w:rPr>
  </w:style>
  <w:style w:type="paragraph" w:customStyle="1" w:styleId="List1change">
    <w:name w:val="List 1_change"/>
    <w:basedOn w:val="List4"/>
    <w:link w:val="List1changeChar"/>
    <w:rsid w:val="00C972A6"/>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C972A6"/>
    <w:rPr>
      <w:rFonts w:ascii="Times New Roman" w:eastAsiaTheme="minorEastAsia" w:hAnsi="Times New Roman" w:cs="Times New Roman"/>
      <w:sz w:val="24"/>
      <w:szCs w:val="22"/>
    </w:rPr>
  </w:style>
  <w:style w:type="character" w:customStyle="1" w:styleId="List1changeChar">
    <w:name w:val="List 1_change Char"/>
    <w:basedOn w:val="List4Char"/>
    <w:link w:val="List1change"/>
    <w:rsid w:val="00C972A6"/>
    <w:rPr>
      <w:rFonts w:ascii="Times New Roman" w:eastAsiaTheme="minorEastAsia" w:hAnsi="Times New Roman" w:cs="Times New Roman"/>
      <w:color w:val="000000"/>
      <w:sz w:val="24"/>
      <w:szCs w:val="24"/>
    </w:rPr>
  </w:style>
  <w:style w:type="paragraph" w:customStyle="1" w:styleId="List2change">
    <w:name w:val="List 2_change"/>
    <w:basedOn w:val="List4"/>
    <w:link w:val="List2changeChar"/>
    <w:rsid w:val="00C972A6"/>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C972A6"/>
    <w:rPr>
      <w:rFonts w:ascii="Times New Roman" w:eastAsiaTheme="minorEastAsia" w:hAnsi="Times New Roman" w:cs="Times New Roman"/>
      <w:color w:val="000000"/>
      <w:sz w:val="24"/>
      <w:szCs w:val="24"/>
    </w:rPr>
  </w:style>
  <w:style w:type="paragraph" w:customStyle="1" w:styleId="List3change">
    <w:name w:val="List 3_change"/>
    <w:basedOn w:val="List4"/>
    <w:link w:val="List3changeChar"/>
    <w:rsid w:val="00C972A6"/>
    <w:pPr>
      <w:spacing w:after="0" w:line="240" w:lineRule="auto"/>
      <w:ind w:left="1080" w:hanging="360"/>
    </w:pPr>
    <w:rPr>
      <w:szCs w:val="24"/>
    </w:rPr>
  </w:style>
  <w:style w:type="character" w:customStyle="1" w:styleId="List3changeChar">
    <w:name w:val="List 3_change Char"/>
    <w:basedOn w:val="List4Char"/>
    <w:link w:val="List3change"/>
    <w:rsid w:val="00C972A6"/>
    <w:rPr>
      <w:rFonts w:ascii="Times New Roman" w:eastAsiaTheme="minorEastAsia" w:hAnsi="Times New Roman" w:cs="Times New Roman"/>
      <w:sz w:val="24"/>
      <w:szCs w:val="24"/>
    </w:rPr>
  </w:style>
  <w:style w:type="paragraph" w:customStyle="1" w:styleId="List4change">
    <w:name w:val="List 4_change"/>
    <w:basedOn w:val="List4"/>
    <w:link w:val="List4changeChar"/>
    <w:rsid w:val="00C972A6"/>
    <w:pPr>
      <w:spacing w:after="0" w:line="240" w:lineRule="auto"/>
      <w:ind w:left="1440" w:hanging="360"/>
    </w:pPr>
    <w:rPr>
      <w:szCs w:val="24"/>
    </w:rPr>
  </w:style>
  <w:style w:type="character" w:customStyle="1" w:styleId="List4changeChar">
    <w:name w:val="List 4_change Char"/>
    <w:basedOn w:val="List4Char"/>
    <w:link w:val="List4change"/>
    <w:rsid w:val="00C972A6"/>
    <w:rPr>
      <w:rFonts w:ascii="Times New Roman" w:eastAsiaTheme="minorEastAsia" w:hAnsi="Times New Roman" w:cs="Times New Roman"/>
      <w:sz w:val="24"/>
      <w:szCs w:val="24"/>
    </w:rPr>
  </w:style>
  <w:style w:type="paragraph" w:styleId="List">
    <w:name w:val="List"/>
    <w:basedOn w:val="Normal"/>
    <w:uiPriority w:val="99"/>
    <w:semiHidden/>
    <w:unhideWhenUsed/>
    <w:rsid w:val="0076762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amra.army.mil/insourc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my.deps.mil/army/sites/PMG/prog/ATEP/AT%20in%20Contracting/AT%20OPSEC%20Desk%20Reference%205th%20Edition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class="ExternalClass6B599DAF80A341C3BD02DD19F93829D8"&gt;&lt;p&gt;PARC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5107</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DASAP-90-599</_dlc_DocId>
    <_dlc_DocIdUrl xmlns="4d2834f2-6e62-48ef-822a-880d84868a39">
      <Url>https://spcs3.kc.army.mil/asaalt/ZPTeam/PPS/_layouts/15/DocIdRedir.aspx?ID=DASAP-90-599</Url>
      <Description>DASAP-90-599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FFEECC3-50AA-481B-9149-75C7C8445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B71FC-5CCC-4F97-A66B-076D1C6BB675}">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0C157E54-E00B-4C73-9ED3-72632B0C903B}">
  <ds:schemaRefs>
    <ds:schemaRef ds:uri="http://schemas.microsoft.com/sharepoint/v3/contenttype/forms"/>
  </ds:schemaRefs>
</ds:datastoreItem>
</file>

<file path=customXml/itemProps4.xml><?xml version="1.0" encoding="utf-8"?>
<ds:datastoreItem xmlns:ds="http://schemas.openxmlformats.org/officeDocument/2006/customXml" ds:itemID="{54BBE112-9824-46D1-9DFC-AF7DC7F8393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AFARS 5107_Revision_28_01</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5107_Revision_28_01</dc:title>
  <dc:subject/>
  <dc:creator>Jordan, Amanda C CIV USARMY HQDA ASA ALT (US)</dc:creator>
  <cp:keywords/>
  <dc:description/>
  <cp:lastModifiedBy>Gregory Pangborn</cp:lastModifiedBy>
  <cp:revision>6</cp:revision>
  <dcterms:created xsi:type="dcterms:W3CDTF">2020-04-28T13:47:00Z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3ec5df14-3d07-4a15-8485-b54a5c519a7e</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