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8417" w14:textId="77777777" w:rsidR="00D136CB" w:rsidRPr="00D80C3F" w:rsidRDefault="00D80C3F" w:rsidP="00D80C3F">
      <w:pPr>
        <w:pStyle w:val="Heading1"/>
      </w:pPr>
      <w:bookmarkStart w:id="0" w:name="_Toc346959698"/>
      <w:bookmarkStart w:id="1" w:name="_Toc350308682"/>
      <w:bookmarkStart w:id="2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</w:p>
    <w:p w14:paraId="4E31B8E4" w14:textId="5EF91004" w:rsidR="00D80C3F" w:rsidRPr="00D80C3F" w:rsidRDefault="00D80C3F" w:rsidP="00D80C3F">
      <w:pPr>
        <w:pStyle w:val="Heading1"/>
        <w:rPr>
          <w:bCs/>
          <w:sz w:val="28"/>
        </w:rPr>
      </w:pPr>
    </w:p>
    <w:p w14:paraId="1BE8E342" w14:textId="77777777" w:rsidR="00D136CB" w:rsidRPr="00D80C3F" w:rsidRDefault="00D80C3F" w:rsidP="00D80C3F">
      <w:pPr>
        <w:jc w:val="center"/>
      </w:pPr>
      <w:r w:rsidRPr="00D80C3F">
        <w:rPr>
          <w:b/>
          <w:bCs/>
        </w:rPr>
        <w:t>Table of Contents</w:t>
      </w:r>
    </w:p>
    <w:p w14:paraId="58CF70EF" w14:textId="759D87CB" w:rsidR="005637EC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Cs/>
          <w:caps w:val="0"/>
          <w:sz w:val="28"/>
        </w:rPr>
        <w:fldChar w:fldCharType="begin"/>
      </w:r>
      <w:r>
        <w:rPr>
          <w:bCs/>
          <w:caps w:val="0"/>
          <w:sz w:val="28"/>
        </w:rPr>
        <w:instrText xml:space="preserve"> TOC \o "2-4" \n \h \t "myStyle, yourStyle" </w:instrText>
      </w:r>
      <w:r>
        <w:rPr>
          <w:bCs/>
          <w:caps w:val="0"/>
          <w:sz w:val="28"/>
        </w:rPr>
        <w:fldChar w:fldCharType="separate"/>
      </w:r>
      <w:hyperlink w:anchor="_Toc40877660" w:history="1">
        <w:r w:rsidR="005637EC" w:rsidRPr="001E0B72">
          <w:rPr>
            <w:rStyle w:val="Hyperlink"/>
            <w:bCs/>
            <w:noProof/>
          </w:rPr>
          <w:t>SUBPART 5319.2 — POLICIES</w:t>
        </w:r>
      </w:hyperlink>
    </w:p>
    <w:p w14:paraId="292C5366" w14:textId="46844471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1" w:history="1">
        <w:r w:rsidRPr="001E0B72">
          <w:rPr>
            <w:rStyle w:val="Hyperlink"/>
            <w:bCs/>
            <w:noProof/>
          </w:rPr>
          <w:t>5319.201   General Policy</w:t>
        </w:r>
      </w:hyperlink>
    </w:p>
    <w:p w14:paraId="248829FA" w14:textId="23110DBB" w:rsidR="005637EC" w:rsidRDefault="005637E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2" w:history="1">
        <w:r w:rsidRPr="001E0B72">
          <w:rPr>
            <w:rStyle w:val="Hyperlink"/>
            <w:bCs/>
            <w:noProof/>
          </w:rPr>
          <w:t>SUBPART 5319.5 — SET-ASIDES FOR SMALL BUSINESS</w:t>
        </w:r>
      </w:hyperlink>
    </w:p>
    <w:p w14:paraId="16BF1EF5" w14:textId="5AACA606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3" w:history="1">
        <w:r w:rsidRPr="001E0B72">
          <w:rPr>
            <w:rStyle w:val="Hyperlink"/>
            <w:noProof/>
          </w:rPr>
          <w:t>5319.502-3   Partial Set-Asides</w:t>
        </w:r>
      </w:hyperlink>
    </w:p>
    <w:p w14:paraId="3D136D41" w14:textId="7F491DB6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4" w:history="1">
        <w:r w:rsidRPr="001E0B72">
          <w:rPr>
            <w:rStyle w:val="Hyperlink"/>
            <w:noProof/>
          </w:rPr>
          <w:t>5319.505   Rejecting Small Business Administration Recommendations</w:t>
        </w:r>
      </w:hyperlink>
    </w:p>
    <w:p w14:paraId="2D531EB2" w14:textId="029B9B32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5" w:history="1">
        <w:r w:rsidRPr="001E0B72">
          <w:rPr>
            <w:rStyle w:val="Hyperlink"/>
            <w:bCs/>
            <w:noProof/>
          </w:rPr>
          <w:t>5319.705-4   Reviewing the Subcontracting Plan</w:t>
        </w:r>
      </w:hyperlink>
    </w:p>
    <w:p w14:paraId="68CD6276" w14:textId="0343066C" w:rsidR="005637EC" w:rsidRDefault="005637E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6" w:history="1">
        <w:r w:rsidRPr="001E0B72">
          <w:rPr>
            <w:rStyle w:val="Hyperlink"/>
            <w:bCs/>
            <w:noProof/>
          </w:rPr>
          <w:t>SUBPART 5319.8 — CONTRACTING WITH THE SMALL BUSINESS ADMINISTRATION [THE 8(A) PROGRAM]</w:t>
        </w:r>
      </w:hyperlink>
    </w:p>
    <w:p w14:paraId="2A4733DE" w14:textId="40B08547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7" w:history="1">
        <w:r w:rsidRPr="001E0B72">
          <w:rPr>
            <w:rStyle w:val="Hyperlink"/>
            <w:bCs/>
            <w:noProof/>
          </w:rPr>
          <w:t xml:space="preserve">5319.810   </w:t>
        </w:r>
        <w:r w:rsidRPr="001E0B72">
          <w:rPr>
            <w:rStyle w:val="Hyperlink"/>
            <w:noProof/>
          </w:rPr>
          <w:t>SBA Appeals</w:t>
        </w:r>
      </w:hyperlink>
    </w:p>
    <w:p w14:paraId="089D8DD0" w14:textId="477AC939" w:rsidR="005637EC" w:rsidRDefault="005637E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8" w:history="1">
        <w:r w:rsidRPr="001E0B72">
          <w:rPr>
            <w:rStyle w:val="Hyperlink"/>
            <w:bCs/>
            <w:noProof/>
          </w:rPr>
          <w:t>SUBPART 5319.13 – HISTORICALLY UNDERUTILIZED BUSINESS ZONE (HUBZONE) PROGRAM</w:t>
        </w:r>
      </w:hyperlink>
    </w:p>
    <w:p w14:paraId="1F5626F4" w14:textId="5927AD14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9" w:history="1">
        <w:r w:rsidRPr="001E0B72">
          <w:rPr>
            <w:rStyle w:val="Hyperlink"/>
            <w:bCs/>
            <w:noProof/>
          </w:rPr>
          <w:t>5319.1305   HUBZone Set-Aside Procedures</w:t>
        </w:r>
      </w:hyperlink>
    </w:p>
    <w:p w14:paraId="47210F92" w14:textId="2727F026" w:rsidR="005637EC" w:rsidRDefault="005637E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0" w:history="1">
        <w:r w:rsidRPr="001E0B72">
          <w:rPr>
            <w:rStyle w:val="Hyperlink"/>
            <w:bCs/>
            <w:noProof/>
          </w:rPr>
          <w:t>SUBPART 5319.14 – SERVICE-DISABLED VETERAN-OWNED SMALL BUSINESS PROCUREMENT PROGRAM</w:t>
        </w:r>
      </w:hyperlink>
    </w:p>
    <w:p w14:paraId="5A5F1EF7" w14:textId="7760D08A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1" w:history="1">
        <w:r w:rsidRPr="001E0B72">
          <w:rPr>
            <w:rStyle w:val="Hyperlink"/>
            <w:bCs/>
            <w:noProof/>
          </w:rPr>
          <w:t>5319.1405   Service-disabled Veteran-owned Small Business Set-aside Procedures</w:t>
        </w:r>
      </w:hyperlink>
    </w:p>
    <w:p w14:paraId="0E33DC26" w14:textId="597E2945" w:rsidR="005637EC" w:rsidRDefault="005637E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2" w:history="1">
        <w:r w:rsidRPr="001E0B72">
          <w:rPr>
            <w:rStyle w:val="Hyperlink"/>
            <w:bCs/>
            <w:noProof/>
          </w:rPr>
          <w:t>SUBPART 5319.15 – WOMEN-OWNED SMALL BUSINESS PROGRAM</w:t>
        </w:r>
      </w:hyperlink>
    </w:p>
    <w:p w14:paraId="76915F4A" w14:textId="628DDCC5" w:rsidR="005637EC" w:rsidRDefault="005637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3" w:history="1">
        <w:r w:rsidRPr="001E0B72">
          <w:rPr>
            <w:rStyle w:val="Hyperlink"/>
            <w:bCs/>
            <w:noProof/>
          </w:rPr>
          <w:t>5319.1505   Set-aside Procedures</w:t>
        </w:r>
      </w:hyperlink>
    </w:p>
    <w:p w14:paraId="0483DE68" w14:textId="420190A5" w:rsidR="00D136CB" w:rsidRPr="00D80C3F" w:rsidRDefault="00C17350" w:rsidP="00D80C3F">
      <w:pPr>
        <w:pStyle w:val="Heading1"/>
        <w:rPr>
          <w:bCs/>
          <w:sz w:val="28"/>
        </w:rPr>
      </w:pPr>
      <w:r>
        <w:rPr>
          <w:bCs/>
          <w:caps/>
          <w:color w:val="000000"/>
          <w:sz w:val="28"/>
        </w:rPr>
        <w:fldChar w:fldCharType="end"/>
      </w:r>
    </w:p>
    <w:p w14:paraId="5BAF7F98" w14:textId="77777777" w:rsidR="00D136CB" w:rsidRDefault="00C86231" w:rsidP="00D80C3F">
      <w:pPr>
        <w:pStyle w:val="edition"/>
        <w:jc w:val="center"/>
      </w:pPr>
      <w:r w:rsidRPr="00240377">
        <w:rPr>
          <w:iCs/>
        </w:rPr>
        <w:t>[</w:t>
      </w:r>
      <w:r w:rsidR="00E2469E">
        <w:rPr>
          <w:iCs/>
        </w:rPr>
        <w:t>2019 Edition</w:t>
      </w:r>
      <w:r w:rsidRPr="00240377">
        <w:rPr>
          <w:iCs/>
        </w:rPr>
        <w:t>]</w:t>
      </w:r>
      <w:bookmarkStart w:id="3" w:name="_Toc38293713"/>
    </w:p>
    <w:p w14:paraId="01E0510C" w14:textId="77777777" w:rsidR="00380440" w:rsidRPr="00B61AA6" w:rsidRDefault="00380440" w:rsidP="00380440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40F218D2" w14:textId="77777777" w:rsidR="00D136CB" w:rsidRDefault="00533BB1" w:rsidP="00595EE8">
      <w:pPr>
        <w:pStyle w:val="Heading2"/>
      </w:pPr>
      <w:bookmarkStart w:id="4" w:name="_Toc40877660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5" w:name="_Toc38293714"/>
      <w:bookmarkEnd w:id="3"/>
      <w:bookmarkEnd w:id="4"/>
    </w:p>
    <w:p w14:paraId="20D594D0" w14:textId="77777777" w:rsidR="00D136CB" w:rsidRDefault="00080F29" w:rsidP="00595EE8">
      <w:pPr>
        <w:pStyle w:val="Heading3"/>
      </w:pPr>
      <w:bookmarkStart w:id="6" w:name="_Toc40877661"/>
      <w:r>
        <w:rPr>
          <w:bCs/>
          <w:color w:val="auto"/>
        </w:rPr>
        <w:t>5319.201   General Policy</w:t>
      </w:r>
      <w:bookmarkEnd w:id="5"/>
      <w:bookmarkEnd w:id="6"/>
    </w:p>
    <w:p w14:paraId="36DFC172" w14:textId="77777777" w:rsidR="00D136CB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77777777" w:rsidR="00D136CB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03574892" w14:textId="77777777" w:rsidR="00D136CB" w:rsidRDefault="00533BB1" w:rsidP="00595EE8">
      <w:pPr>
        <w:pStyle w:val="List1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219.201(c)(10)(A)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37E5D4D4" w14:textId="77777777" w:rsidR="00D136CB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3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4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77777777" w:rsidR="00D136CB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5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Air Force Small Business Program requirements.</w:t>
      </w:r>
    </w:p>
    <w:p w14:paraId="04BF2A99" w14:textId="70AD7692" w:rsidR="00AD38EB" w:rsidRDefault="00AD38EB" w:rsidP="00595EE8">
      <w:r>
        <w:t xml:space="preserve">See </w:t>
      </w:r>
      <w:hyperlink r:id="rId16" w:history="1">
        <w:r w:rsidRPr="00DC296A">
          <w:rPr>
            <w:rStyle w:val="Hyperlink"/>
          </w:rPr>
          <w:t>AF PGI 5319.201</w:t>
        </w:r>
      </w:hyperlink>
      <w:r w:rsidR="003C0E68">
        <w:t>.</w:t>
      </w:r>
    </w:p>
    <w:p w14:paraId="515BC246" w14:textId="1E8DDD0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See </w:t>
      </w:r>
      <w:hyperlink r:id="rId17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t>.</w:t>
      </w:r>
    </w:p>
    <w:p w14:paraId="4DCEA01E" w14:textId="77777777" w:rsidR="00D136CB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7" w:name="P151_5951"/>
      <w:bookmarkStart w:id="8" w:name="P161_6462"/>
      <w:bookmarkEnd w:id="7"/>
      <w:bookmarkEnd w:id="8"/>
      <w:r>
        <w:t>See</w:t>
      </w:r>
      <w:r w:rsidR="00AD38EB">
        <w:t xml:space="preserve"> </w:t>
      </w:r>
      <w:hyperlink r:id="rId18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t>.</w:t>
      </w:r>
      <w:bookmarkStart w:id="9" w:name="_Toc38293715"/>
      <w:bookmarkEnd w:id="0"/>
      <w:bookmarkEnd w:id="1"/>
      <w:bookmarkEnd w:id="2"/>
    </w:p>
    <w:p w14:paraId="002F14E5" w14:textId="77777777" w:rsidR="00D136CB" w:rsidRDefault="00533BB1" w:rsidP="00595EE8">
      <w:pPr>
        <w:pStyle w:val="Heading2"/>
      </w:pPr>
      <w:bookmarkStart w:id="10" w:name="_Toc40877662"/>
      <w:r>
        <w:rPr>
          <w:bCs/>
          <w:color w:val="auto"/>
        </w:rPr>
        <w:t>SUBPART 5319.5 — SET-ASIDES FOR SMALL BUSINESS</w:t>
      </w:r>
      <w:bookmarkStart w:id="11" w:name="_Toc38293716"/>
      <w:bookmarkEnd w:id="9"/>
      <w:bookmarkEnd w:id="10"/>
    </w:p>
    <w:p w14:paraId="48474AAA" w14:textId="77777777" w:rsidR="00D136CB" w:rsidRDefault="002F4D2B" w:rsidP="00595EE8">
      <w:pPr>
        <w:pStyle w:val="Heading3"/>
      </w:pPr>
      <w:bookmarkStart w:id="12" w:name="_Toc40877663"/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1"/>
      <w:bookmarkEnd w:id="12"/>
    </w:p>
    <w:p w14:paraId="6BE010BC" w14:textId="77777777" w:rsidR="00D136CB" w:rsidRDefault="002F4D2B" w:rsidP="00595EE8">
      <w:pPr>
        <w:pStyle w:val="List1"/>
      </w:pPr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9" w:anchor="p53195023a5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3" w:name="_Toc38293717"/>
    </w:p>
    <w:p w14:paraId="4770BAF1" w14:textId="77777777" w:rsidR="00D136CB" w:rsidRDefault="00533BB1" w:rsidP="00595EE8">
      <w:pPr>
        <w:pStyle w:val="Heading3"/>
      </w:pPr>
      <w:bookmarkStart w:id="14" w:name="_Toc40877664"/>
      <w:r w:rsidRPr="004C5A4A">
        <w:rPr>
          <w:color w:val="auto"/>
        </w:rPr>
        <w:t xml:space="preserve">5319.505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3"/>
      <w:bookmarkEnd w:id="14"/>
    </w:p>
    <w:p w14:paraId="7BEF1AF0" w14:textId="77777777" w:rsidR="00D136CB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20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77777777" w:rsidR="00D136CB" w:rsidRDefault="003D74EE" w:rsidP="00595EE8">
      <w:pPr>
        <w:pStyle w:val="List1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hyperlink r:id="rId21" w:history="1">
        <w:r w:rsidR="00533BB1">
          <w:rPr>
            <w:rStyle w:val="Hyperlink"/>
          </w:rPr>
          <w:t>MP5319</w:t>
        </w:r>
      </w:hyperlink>
      <w:r w:rsidR="00533BB1">
        <w:rPr>
          <w:color w:val="auto"/>
        </w:rPr>
        <w:t xml:space="preserve"> 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2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lastRenderedPageBreak/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7C57A95D" w14:textId="028BC1A0" w:rsidR="00AD38EB" w:rsidRDefault="00AD38EB" w:rsidP="00595EE8">
      <w:r>
        <w:t xml:space="preserve">See </w:t>
      </w:r>
      <w:hyperlink r:id="rId23" w:history="1">
        <w:r w:rsidRPr="00DC296A">
          <w:rPr>
            <w:rStyle w:val="Hyperlink"/>
          </w:rPr>
          <w:t>AFMC PGI 5319.505</w:t>
        </w:r>
      </w:hyperlink>
      <w:r w:rsidR="00E132AD">
        <w:t>.</w:t>
      </w:r>
    </w:p>
    <w:p w14:paraId="16A60362" w14:textId="5107EE0C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15" w:name="p53197"/>
      <w:bookmarkEnd w:id="15"/>
      <w:r w:rsidRPr="003C0E68">
        <w:rPr>
          <w:rFonts w:ascii="Times New Roman" w:hAnsi="Times New Roman" w:cs="Times New Roman"/>
          <w:bCs/>
        </w:rPr>
        <w:t xml:space="preserve">See </w:t>
      </w:r>
      <w:hyperlink r:id="rId24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376719F" w14:textId="77777777" w:rsidR="00D136CB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5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  <w:bookmarkStart w:id="16" w:name="_Toc38293718"/>
    </w:p>
    <w:p w14:paraId="6EAD15BC" w14:textId="77777777" w:rsidR="00D136CB" w:rsidRDefault="00533BB1" w:rsidP="00595EE8">
      <w:pPr>
        <w:pStyle w:val="Heading3"/>
      </w:pPr>
      <w:bookmarkStart w:id="17" w:name="_Toc40877665"/>
      <w:r>
        <w:rPr>
          <w:bCs/>
        </w:rPr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16"/>
      <w:bookmarkEnd w:id="17"/>
    </w:p>
    <w:p w14:paraId="336E2ADB" w14:textId="77777777" w:rsidR="00D136CB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  <w:bookmarkStart w:id="18" w:name="_Toc38293719"/>
    </w:p>
    <w:p w14:paraId="21FB9213" w14:textId="77777777" w:rsidR="00D136CB" w:rsidRDefault="00533BB1" w:rsidP="00595EE8">
      <w:pPr>
        <w:pStyle w:val="Heading2"/>
      </w:pPr>
      <w:bookmarkStart w:id="19" w:name="_Toc40877666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 SMALL BUSINESS ADMINISTRATION [THE 8(A) PROGRAM]</w:t>
      </w:r>
      <w:bookmarkStart w:id="20" w:name="_Toc38293720"/>
      <w:bookmarkEnd w:id="18"/>
      <w:bookmarkEnd w:id="19"/>
    </w:p>
    <w:p w14:paraId="11899D1F" w14:textId="77777777" w:rsidR="00D136CB" w:rsidRDefault="00533BB1" w:rsidP="00595EE8">
      <w:pPr>
        <w:pStyle w:val="Heading3"/>
      </w:pPr>
      <w:bookmarkStart w:id="21" w:name="_Toc40877667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20"/>
      <w:bookmarkEnd w:id="21"/>
    </w:p>
    <w:p w14:paraId="53602712" w14:textId="77777777" w:rsidR="00D136CB" w:rsidRDefault="00533BB1" w:rsidP="006D5451">
      <w:pPr>
        <w:spacing w:after="0"/>
        <w:rPr>
          <w:szCs w:val="24"/>
        </w:rPr>
      </w:pPr>
      <w:r w:rsidRPr="00937A4C">
        <w:rPr>
          <w:bCs/>
        </w:rPr>
        <w:t>When notified by the SBA that it has filed an appeal with the Agency Head</w:t>
      </w:r>
      <w:r w:rsidR="00A73789" w:rsidRPr="00937A4C">
        <w:rPr>
          <w:bCs/>
        </w:rPr>
        <w:t>,</w:t>
      </w:r>
      <w:r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</w:rPr>
        <w:t xml:space="preserve"> </w:t>
      </w:r>
      <w:r w:rsidRPr="00937A4C">
        <w:rPr>
          <w:bCs/>
        </w:rPr>
        <w:t xml:space="preserve">follow </w:t>
      </w:r>
      <w:hyperlink r:id="rId26" w:history="1">
        <w:r w:rsidRPr="00937A4C">
          <w:rPr>
            <w:rStyle w:val="Hyperlink"/>
          </w:rPr>
          <w:t>MP5319</w:t>
        </w:r>
      </w:hyperlink>
      <w:r w:rsidRPr="00937A4C">
        <w:t xml:space="preserve"> to prepare</w:t>
      </w:r>
      <w:r w:rsidR="0048548C" w:rsidRPr="00937A4C">
        <w:t xml:space="preserve"> </w:t>
      </w:r>
      <w:r w:rsidRPr="00937A4C">
        <w:t>an appeal file.</w:t>
      </w:r>
      <w:r w:rsidR="00770EA9" w:rsidRPr="00937A4C">
        <w:rPr>
          <w:szCs w:val="24"/>
        </w:rPr>
        <w:t xml:space="preserve"> </w:t>
      </w:r>
      <w:r w:rsidR="0048548C" w:rsidRPr="00937A4C">
        <w:rPr>
          <w:szCs w:val="24"/>
        </w:rPr>
        <w:t xml:space="preserve"> </w:t>
      </w:r>
      <w:r w:rsidR="00770EA9" w:rsidRPr="00937A4C">
        <w:rPr>
          <w:szCs w:val="24"/>
        </w:rPr>
        <w:t>Forward the appeal file through the SCO to</w:t>
      </w:r>
      <w:r w:rsidR="00232175">
        <w:rPr>
          <w:szCs w:val="24"/>
        </w:rPr>
        <w:t xml:space="preserve"> </w:t>
      </w:r>
      <w:hyperlink r:id="rId27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szCs w:val="24"/>
        </w:rPr>
        <w:t xml:space="preserve"> to arrive in SAF/SB within ten workdays after receipt of the formal appeal</w:t>
      </w:r>
      <w:r w:rsidR="00E0059E">
        <w:rPr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szCs w:val="24"/>
        </w:rPr>
        <w:t>.</w:t>
      </w:r>
      <w:bookmarkStart w:id="22" w:name="_Toc38293721"/>
    </w:p>
    <w:p w14:paraId="1DA72A88" w14:textId="77777777" w:rsidR="00D136CB" w:rsidRDefault="002F4D2B" w:rsidP="00595EE8">
      <w:pPr>
        <w:pStyle w:val="Heading2"/>
      </w:pPr>
      <w:bookmarkStart w:id="23" w:name="_Toc40877668"/>
      <w:r>
        <w:rPr>
          <w:bCs/>
        </w:rPr>
        <w:t>SUBPART 5319.13 – HISTORICALLY UNDERUTILIZED BUSINESS ZONE (HUBZONE) PROGRAM</w:t>
      </w:r>
      <w:bookmarkStart w:id="24" w:name="_Toc38293722"/>
      <w:bookmarkEnd w:id="22"/>
      <w:bookmarkEnd w:id="23"/>
    </w:p>
    <w:p w14:paraId="7847BD2E" w14:textId="77777777" w:rsidR="00D136CB" w:rsidRDefault="002F4D2B" w:rsidP="00595EE8">
      <w:pPr>
        <w:pStyle w:val="Heading3"/>
      </w:pPr>
      <w:bookmarkStart w:id="25" w:name="_Toc40877669"/>
      <w:r>
        <w:rPr>
          <w:bCs/>
        </w:rPr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24"/>
      <w:bookmarkEnd w:id="25"/>
    </w:p>
    <w:p w14:paraId="1C357119" w14:textId="77777777" w:rsidR="00D136CB" w:rsidRDefault="002F4D2B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hyperlink r:id="rId28" w:anchor="p531913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26" w:name="_Toc38293723"/>
    </w:p>
    <w:p w14:paraId="2FA82E23" w14:textId="77777777" w:rsidR="00D136CB" w:rsidRDefault="002F4D2B" w:rsidP="00595EE8">
      <w:pPr>
        <w:pStyle w:val="Heading2"/>
      </w:pPr>
      <w:bookmarkStart w:id="27" w:name="_Toc40877670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28" w:name="_Toc38293724"/>
      <w:bookmarkEnd w:id="26"/>
      <w:bookmarkEnd w:id="27"/>
    </w:p>
    <w:p w14:paraId="254A8338" w14:textId="77777777" w:rsidR="00D136CB" w:rsidRDefault="002F4D2B" w:rsidP="00595EE8">
      <w:pPr>
        <w:pStyle w:val="Heading3"/>
      </w:pPr>
      <w:bookmarkStart w:id="29" w:name="_Toc40877671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28"/>
      <w:bookmarkEnd w:id="29"/>
    </w:p>
    <w:p w14:paraId="14A14F60" w14:textId="12CC25C0" w:rsidR="003C0E68" w:rsidRDefault="002F4D2B" w:rsidP="00451309">
      <w:pPr>
        <w:pStyle w:val="List1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9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0BEE16F" w14:textId="224A3FC2" w:rsidR="00380440" w:rsidRDefault="00380440" w:rsidP="00380440">
      <w:pPr>
        <w:pStyle w:val="Heading2"/>
      </w:pPr>
      <w:bookmarkStart w:id="30" w:name="_Toc40877672"/>
      <w:r>
        <w:rPr>
          <w:bCs/>
        </w:rPr>
        <w:t>SUBPART 5319.15 – WOMEN-OWNED SMALL BUSINESS PROGRAM</w:t>
      </w:r>
      <w:bookmarkEnd w:id="30"/>
    </w:p>
    <w:p w14:paraId="2108F528" w14:textId="1D675B3B" w:rsidR="00380440" w:rsidRDefault="00380440" w:rsidP="00380440">
      <w:pPr>
        <w:pStyle w:val="Heading3"/>
        <w:rPr>
          <w:bCs/>
        </w:rPr>
      </w:pPr>
      <w:bookmarkStart w:id="31" w:name="_Toc40877673"/>
      <w:r>
        <w:rPr>
          <w:bCs/>
        </w:rPr>
        <w:t>5319.1505   Set-aside Procedures</w:t>
      </w:r>
      <w:bookmarkEnd w:id="31"/>
    </w:p>
    <w:p w14:paraId="2123B6D5" w14:textId="0C39337F" w:rsidR="00380440" w:rsidRPr="00380440" w:rsidRDefault="00380440" w:rsidP="00380440"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0" w:history="1">
        <w:r>
          <w:rPr>
            <w:rStyle w:val="Hyperlink"/>
            <w:lang w:val="en"/>
          </w:rPr>
          <w:t>CPM 19-C-11.</w:t>
        </w:r>
      </w:hyperlink>
    </w:p>
    <w:p w14:paraId="3CD0EA9A" w14:textId="77777777" w:rsidR="00380440" w:rsidRDefault="00380440" w:rsidP="00451309">
      <w:pPr>
        <w:pStyle w:val="List1"/>
      </w:pPr>
    </w:p>
    <w:sectPr w:rsidR="00380440" w:rsidSect="00577A2A">
      <w:headerReference w:type="even" r:id="rId31"/>
      <w:headerReference w:type="default" r:id="rId32"/>
      <w:footerReference w:type="default" r:id="rId3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69E0E" w14:textId="49532A77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380440">
      <w:rPr>
        <w:rStyle w:val="PageNumber"/>
        <w:noProof/>
      </w:rPr>
      <w:t>3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112E55"/>
    <w:rsid w:val="00121AC9"/>
    <w:rsid w:val="0012685E"/>
    <w:rsid w:val="00135E05"/>
    <w:rsid w:val="00141062"/>
    <w:rsid w:val="00147D7E"/>
    <w:rsid w:val="001536D6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514F0A"/>
    <w:rsid w:val="0051783A"/>
    <w:rsid w:val="00522597"/>
    <w:rsid w:val="00522BFA"/>
    <w:rsid w:val="00533BB1"/>
    <w:rsid w:val="005637EC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3C29"/>
    <w:rsid w:val="0071049D"/>
    <w:rsid w:val="00711755"/>
    <w:rsid w:val="00724C31"/>
    <w:rsid w:val="0073448C"/>
    <w:rsid w:val="00734840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7D1D"/>
    <w:rsid w:val="00BD56CD"/>
    <w:rsid w:val="00BF1719"/>
    <w:rsid w:val="00C17350"/>
    <w:rsid w:val="00C32434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F788E"/>
    <w:rsid w:val="00D0358B"/>
    <w:rsid w:val="00D06963"/>
    <w:rsid w:val="00D1153F"/>
    <w:rsid w:val="00D136CB"/>
    <w:rsid w:val="00D1663C"/>
    <w:rsid w:val="00D32ECA"/>
    <w:rsid w:val="00D44E0F"/>
    <w:rsid w:val="00D760D1"/>
    <w:rsid w:val="00D77B53"/>
    <w:rsid w:val="00D80C3F"/>
    <w:rsid w:val="00D93EFB"/>
    <w:rsid w:val="00D94216"/>
    <w:rsid w:val="00DA7FCD"/>
    <w:rsid w:val="00DC296A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46C29"/>
    <w:rsid w:val="00F5449F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E79ABF"/>
  <w15:docId w15:val="{01858929-0F08-4933-B844-E6B52101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sd.whs.mil/Portals/54/Documents/DD/forms/dd/dd2579.pdf" TargetMode="External"/><Relationship Id="rId18" Type="http://schemas.openxmlformats.org/officeDocument/2006/relationships/hyperlink" Target="pgi_5319.docx" TargetMode="External"/><Relationship Id="rId26" Type="http://schemas.openxmlformats.org/officeDocument/2006/relationships/hyperlink" Target="mp_531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p_5319.docx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pgi_5319.docx" TargetMode="External"/><Relationship Id="rId25" Type="http://schemas.openxmlformats.org/officeDocument/2006/relationships/hyperlink" Target="pgi_5319.docx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pgi_5319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pgi_5319.docx" TargetMode="External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static.e-publishing.af.mil/production/1/saf_sb/publication/afi90-1801/afi90-1801.pdf" TargetMode="External"/><Relationship Id="rId23" Type="http://schemas.openxmlformats.org/officeDocument/2006/relationships/hyperlink" Target="pgi_5319.docx" TargetMode="External"/><Relationship Id="rId28" Type="http://schemas.openxmlformats.org/officeDocument/2006/relationships/hyperlink" Target="mp_5301.601(a)(i).docx" TargetMode="Externa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mp_5301.601(a)(i).docx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tic.mil/whs/directives/forms/forminfo/forminfopage1959.html" TargetMode="External"/><Relationship Id="rId22" Type="http://schemas.openxmlformats.org/officeDocument/2006/relationships/hyperlink" Target="mailto:usaf.pentagon.saf-sb.mbx.saf-sb-workflow@mail.mil" TargetMode="External"/><Relationship Id="rId27" Type="http://schemas.openxmlformats.org/officeDocument/2006/relationships/hyperlink" Target="mailto:usaf.pentagon.saf-sb.mbx.saf-sb-workflow@mail.mil" TargetMode="External"/><Relationship Id="rId30" Type="http://schemas.openxmlformats.org/officeDocument/2006/relationships/hyperlink" Target="https://cs2.eis.af.mil/sites/10059/afcc/knowledge_center/Documents/Contracting_Memos/Policy/19-C-11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5647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Gregory Pangborn</cp:lastModifiedBy>
  <cp:revision>52</cp:revision>
  <cp:lastPrinted>2019-08-22T12:14:00Z</cp:lastPrinted>
  <dcterms:created xsi:type="dcterms:W3CDTF">2019-03-18T14:40:00Z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