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D92656"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D92656"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D92656"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D92656"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D92656"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D92656"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D92656"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D92656"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D92656"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D92656"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D92656"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D92656"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D92656"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D92656"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D92656"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D92656"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D92656"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D92656"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D92656"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5EB03CB5" w:rsidR="00C42756" w:rsidRPr="00477D5C" w:rsidRDefault="00D92656" w:rsidP="0012116F">
            <w:pPr>
              <w:rPr>
                <w:rFonts w:cstheme="minorHAnsi"/>
                <w:sz w:val="20"/>
              </w:rPr>
            </w:pPr>
            <w:hyperlink w:anchor="_SMC_PGI_5301.603_1"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D92656"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D92656"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D92656"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D92656"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D92656"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D92656"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D92656"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28DDC55D" w:rsidR="00001917" w:rsidRPr="00477D5C" w:rsidRDefault="00D92656" w:rsidP="0012116F">
            <w:pPr>
              <w:rPr>
                <w:rFonts w:cstheme="minorHAnsi"/>
                <w:sz w:val="20"/>
              </w:rPr>
            </w:pPr>
            <w:hyperlink w:anchor="_AFICC_PGI_5301.9001_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4E1817F2" w:rsidR="00001917" w:rsidRPr="00477D5C" w:rsidRDefault="00D92656" w:rsidP="0012116F">
            <w:pPr>
              <w:rPr>
                <w:rFonts w:cstheme="minorHAnsi"/>
                <w:sz w:val="20"/>
              </w:rPr>
            </w:pPr>
            <w:hyperlink w:anchor="afmc_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D92656"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4E8635CF" w:rsidR="00001917" w:rsidRPr="00477D5C" w:rsidRDefault="00D92656" w:rsidP="0012116F">
            <w:pPr>
              <w:rPr>
                <w:rFonts w:cstheme="minorHAnsi"/>
                <w:sz w:val="20"/>
              </w:rPr>
            </w:pPr>
            <w:hyperlink w:anchor="_AF_PGI_5301.9001(b)_1"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5B773085" w:rsidR="00001917" w:rsidRPr="00477D5C" w:rsidRDefault="00D92656" w:rsidP="0012116F">
            <w:pPr>
              <w:rPr>
                <w:sz w:val="20"/>
              </w:rPr>
            </w:pPr>
            <w:hyperlink w:anchor="_AFMC_PGI_5301.9001" w:history="1">
              <w:r w:rsidR="00001917" w:rsidRPr="00477D5C">
                <w:rPr>
                  <w:rStyle w:val="Hyperlink"/>
                  <w:rFonts w:cstheme="minorHAnsi"/>
                  <w:sz w:val="20"/>
                </w:rPr>
                <w:t>PGI 5301.9001(i)(2)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48530C22" w:rsidR="00001917" w:rsidRPr="00477D5C" w:rsidRDefault="00D92656" w:rsidP="0012116F">
            <w:pPr>
              <w:rPr>
                <w:rFonts w:cstheme="minorHAnsi"/>
                <w:sz w:val="20"/>
              </w:rPr>
            </w:pPr>
            <w:hyperlink w:anchor="_AFMC_PGI_5301.9001-92_1"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D92656"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D92656" w:rsidP="0012116F">
            <w:pPr>
              <w:rPr>
                <w:rFonts w:cstheme="minorHAnsi"/>
                <w:sz w:val="20"/>
              </w:rPr>
            </w:pPr>
            <w:hyperlink w:anchor="_AF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D92656" w:rsidP="0012116F">
            <w:pPr>
              <w:rPr>
                <w:rFonts w:cstheme="minorHAnsi"/>
                <w:sz w:val="20"/>
              </w:rPr>
            </w:pPr>
            <w:hyperlink w:anchor="_AFMC_PGI_5301.91_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D92656"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03865E63" w:rsidR="00001917" w:rsidRPr="00477D5C" w:rsidRDefault="00D92656" w:rsidP="0012116F">
            <w:pPr>
              <w:rPr>
                <w:rFonts w:cstheme="minorHAnsi"/>
                <w:sz w:val="20"/>
              </w:rPr>
            </w:pPr>
            <w:hyperlink w:anchor="_AFICC_PGI_5301.9102_1"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6AF7AC35" w:rsidR="00001917" w:rsidRPr="00477D5C" w:rsidRDefault="00D92656" w:rsidP="0012116F">
            <w:pPr>
              <w:rPr>
                <w:rFonts w:cstheme="minorHAnsi"/>
                <w:sz w:val="20"/>
              </w:rPr>
            </w:pPr>
            <w:hyperlink w:anchor="_USAFA_PGI_5301.9102(a)_1"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12116F">
      <w:pPr>
        <w:pStyle w:val="Heading3"/>
        <w:keepNext w:val="0"/>
        <w:keepLines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12116F">
      <w:pPr>
        <w:pStyle w:val="Heading3"/>
        <w:keepNext w:val="0"/>
        <w:keepLines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2" w:name="_AFICC_PGI_5301.1"/>
      <w:bookmarkEnd w:id="12"/>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3" w:name="_AFICC_PGI_5301.170"/>
      <w:bookmarkEnd w:id="13"/>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4" w:name="_AFICC_PGI_5301.404-92"/>
      <w:bookmarkEnd w:id="14"/>
    </w:p>
    <w:p w14:paraId="4CE15BB9" w14:textId="77777777" w:rsidR="00A24821" w:rsidRDefault="00B2027F" w:rsidP="0012116F">
      <w:pPr>
        <w:pStyle w:val="Heading3"/>
        <w:keepNext w:val="0"/>
        <w:keepLines w:val="0"/>
        <w:rPr>
          <w:rFonts w:eastAsia="Times New Roman"/>
        </w:rPr>
      </w:pPr>
      <w:bookmarkStart w:id="15" w:name="_AFICC_PGI_5301.404-92_1"/>
      <w:bookmarkEnd w:id="15"/>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6" w:name="_AFICC_PGI_5301.601-91"/>
      <w:bookmarkEnd w:id="16"/>
    </w:p>
    <w:p w14:paraId="53415BD3" w14:textId="77777777" w:rsidR="00A24821" w:rsidRDefault="00182179" w:rsidP="0012116F">
      <w:pPr>
        <w:pStyle w:val="Heading3"/>
        <w:keepNext w:val="0"/>
        <w:keepLines w:val="0"/>
      </w:pPr>
      <w:bookmarkStart w:id="17" w:name="_AFICC_PGI_5301.601-91_1"/>
      <w:bookmarkEnd w:id="17"/>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8" w:name="_AFICC_PGI_5301.603-2"/>
      <w:bookmarkEnd w:id="18"/>
    </w:p>
    <w:p w14:paraId="026D18E0" w14:textId="77777777" w:rsidR="00A24821" w:rsidRDefault="00B2027F" w:rsidP="0012116F">
      <w:pPr>
        <w:pStyle w:val="Heading3"/>
        <w:keepNext w:val="0"/>
        <w:keepLines w:val="0"/>
        <w:rPr>
          <w:rFonts w:eastAsia="Times New Roman"/>
        </w:rPr>
      </w:pPr>
      <w:bookmarkStart w:id="19" w:name="_AFICC_PGI_5301.603-2_1"/>
      <w:bookmarkEnd w:id="19"/>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0" w:name="_AFICC_PGI_5301.90"/>
      <w:bookmarkEnd w:id="20"/>
    </w:p>
    <w:p w14:paraId="490194C5" w14:textId="77777777" w:rsidR="00A24821" w:rsidRDefault="00B2027F" w:rsidP="0012116F">
      <w:pPr>
        <w:pStyle w:val="Heading3"/>
        <w:keepNext w:val="0"/>
        <w:keepLines w:val="0"/>
        <w:rPr>
          <w:rFonts w:eastAsia="Times New Roman"/>
        </w:rPr>
      </w:pPr>
      <w:bookmarkStart w:id="21" w:name="_AFICC_PGI_5301.90_1"/>
      <w:bookmarkEnd w:id="21"/>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2" w:name="_AFICC_PGI_5301.9001"/>
      <w:bookmarkEnd w:id="22"/>
    </w:p>
    <w:p w14:paraId="75CC63CD" w14:textId="77777777" w:rsidR="00A24821" w:rsidRDefault="00B2027F" w:rsidP="0012116F">
      <w:pPr>
        <w:pStyle w:val="Heading3"/>
        <w:keepNext w:val="0"/>
        <w:keepLines w:val="0"/>
        <w:rPr>
          <w:rFonts w:eastAsia="Times New Roman"/>
        </w:rPr>
      </w:pPr>
      <w:bookmarkStart w:id="23" w:name="_AFICC_PGI_5301.9001_1"/>
      <w:bookmarkEnd w:id="23"/>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D92656"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D92656"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D92656"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D92656"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D92656"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D92656"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D92656"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D92656"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D92656"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4" w:name="_AFICC_PGI_5301.9102"/>
      <w:bookmarkEnd w:id="24"/>
    </w:p>
    <w:p w14:paraId="5027D5F0" w14:textId="77777777" w:rsidR="00A24821" w:rsidRDefault="005F3733" w:rsidP="0012116F">
      <w:pPr>
        <w:pStyle w:val="Heading3"/>
        <w:keepNext w:val="0"/>
        <w:keepLines w:val="0"/>
        <w:rPr>
          <w:rFonts w:eastAsia="Times New Roman"/>
        </w:rPr>
      </w:pPr>
      <w:bookmarkStart w:id="25" w:name="_AFICC_PGI_5301.9102_1"/>
      <w:bookmarkEnd w:id="25"/>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6" w:name="_AFMC_PGI_5301.290"/>
      <w:bookmarkEnd w:id="26"/>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7" w:name="afmc_601"/>
      <w:bookmarkStart w:id="28" w:name="_AFMC_PGI_5301.601(a)(i)"/>
      <w:bookmarkEnd w:id="27"/>
      <w:bookmarkEnd w:id="28"/>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D92656">
      <w:pPr>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172004F0" w14:textId="77777777" w:rsidR="00D92656" w:rsidRPr="00DD3608" w:rsidRDefault="00D92656" w:rsidP="00D92656">
      <w:pPr>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9" w:name="_AFMC_PGI_5301.601(a)(i)(A)(S-91)"/>
      <w:bookmarkEnd w:id="29"/>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bookmarkStart w:id="30" w:name="_GoBack"/>
      <w:bookmarkEnd w:id="30"/>
    </w:p>
    <w:p w14:paraId="3AFD36A6" w14:textId="1C0771B0" w:rsidR="00477D5C" w:rsidRPr="008216A1" w:rsidRDefault="003250D2" w:rsidP="0012116F">
      <w:pPr>
        <w:pStyle w:val="Heading3"/>
        <w:keepNext w:val="0"/>
        <w:keepLines w:val="0"/>
      </w:pPr>
      <w:bookmarkStart w:id="31" w:name="_AFMC_PGI_5301.601-90"/>
      <w:bookmarkEnd w:id="31"/>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12116F">
      <w:pPr>
        <w:pStyle w:val="List1"/>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12116F">
      <w:pPr>
        <w:pStyle w:val="List1"/>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12116F">
      <w:pPr>
        <w:pStyle w:val="Heading3"/>
        <w:keepNext w:val="0"/>
        <w:keepLines w:val="0"/>
      </w:pPr>
      <w:bookmarkStart w:id="32" w:name="_AFMC_PGI_5301.601-91"/>
      <w:bookmarkEnd w:id="32"/>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w:t>
      </w:r>
      <w:r w:rsidRPr="005C4D0C">
        <w:rPr>
          <w:szCs w:val="24"/>
        </w:rPr>
        <w:lastRenderedPageBreak/>
        <w:t>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w:t>
      </w:r>
      <w:r w:rsidRPr="005C4D0C">
        <w:lastRenderedPageBreak/>
        <w:t xml:space="preserve">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lastRenderedPageBreak/>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lastRenderedPageBreak/>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w:t>
      </w:r>
      <w:r w:rsidRPr="005C4D0C">
        <w:rPr>
          <w:szCs w:val="24"/>
        </w:rPr>
        <w:lastRenderedPageBreak/>
        <w:t xml:space="preserve">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3" w:name="_AFMC_PGI_5301.602-2"/>
      <w:bookmarkEnd w:id="33"/>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12116F">
      <w:pPr>
        <w:pStyle w:val="List1"/>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4" w:name="_AFMC_PGI_5301.90"/>
      <w:bookmarkEnd w:id="34"/>
    </w:p>
    <w:p w14:paraId="6EFEEAC6" w14:textId="3B42AC19" w:rsidR="00477D5C" w:rsidRPr="006F7B18" w:rsidRDefault="00651F2E" w:rsidP="0012116F">
      <w:pPr>
        <w:pStyle w:val="Heading3"/>
        <w:keepNext w:val="0"/>
        <w:keepLines w:val="0"/>
        <w:rPr>
          <w:b w:val="0"/>
        </w:rPr>
      </w:pPr>
      <w:bookmarkStart w:id="35" w:name="_AFMC_PGI_5301.90_1"/>
      <w:bookmarkEnd w:id="35"/>
      <w:r w:rsidRPr="005C4D0C">
        <w:t>AFMC PGI 5301.90</w:t>
      </w:r>
      <w:r w:rsidR="00613CA9" w:rsidRPr="005C4D0C">
        <w:t xml:space="preserve"> </w:t>
      </w:r>
      <w:r w:rsidR="00A54A48">
        <w:t xml:space="preserve">  </w:t>
      </w:r>
      <w:r w:rsidRPr="005C4D0C">
        <w:t>Clearance</w:t>
      </w:r>
    </w:p>
    <w:p w14:paraId="395B6DB2" w14:textId="7423026B" w:rsidR="00477D5C" w:rsidRDefault="000B5DED" w:rsidP="007F3991">
      <w:pPr>
        <w:ind w:firstLine="720"/>
      </w:pPr>
      <w:r w:rsidRPr="006F7B18">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00576E42" w:rsidR="00A24821" w:rsidRDefault="007C1ECB" w:rsidP="0012116F">
      <w:pPr>
        <w:pStyle w:val="List2"/>
        <w:keepNext w:val="0"/>
        <w:keepLines w:val="0"/>
      </w:pPr>
      <w:r w:rsidRPr="00FD6995">
        <w:rPr>
          <w:szCs w:val="24"/>
        </w:rPr>
        <w:t xml:space="preserve">(2) </w:t>
      </w:r>
      <w:r w:rsidR="007F3991" w:rsidRPr="00B05A90">
        <w:t xml:space="preserve">Hill’s </w:t>
      </w:r>
      <w:hyperlink r:id="rId68"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6" w:name="afmc_9001"/>
      <w:bookmarkEnd w:id="36"/>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9"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lastRenderedPageBreak/>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7" w:name="_Toc337192123"/>
      <w:r w:rsidRPr="00C25C68">
        <w:rPr>
          <w:bCs/>
        </w:rPr>
        <w:t xml:space="preserve">b. </w:t>
      </w:r>
      <w:r w:rsidRPr="00C25C68">
        <w:rPr>
          <w:b/>
          <w:bCs/>
        </w:rPr>
        <w:t xml:space="preserve">Clearance Approval </w:t>
      </w:r>
      <w:bookmarkEnd w:id="37"/>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lastRenderedPageBreak/>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8" w:name="test4"/>
            <w:bookmarkEnd w:id="38"/>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9" w:name="test6"/>
            <w:bookmarkEnd w:id="39"/>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lastRenderedPageBreak/>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70"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40" w:name="_AFMC_PGI_5301.9001"/>
      <w:bookmarkEnd w:id="40"/>
      <w:r w:rsidRPr="005C4D0C">
        <w:rPr>
          <w:bCs/>
        </w:rPr>
        <w:t xml:space="preserve">AFMC PGI 5301.9001 </w:t>
      </w:r>
      <w:r w:rsidR="006002F1">
        <w:rPr>
          <w:bCs/>
        </w:rPr>
        <w:t xml:space="preserve"> </w:t>
      </w:r>
      <w:r w:rsidRPr="005C4D0C">
        <w:rPr>
          <w:bCs/>
        </w:rPr>
        <w:t xml:space="preserve"> </w:t>
      </w:r>
      <w:r>
        <w:rPr>
          <w:bCs/>
        </w:rPr>
        <w:t>Policy, Thresholds, and Approvals</w:t>
      </w:r>
      <w:bookmarkStart w:id="41" w:name="afmc_9001_i2"/>
      <w:bookmarkEnd w:id="41"/>
    </w:p>
    <w:p w14:paraId="39E295E7" w14:textId="77777777" w:rsidR="00A24821" w:rsidRDefault="006002F1" w:rsidP="006E0D17">
      <w:pPr>
        <w:pStyle w:val="List3"/>
        <w:keepNext w:val="0"/>
        <w:keepLines w:val="0"/>
        <w:ind w:left="810"/>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1"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62C465B4" w14:textId="77777777" w:rsidR="006E0D17" w:rsidRPr="00361D28" w:rsidRDefault="006E0D17" w:rsidP="006E0D17">
      <w:pPr>
        <w:shd w:val="clear" w:color="auto" w:fill="FFFFFF"/>
        <w:spacing w:before="120" w:after="0"/>
        <w:ind w:left="810"/>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2" w:history="1">
        <w:r w:rsidRPr="00361D28">
          <w:rPr>
            <w:rStyle w:val="Hyperlink"/>
            <w:rFonts w:eastAsia="Times New Roman"/>
            <w:szCs w:val="24"/>
          </w:rPr>
          <w:t>Class Deviation – Clearance Approval – AFSC OL:H/PK/PZ 20-01.</w:t>
        </w:r>
      </w:hyperlink>
    </w:p>
    <w:p w14:paraId="3FB1C4E5" w14:textId="77777777" w:rsidR="00A24821" w:rsidRDefault="00CF6975" w:rsidP="006E0D17">
      <w:pPr>
        <w:pStyle w:val="NormalWeb"/>
        <w:shd w:val="clear" w:color="auto" w:fill="FFFFFF"/>
        <w:spacing w:before="120" w:beforeAutospacing="0" w:after="0" w:afterAutospacing="0"/>
        <w:ind w:left="810"/>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3"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6E0D17">
      <w:pPr>
        <w:pStyle w:val="NormalWeb"/>
        <w:shd w:val="clear" w:color="auto" w:fill="FFFFFF"/>
        <w:spacing w:before="120" w:beforeAutospacing="0" w:after="0" w:afterAutospacing="0"/>
        <w:ind w:left="810"/>
        <w:textAlignment w:val="baseline"/>
        <w:rPr>
          <w:color w:val="00B050"/>
        </w:rPr>
      </w:pPr>
      <w:r w:rsidRPr="002F3F22">
        <w:rPr>
          <w:rFonts w:ascii="Times New Roman" w:hAnsi="Times New Roman" w:cs="Times New Roman"/>
        </w:rPr>
        <w:lastRenderedPageBreak/>
        <w:t xml:space="preserve">For AFLCMC/PZK Tinker located at Tinker AFB, see </w:t>
      </w:r>
      <w:hyperlink r:id="rId74"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6E0D17">
      <w:pPr>
        <w:pStyle w:val="NormalWeb"/>
        <w:shd w:val="clear" w:color="auto" w:fill="FFFFFF"/>
        <w:spacing w:before="120" w:beforeAutospacing="0" w:after="0" w:afterAutospacing="0"/>
        <w:ind w:left="810"/>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5"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42" w:name="_AFMC_PGI_5301.9001-92"/>
      <w:bookmarkEnd w:id="42"/>
    </w:p>
    <w:p w14:paraId="1DF6231D" w14:textId="77777777" w:rsidR="00A24821" w:rsidRDefault="00833BE3" w:rsidP="0012116F">
      <w:pPr>
        <w:pStyle w:val="Heading3"/>
        <w:keepNext w:val="0"/>
        <w:keepLines w:val="0"/>
      </w:pPr>
      <w:bookmarkStart w:id="43" w:name="_AFMC_PGI_5301.9001-92_1"/>
      <w:bookmarkEnd w:id="43"/>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6"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4" w:name="_AFMC_PGI_5301.9001-93"/>
      <w:bookmarkEnd w:id="44"/>
    </w:p>
    <w:p w14:paraId="244B88C9" w14:textId="77777777" w:rsidR="00A24821" w:rsidRDefault="00833BE3" w:rsidP="0012116F">
      <w:pPr>
        <w:pStyle w:val="Heading3"/>
        <w:keepNext w:val="0"/>
        <w:keepLines w:val="0"/>
      </w:pPr>
      <w:r w:rsidRPr="005C4D0C">
        <w:rPr>
          <w:bCs/>
        </w:rPr>
        <w:lastRenderedPageBreak/>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lastRenderedPageBreak/>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lastRenderedPageBreak/>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5" w:name="_AFMC_PGI_5301.91"/>
      <w:bookmarkEnd w:id="45"/>
    </w:p>
    <w:p w14:paraId="461DDEBF" w14:textId="77777777" w:rsidR="00A24821" w:rsidRDefault="006F0E64" w:rsidP="0012116F">
      <w:pPr>
        <w:pStyle w:val="Heading3"/>
        <w:keepNext w:val="0"/>
        <w:keepLines w:val="0"/>
      </w:pPr>
      <w:bookmarkStart w:id="46" w:name="_AFMC_PGI_5301.91_1"/>
      <w:bookmarkEnd w:id="46"/>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7" w:name="_SMC_PGI_5301.170"/>
      <w:bookmarkEnd w:id="47"/>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8" w:name="_SMC_PGI_5301.304"/>
      <w:bookmarkEnd w:id="48"/>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9" w:name="_SMC_PGI_5301.601(a)(i)(A)"/>
      <w:bookmarkEnd w:id="49"/>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7" w:history="1">
        <w:r w:rsidR="007B7E36" w:rsidRPr="007B7E36">
          <w:rPr>
            <w:rStyle w:val="Hyperlink"/>
            <w:rFonts w:eastAsia="Calibri"/>
          </w:rPr>
          <w:t>HCA Matrix</w:t>
        </w:r>
      </w:hyperlink>
      <w:r w:rsidR="007B7E36">
        <w:rPr>
          <w:rFonts w:eastAsia="Calibri"/>
        </w:rPr>
        <w:t>.</w:t>
      </w:r>
      <w:bookmarkStart w:id="50" w:name="_SMC_PGI_5301.602-2"/>
      <w:bookmarkEnd w:id="50"/>
    </w:p>
    <w:p w14:paraId="24833512" w14:textId="7A8B3E31" w:rsidR="00C827AF" w:rsidRPr="005C4D0C" w:rsidRDefault="00C827AF" w:rsidP="002E5524">
      <w:pPr>
        <w:pStyle w:val="Heading4"/>
      </w:pPr>
      <w:bookmarkStart w:id="51" w:name="_SMC_PGI_5301.602-2_1"/>
      <w:bookmarkEnd w:id="51"/>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 xml:space="preserve">(c)(i) Legal Review [See SMC </w:t>
      </w:r>
      <w:hyperlink r:id="rId78"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79"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0" w:tgtFrame="_blank" w:history="1">
        <w:r w:rsidRPr="00EC23A2">
          <w:rPr>
            <w:color w:val="0000FF"/>
            <w:u w:val="single"/>
            <w:lang w:val="en"/>
          </w:rPr>
          <w:t>PKC POC Finder</w:t>
        </w:r>
      </w:hyperlink>
      <w:r w:rsidRPr="00EC23A2">
        <w:rPr>
          <w:lang w:val="en"/>
        </w:rPr>
        <w:t xml:space="preserve"> and </w:t>
      </w:r>
      <w:hyperlink r:id="rId81"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bookmarkStart w:id="52" w:name="_SMC_PGI_5301.603_1"/>
      <w:bookmarkEnd w:id="52"/>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 xml:space="preserve">(a)(i)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2"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lastRenderedPageBreak/>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3"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4"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5"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6"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present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7"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53" w:name="_SMC_PGI_5301.603"/>
      <w:bookmarkEnd w:id="53"/>
    </w:p>
    <w:p w14:paraId="0677C382" w14:textId="77777777" w:rsidR="00A24821" w:rsidRDefault="00001917" w:rsidP="0012116F">
      <w:pPr>
        <w:pStyle w:val="Heading3"/>
        <w:keepNext w:val="0"/>
        <w:keepLines w:val="0"/>
      </w:pPr>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88"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lastRenderedPageBreak/>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4" w:name="_SMC_PGI_5301.9001"/>
      <w:bookmarkEnd w:id="54"/>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(i)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9"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90"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91"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lastRenderedPageBreak/>
        <w:t xml:space="preserve">(A) Approval to Begin Negotiations: </w:t>
      </w:r>
      <w:hyperlink r:id="rId92"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93"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4"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5"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5" w:name="smc_91"/>
      <w:bookmarkStart w:id="56" w:name="_SMC_PGI_5301.91"/>
      <w:bookmarkEnd w:id="55"/>
      <w:bookmarkEnd w:id="56"/>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6"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7"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lastRenderedPageBreak/>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7" w:name="_USAFA_PGI_5301.601(a)(i)(A)"/>
      <w:bookmarkEnd w:id="57"/>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8" w:anchor="/SitePages/Home.aspx" w:history="1">
        <w:r w:rsidR="005E43FB">
          <w:rPr>
            <w:rStyle w:val="Hyperlink"/>
            <w:szCs w:val="24"/>
          </w:rPr>
          <w:t>https://cs2.eis.af.mil/sites/13093/PP/USAFA_PK/_layouts/15/start.aspx#/SitePages/Home.aspx</w:t>
        </w:r>
      </w:hyperlink>
      <w:r w:rsidR="005E43FB">
        <w:rPr>
          <w:szCs w:val="24"/>
        </w:rPr>
        <w:t>.</w:t>
      </w:r>
      <w:bookmarkStart w:id="58" w:name="_USAFA_PGI_5301.603-1"/>
      <w:bookmarkEnd w:id="58"/>
    </w:p>
    <w:p w14:paraId="196CD648" w14:textId="77777777" w:rsidR="00A24821" w:rsidRDefault="00B32543" w:rsidP="0012116F">
      <w:pPr>
        <w:pStyle w:val="Heading3"/>
        <w:keepNext w:val="0"/>
        <w:keepLines w:val="0"/>
        <w:rPr>
          <w:rFonts w:eastAsia="Calibri"/>
        </w:rPr>
      </w:pPr>
      <w:bookmarkStart w:id="59" w:name="_USAFA_PGI_5301.603-1_1"/>
      <w:bookmarkEnd w:id="59"/>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0" w:name="_USAFA_PGI_5301.90"/>
      <w:bookmarkEnd w:id="60"/>
    </w:p>
    <w:p w14:paraId="63594DD7" w14:textId="77777777" w:rsidR="00A24821" w:rsidRDefault="0081218F" w:rsidP="0012116F">
      <w:pPr>
        <w:pStyle w:val="Heading3"/>
        <w:keepNext w:val="0"/>
        <w:keepLines w:val="0"/>
        <w:rPr>
          <w:rFonts w:eastAsia="Calibri"/>
        </w:rPr>
      </w:pPr>
      <w:bookmarkStart w:id="61" w:name="_USAFA_PGI_5301.90_1"/>
      <w:bookmarkEnd w:id="61"/>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9" w:anchor="/SitePages/Home.aspx" w:history="1">
        <w:r w:rsidR="005E43FB">
          <w:rPr>
            <w:rStyle w:val="Hyperlink"/>
            <w:szCs w:val="24"/>
          </w:rPr>
          <w:t>https://cs2.eis.af.mil/sites/13093/PP/USAFA_PK/_layouts/15/start.aspx#/SitePages/Home.aspx</w:t>
        </w:r>
      </w:hyperlink>
      <w:r w:rsidR="005E43FB">
        <w:rPr>
          <w:szCs w:val="24"/>
        </w:rPr>
        <w:t>.</w:t>
      </w:r>
      <w:bookmarkStart w:id="62" w:name="_USAFA_PGI_5301.9102(a)"/>
      <w:bookmarkEnd w:id="62"/>
    </w:p>
    <w:p w14:paraId="391A8888" w14:textId="77777777" w:rsidR="00A24821" w:rsidRDefault="00FF7CC1" w:rsidP="0012116F">
      <w:pPr>
        <w:pStyle w:val="Heading3"/>
        <w:keepNext w:val="0"/>
        <w:keepLines w:val="0"/>
        <w:rPr>
          <w:rFonts w:eastAsia="Calibri"/>
          <w:b w:val="0"/>
        </w:rPr>
      </w:pPr>
      <w:bookmarkStart w:id="63" w:name="_USAFA_PGI_5301.9102(a)_1"/>
      <w:bookmarkEnd w:id="63"/>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7451A" w14:textId="77777777" w:rsidR="00D92656" w:rsidRDefault="00D92656" w:rsidP="001C4E96">
      <w:r>
        <w:separator/>
      </w:r>
    </w:p>
  </w:endnote>
  <w:endnote w:type="continuationSeparator" w:id="0">
    <w:p w14:paraId="5859B9F4" w14:textId="77777777" w:rsidR="00D92656" w:rsidRDefault="00D92656"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18D1F" w14:textId="77777777" w:rsidR="00D92656" w:rsidRDefault="00D92656" w:rsidP="001C4E96">
      <w:r>
        <w:separator/>
      </w:r>
    </w:p>
  </w:footnote>
  <w:footnote w:type="continuationSeparator" w:id="0">
    <w:p w14:paraId="2A5DF9E9" w14:textId="77777777" w:rsidR="00D92656" w:rsidRDefault="00D92656"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reviewers_checklist.xlsx" TargetMode="External"/><Relationship Id="rId76" Type="http://schemas.openxmlformats.org/officeDocument/2006/relationships/hyperlink" Target="https://cs2.eis.af.mil/sites/11191/KTFSApp/app/index.aspx" TargetMode="External"/><Relationship Id="rId84" Type="http://schemas.openxmlformats.org/officeDocument/2006/relationships/hyperlink" Target="https://cs2.eis.af.mil/sites/10059/afcc/knowledge_center/templates/co_appointment_warrant__transfer_termination_request.pdf" TargetMode="External"/><Relationship Id="rId89" Type="http://schemas.openxmlformats.org/officeDocument/2006/relationships/hyperlink" Target="https://cs2.eis.af.mil/sites/10059/afcc/knowledge_center/affars_pgi_related_documents/business_clearance_template_(competitive).pptx" TargetMode="External"/><Relationship Id="rId97" Type="http://schemas.openxmlformats.org/officeDocument/2006/relationships/hyperlink" Target="https://cs2.eis.af.mil/sites/10059/afcc/knowledge_center/affars_pgi_related_documents/appointment_of_alternate-ombudsman.pdf"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_clearance_approval_AFLCMC_PK_19-03.pdf" TargetMode="External"/><Relationship Id="rId92" Type="http://schemas.openxmlformats.org/officeDocument/2006/relationships/hyperlink" Target="https://cs2.eis.af.mil/sites/10059/afcc/knowledge_center/affars_pgi_related_documents/business_clearance_template_(non_competitive).pptx"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Clearance_Approval-AFSC-PK%2020-01.pdf" TargetMode="External"/><Relationship Id="rId79" Type="http://schemas.openxmlformats.org/officeDocument/2006/relationships/hyperlink" Target="https://insidesmc.losangeles.af.mil/sites/pk/div/pkc/requests/Lists/committee/AllItems.aspx" TargetMode="External"/><Relationship Id="rId87" Type="http://schemas.openxmlformats.org/officeDocument/2006/relationships/hyperlink" Target="https://insidesmc.losangeles.af.mil/sites/pk/div/pkc/requests/Lists/cotest/AllItems.asp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c/requests/Lists/cotest/AllItems.aspx" TargetMode="External"/><Relationship Id="rId90" Type="http://schemas.openxmlformats.org/officeDocument/2006/relationships/hyperlink" Target="https://cs2.eis.af.mil/sites/10059/afcc/knowledge_center/affars_pgi_related_documents/pre-fpr_clearance_template.pptx" TargetMode="External"/><Relationship Id="rId95" Type="http://schemas.openxmlformats.org/officeDocument/2006/relationships/hyperlink" Target="mailto:smc.pkv.workflow@us.af.mil?subject=CAA%20Delegation"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usaf.dps.mil/sites/21197/400/AFLCMC%20Clearance%20Delegation/Forms/AllItems.aspx" TargetMode="External"/><Relationship Id="rId77" Type="http://schemas.openxmlformats.org/officeDocument/2006/relationships/hyperlink" Target="https://cs2.eis.af.mil/sites/10059/afcc/knowledge_center/affars_pgi_related_documents/SMC_HCA_matrix.pdf"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cs2.eis.af.mil/sites/10059/afcc/knowledge_center/affars_pgi_related_documents/Class_Deviation_Clearance_Threshold_AFLCMC_Hill.pdf" TargetMode="External"/><Relationship Id="rId80" Type="http://schemas.openxmlformats.org/officeDocument/2006/relationships/hyperlink" Target="https://insidesmc.losangeles.af.mil/sites/pk/div/pkc/Pages/OrgChart_POC.aspx" TargetMode="External"/><Relationship Id="rId85" Type="http://schemas.openxmlformats.org/officeDocument/2006/relationships/hyperlink" Target="https://insidesmc.losangeles.af.mil/sites/pk/div/pkc/requests/Lists/cotest/AllItems.aspx" TargetMode="External"/><Relationship Id="rId93" Type="http://schemas.openxmlformats.org/officeDocument/2006/relationships/hyperlink" Target="https://cs2.eis.af.mil/sites/10059/afcc/knowledge_center/affars_pgi_related_documents/SMC_CAA_delegation_and_pricing_assistance_waiver_memo.pdf" TargetMode="External"/><Relationship Id="rId98"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75" Type="http://schemas.openxmlformats.org/officeDocument/2006/relationships/hyperlink" Target="https://cs2.eis.af.mil/sites/10059/afcc/knowledge_center/affars_pgi_related_documents/Class_Deviation-Clearance_Approval-AFSC-PK%2020-01.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cs2.eis.af.mil/sites/10059/afcc/knowledge_center/affars_pgi_related_documents/SMC%20Class%20Deviation%2020-01_LimitedWarrantProcess%20(27%20Jan%2020).pdf" TargetMode="External"/><Relationship Id="rId91" Type="http://schemas.openxmlformats.org/officeDocument/2006/relationships/hyperlink" Target="https://cs2.eis.af.mil/sites/10059/afcc/knowledge_center/affars_pgi_related_documents/award_decision_clearance_template.pptx" TargetMode="External"/><Relationship Id="rId96" Type="http://schemas.openxmlformats.org/officeDocument/2006/relationships/hyperlink" Target="https://cs2.eis.af.mil/sites/10059/afcc/knowledge_center/affars_pgi_related_documents/appointment_of_ombudsma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Clearance_Approval-AFSC_PK-Robins_OL_20-01.pdf" TargetMode="External"/><Relationship Id="rId78" Type="http://schemas.openxmlformats.org/officeDocument/2006/relationships/hyperlink" Target="https://cs2.eis.af.mil/sites/10059/afcc/knowledge_center/affars_pgi_related_documents/SMC_class_deviation_legal_review.pdf" TargetMode="External"/><Relationship Id="rId81" Type="http://schemas.openxmlformats.org/officeDocument/2006/relationships/hyperlink" Target="https://insidesmc.losangeles.af.mil/sites/pk/div/pkf/default.aspx" TargetMode="External"/><Relationship Id="rId86" Type="http://schemas.openxmlformats.org/officeDocument/2006/relationships/hyperlink" Target="https://cs2.eis.af.mil/sites/10059/afcc/knowledge_center/affars_pgi_related_documents/corb_scoring_sheet.doc" TargetMode="External"/><Relationship Id="rId94" Type="http://schemas.openxmlformats.org/officeDocument/2006/relationships/hyperlink" Target="https://insidesmc.losangeles.af.mil/sites/pk/library/Lists/other/Attachments/220/COCO%20Clearance%20Delegations.pdf" TargetMode="External"/><Relationship Id="rId99" Type="http://schemas.openxmlformats.org/officeDocument/2006/relationships/hyperlink" Target="https://cs2.eis.af.mil/sites/13093/PP/USAFA_PK/_layouts/15/start.aspx" TargetMode="Externa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AE9A69-82DA-44DD-B3F3-5851824A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37</Pages>
  <Words>13151</Words>
  <Characters>74964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VOUDREN, JEFFREY W NH-04 USAF HAF SAF/BLDG PENTAGON, 4C149</cp:lastModifiedBy>
  <cp:revision>59</cp:revision>
  <cp:lastPrinted>2019-08-27T20:11:00Z</cp:lastPrinted>
  <dcterms:created xsi:type="dcterms:W3CDTF">2019-10-16T12:47:00Z</dcterms:created>
  <dcterms:modified xsi:type="dcterms:W3CDTF">2020-05-29T18:12:00Z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