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C2D1" w14:textId="77777777" w:rsidR="00100CF5" w:rsidRPr="00A421BC" w:rsidRDefault="00A421BC" w:rsidP="00A421BC">
      <w:pPr>
        <w:pStyle w:val="Heading1"/>
      </w:pPr>
      <w:bookmarkStart w:id="0" w:name="_Toc346949789"/>
      <w:bookmarkStart w:id="1" w:name="_Toc350256322"/>
      <w:bookmarkStart w:id="2" w:name="_Toc351650146"/>
      <w:r w:rsidRPr="00A421BC">
        <w:t xml:space="preserve">PART 5316 - </w:t>
      </w:r>
      <w:r w:rsidRPr="00A421BC">
        <w:br/>
        <w:t>Types of Contracts</w:t>
      </w:r>
      <w:bookmarkEnd w:id="0"/>
      <w:bookmarkEnd w:id="1"/>
      <w:bookmarkEnd w:id="2"/>
    </w:p>
    <w:p w14:paraId="35A8E6D1" w14:textId="7427C010" w:rsidR="00A421BC" w:rsidRPr="00A421BC" w:rsidRDefault="00A421BC" w:rsidP="00A421BC">
      <w:pPr>
        <w:pStyle w:val="Heading1"/>
      </w:pPr>
    </w:p>
    <w:p w14:paraId="6E4AD487" w14:textId="77777777" w:rsidR="00100CF5" w:rsidRPr="00A421BC" w:rsidRDefault="00A421BC" w:rsidP="00A421BC">
      <w:pPr>
        <w:jc w:val="center"/>
      </w:pPr>
      <w:r w:rsidRPr="00A421BC">
        <w:rPr>
          <w:b/>
        </w:rPr>
        <w:t>Table of Contents</w:t>
      </w:r>
    </w:p>
    <w:bookmarkStart w:id="3" w:name="_Toc351650163"/>
    <w:p w14:paraId="5D306163" w14:textId="7F8C5168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\n \p " " \h \z \t "Heading 2,1,Heading 3,2,Heading 4,2" </w:instrText>
      </w:r>
      <w:r>
        <w:fldChar w:fldCharType="separate"/>
      </w:r>
      <w:hyperlink w:anchor="_Toc45291232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5316.102   Policies</w:t>
        </w:r>
      </w:hyperlink>
    </w:p>
    <w:p w14:paraId="24150036" w14:textId="5C04EDD0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3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5316.103   Negotiating Contract Type</w:t>
        </w:r>
      </w:hyperlink>
    </w:p>
    <w:p w14:paraId="54B5EB03" w14:textId="3BAEA48F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4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5316.104   Factors in Selecting Contract Types</w:t>
        </w:r>
      </w:hyperlink>
    </w:p>
    <w:p w14:paraId="6205B24C" w14:textId="361EF1C0" w:rsidR="00234826" w:rsidRPr="00234826" w:rsidRDefault="00F82330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5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5316.203 — FIXED-PRICE CONTRACTS WITH ECONOMIC PRICE ADJUSTMENT</w:t>
        </w:r>
      </w:hyperlink>
    </w:p>
    <w:p w14:paraId="0F95F025" w14:textId="4CC98661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6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5316.203-4   Contract Clauses</w:t>
        </w:r>
      </w:hyperlink>
    </w:p>
    <w:p w14:paraId="062A6974" w14:textId="1221CF54" w:rsidR="00234826" w:rsidRPr="00234826" w:rsidRDefault="00F82330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7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5316.206 — FIXED-CEILING-PRICE CONTRACTS WITH RETROACTIVE PRICE REDETERMINATION</w:t>
        </w:r>
      </w:hyperlink>
    </w:p>
    <w:p w14:paraId="241C287C" w14:textId="56B997E7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8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5316.206-3   Limitations</w:t>
        </w:r>
      </w:hyperlink>
    </w:p>
    <w:p w14:paraId="6749F05D" w14:textId="4DC2FCF3" w:rsidR="00234826" w:rsidRPr="00234826" w:rsidRDefault="00F82330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9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5316.3 — COST-REIMBURSEMENT CONTRACTS</w:t>
        </w:r>
      </w:hyperlink>
    </w:p>
    <w:p w14:paraId="1A971F64" w14:textId="507B145B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0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5316.301-3   Limitations</w:t>
        </w:r>
      </w:hyperlink>
    </w:p>
    <w:p w14:paraId="329BFF9E" w14:textId="5F0CCD29" w:rsidR="00234826" w:rsidRPr="00234826" w:rsidRDefault="00F82330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41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5316.4 — INCENTIVE CONTRACTS</w:t>
        </w:r>
      </w:hyperlink>
    </w:p>
    <w:p w14:paraId="25AA2465" w14:textId="4E0EAC18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2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5316.401   General</w:t>
        </w:r>
      </w:hyperlink>
    </w:p>
    <w:p w14:paraId="0B4301EC" w14:textId="51E228A2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3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5316.404   Fixed-Price Contracts with Award Fees</w:t>
        </w:r>
      </w:hyperlink>
    </w:p>
    <w:p w14:paraId="24AD7C4C" w14:textId="13388E97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4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5316.405-2   Cost-Plus-Award-Fee Contracts</w:t>
        </w:r>
      </w:hyperlink>
    </w:p>
    <w:p w14:paraId="2E8646FA" w14:textId="00624805" w:rsidR="00234826" w:rsidRPr="00234826" w:rsidRDefault="00F82330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45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5316.5 — INDEFINITE-DELIVERY CONTRACTS</w:t>
        </w:r>
      </w:hyperlink>
    </w:p>
    <w:p w14:paraId="705DB6B7" w14:textId="01C9E4A6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6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5316.503   Requirements Contracts</w:t>
        </w:r>
      </w:hyperlink>
    </w:p>
    <w:p w14:paraId="563778C6" w14:textId="1C3078B2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7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5316.504   Indefinite-Quantity Contracts</w:t>
        </w:r>
      </w:hyperlink>
    </w:p>
    <w:p w14:paraId="29212C28" w14:textId="4576D588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8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5316.505   Ordering</w:t>
        </w:r>
      </w:hyperlink>
    </w:p>
    <w:p w14:paraId="78A7C768" w14:textId="15B54BD8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9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5316.505-90   Decentralized Ordering</w:t>
        </w:r>
      </w:hyperlink>
    </w:p>
    <w:p w14:paraId="5799C88E" w14:textId="0805F4F7" w:rsidR="00234826" w:rsidRPr="00234826" w:rsidRDefault="00F82330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50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 xml:space="preserve">SUBPART 5316.6 </w:t>
        </w:r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caps/>
            <w:noProof/>
            <w:sz w:val="22"/>
            <w:szCs w:val="22"/>
          </w:rPr>
          <w:t xml:space="preserve">— </w:t>
        </w:r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TIME-AND-MATERIALS, LABOR-HOUR, AND LETTER CONTRACTS</w:t>
        </w:r>
      </w:hyperlink>
    </w:p>
    <w:p w14:paraId="41AFDF74" w14:textId="18CEAC92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51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5316.601(d)   Limitations</w:t>
        </w:r>
      </w:hyperlink>
    </w:p>
    <w:p w14:paraId="131C4640" w14:textId="7C95E1DD" w:rsidR="00234826" w:rsidRPr="00234826" w:rsidRDefault="00F82330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52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5316.603-2   Application</w:t>
        </w:r>
      </w:hyperlink>
    </w:p>
    <w:p w14:paraId="3EBFC850" w14:textId="287E7A6C" w:rsidR="00234826" w:rsidRDefault="00F82330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291253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5316.603-3   Limitations</w:t>
        </w:r>
      </w:hyperlink>
    </w:p>
    <w:p w14:paraId="0596AC3C" w14:textId="6E933FFA" w:rsidR="000350E0" w:rsidRDefault="00234826" w:rsidP="00155F54">
      <w:pPr>
        <w:pStyle w:val="Heading1"/>
        <w:rPr>
          <w:rFonts w:asciiTheme="minorHAnsi" w:hAnsiTheme="minorHAnsi" w:cstheme="minorHAnsi"/>
          <w:color w:val="auto"/>
          <w:sz w:val="20"/>
        </w:rPr>
      </w:pPr>
      <w:r>
        <w:rPr>
          <w:rFonts w:asciiTheme="minorHAnsi" w:hAnsiTheme="minorHAnsi" w:cstheme="minorHAnsi"/>
          <w:color w:val="auto"/>
          <w:sz w:val="20"/>
        </w:rPr>
        <w:fldChar w:fldCharType="end"/>
      </w:r>
    </w:p>
    <w:p w14:paraId="220A3C0E" w14:textId="77777777" w:rsidR="00FB5202" w:rsidRPr="00FB5202" w:rsidRDefault="00FB5202" w:rsidP="00FB5202"/>
    <w:p w14:paraId="5824040A" w14:textId="77777777" w:rsidR="00100CF5" w:rsidRDefault="00714EC9" w:rsidP="00A421BC">
      <w:pPr>
        <w:pStyle w:val="edition"/>
        <w:jc w:val="center"/>
      </w:pPr>
      <w:r w:rsidRPr="00DC3A8E">
        <w:rPr>
          <w:iCs/>
        </w:rPr>
        <w:lastRenderedPageBreak/>
        <w:t>[</w:t>
      </w:r>
      <w:r w:rsidR="00FE7FED" w:rsidRPr="00DC3A8E">
        <w:rPr>
          <w:iCs/>
        </w:rPr>
        <w:t>2019 Edition</w:t>
      </w:r>
      <w:r w:rsidRPr="00DC3A8E">
        <w:rPr>
          <w:iCs/>
        </w:rPr>
        <w:t>]</w:t>
      </w:r>
    </w:p>
    <w:p w14:paraId="562DE14F" w14:textId="67F1C1DA" w:rsidR="00B27A68" w:rsidRPr="00B61AA6" w:rsidRDefault="00B27A68" w:rsidP="00B27A6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>INTERIM CHANGE</w:t>
      </w:r>
      <w:r w:rsidR="00FB5202">
        <w:rPr>
          <w:color w:val="0000FF"/>
          <w:lang w:val="en"/>
        </w:rPr>
        <w:t>S</w:t>
      </w:r>
      <w:r w:rsidRPr="00F95A63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FC1CB2">
        <w:rPr>
          <w:lang w:val="en"/>
        </w:rPr>
        <w:t xml:space="preserve"> </w:t>
      </w:r>
      <w:hyperlink r:id="rId11" w:history="1">
        <w:r w:rsidR="00FC1CB2">
          <w:rPr>
            <w:rStyle w:val="Hyperlink"/>
            <w:lang w:val="en"/>
          </w:rPr>
          <w:t>CPM 19-C-11</w:t>
        </w:r>
      </w:hyperlink>
      <w:r w:rsidR="00FC1CB2" w:rsidRPr="00FC1CB2">
        <w:rPr>
          <w:lang w:val="en"/>
        </w:rPr>
        <w:t xml:space="preserve">, </w:t>
      </w:r>
      <w:hyperlink r:id="rId12" w:history="1">
        <w:r w:rsidR="00FC1CB2">
          <w:rPr>
            <w:rStyle w:val="Hyperlink"/>
            <w:lang w:val="en"/>
          </w:rPr>
          <w:t>CPM 19-C-12</w:t>
        </w:r>
      </w:hyperlink>
      <w:r w:rsidR="00FC1CB2" w:rsidRPr="00FC1CB2">
        <w:rPr>
          <w:lang w:val="en"/>
        </w:rPr>
        <w:t>,</w:t>
      </w:r>
      <w:r w:rsidR="00FC1CB2">
        <w:rPr>
          <w:lang w:val="en"/>
        </w:rPr>
        <w:t xml:space="preserve"> </w:t>
      </w:r>
      <w:hyperlink r:id="rId13" w:history="1">
        <w:r w:rsidR="00FC1CB2">
          <w:rPr>
            <w:rStyle w:val="Hyperlink"/>
            <w:lang w:val="en"/>
          </w:rPr>
          <w:t>CPM 20-C-09</w:t>
        </w:r>
      </w:hyperlink>
      <w:r w:rsidR="00FC1CB2" w:rsidRPr="00FC1CB2">
        <w:rPr>
          <w:lang w:val="en"/>
        </w:rPr>
        <w:t xml:space="preserve">, </w:t>
      </w:r>
      <w:hyperlink r:id="rId14" w:history="1">
        <w:r w:rsidR="00FC1CB2">
          <w:rPr>
            <w:rStyle w:val="Hyperlink"/>
            <w:lang w:val="en"/>
          </w:rPr>
          <w:t>CPM 20-C-10</w:t>
        </w:r>
      </w:hyperlink>
      <w:r w:rsidR="00502761" w:rsidRPr="00FC1CB2">
        <w:rPr>
          <w:lang w:val="en"/>
        </w:rPr>
        <w:t xml:space="preserve">, and </w:t>
      </w:r>
      <w:hyperlink r:id="rId15" w:history="1">
        <w:r w:rsidR="00BD4492">
          <w:rPr>
            <w:rStyle w:val="Hyperlink"/>
            <w:lang w:val="en"/>
          </w:rPr>
          <w:t>CPM 20-C-19</w:t>
        </w:r>
      </w:hyperlink>
    </w:p>
    <w:p w14:paraId="69BFA138" w14:textId="605C2093" w:rsidR="00100CF5" w:rsidRDefault="00EE5F31" w:rsidP="000350E0">
      <w:r w:rsidRPr="0061061F">
        <w:t xml:space="preserve">See </w:t>
      </w:r>
      <w:hyperlink r:id="rId16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</w:p>
    <w:p w14:paraId="7B43FDD7" w14:textId="77777777" w:rsidR="00100CF5" w:rsidRDefault="001612CE" w:rsidP="000350E0">
      <w:pPr>
        <w:pStyle w:val="Heading3"/>
        <w:rPr>
          <w:lang w:val="en"/>
        </w:rPr>
      </w:pPr>
      <w:bookmarkStart w:id="4" w:name="_Toc45291232"/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4"/>
    </w:p>
    <w:p w14:paraId="0B9A6957" w14:textId="2C565125" w:rsidR="00100CF5" w:rsidRDefault="00B248E9" w:rsidP="000350E0">
      <w:pPr>
        <w:rPr>
          <w:lang w:val="en"/>
        </w:rPr>
      </w:pPr>
      <w:r w:rsidRPr="004C380C">
        <w:rPr>
          <w:bCs/>
          <w:lang w:val="en"/>
        </w:rPr>
        <w:t xml:space="preserve">See </w:t>
      </w:r>
      <w:hyperlink r:id="rId17" w:history="1">
        <w:r w:rsidRPr="0016758F">
          <w:rPr>
            <w:rStyle w:val="Hyperlink"/>
            <w:bCs/>
            <w:lang w:val="en"/>
          </w:rPr>
          <w:t>MP5301.601(a)(i)</w:t>
        </w:r>
      </w:hyperlink>
      <w:r w:rsidRPr="004C380C">
        <w:rPr>
          <w:bCs/>
          <w:lang w:val="en"/>
        </w:rPr>
        <w:t xml:space="preserve"> for approval of cost-reimbursement contracts required pursuant to </w:t>
      </w:r>
      <w:hyperlink r:id="rId18" w:history="1">
        <w:r w:rsidR="0016758F">
          <w:rPr>
            <w:rStyle w:val="Hyperlink"/>
            <w:bCs/>
            <w:lang w:val="en"/>
          </w:rPr>
          <w:t>DFARS Class Deviation 2019-O0001 — Use of Fixed-Price Contracts</w:t>
        </w:r>
      </w:hyperlink>
      <w:r w:rsidRPr="004C380C">
        <w:rPr>
          <w:bCs/>
          <w:lang w:val="en"/>
        </w:rPr>
        <w:t>.</w:t>
      </w:r>
      <w:r w:rsidR="00612F30">
        <w:rPr>
          <w:bCs/>
          <w:lang w:val="en"/>
        </w:rPr>
        <w:br/>
      </w:r>
      <w:r w:rsidR="00612F30" w:rsidRPr="00D047D7">
        <w:rPr>
          <w:color w:val="0000FF"/>
          <w:lang w:val="en"/>
        </w:rPr>
        <w:t xml:space="preserve">INTERIM CHANGE:  </w:t>
      </w:r>
      <w:r w:rsidR="00612F30" w:rsidRPr="00B61AA6">
        <w:rPr>
          <w:lang w:val="en"/>
        </w:rPr>
        <w:t xml:space="preserve">See </w:t>
      </w:r>
      <w:hyperlink r:id="rId19" w:history="1">
        <w:r w:rsidR="00612F30">
          <w:rPr>
            <w:rStyle w:val="Hyperlink"/>
            <w:lang w:val="en"/>
          </w:rPr>
          <w:t>CPM 19-C-12.</w:t>
        </w:r>
      </w:hyperlink>
    </w:p>
    <w:p w14:paraId="77F371FF" w14:textId="77777777" w:rsidR="00100CF5" w:rsidRDefault="001612CE" w:rsidP="000350E0">
      <w:pPr>
        <w:pStyle w:val="Heading3"/>
      </w:pPr>
      <w:bookmarkStart w:id="5" w:name="_Toc45291233"/>
      <w:r>
        <w:t>5316.103</w:t>
      </w:r>
      <w:r w:rsidR="0016758F">
        <w:t xml:space="preserve"> </w:t>
      </w:r>
      <w:r>
        <w:t xml:space="preserve">  Negotiating Contract Type</w:t>
      </w:r>
      <w:bookmarkEnd w:id="5"/>
    </w:p>
    <w:p w14:paraId="78DE8F74" w14:textId="77777777" w:rsidR="00100CF5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20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</w:p>
    <w:p w14:paraId="58ED4CCF" w14:textId="77777777" w:rsidR="00100CF5" w:rsidRDefault="00CB2C70" w:rsidP="000350E0">
      <w:pPr>
        <w:pStyle w:val="Heading3"/>
      </w:pPr>
      <w:bookmarkStart w:id="6" w:name="_Toc45291234"/>
      <w:r>
        <w:t xml:space="preserve">5316.104  </w:t>
      </w:r>
      <w:r w:rsidR="0016758F">
        <w:t xml:space="preserve"> </w:t>
      </w:r>
      <w:r>
        <w:t>Factors in Selecting Contract Types</w:t>
      </w:r>
      <w:bookmarkEnd w:id="6"/>
      <w:r>
        <w:t xml:space="preserve"> </w:t>
      </w:r>
    </w:p>
    <w:p w14:paraId="302862E7" w14:textId="4079C49B" w:rsidR="00100CF5" w:rsidRDefault="00EE5F31" w:rsidP="000350E0">
      <w:r>
        <w:t xml:space="preserve">See </w:t>
      </w:r>
      <w:hyperlink r:id="rId21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</w:p>
    <w:p w14:paraId="57BE24A0" w14:textId="77777777" w:rsidR="00100CF5" w:rsidRDefault="00467F17" w:rsidP="000350E0">
      <w:pPr>
        <w:pStyle w:val="Heading2"/>
      </w:pPr>
      <w:bookmarkStart w:id="7" w:name="_Toc45291235"/>
      <w:r>
        <w:t>SUBPART 5316.203 — FIXED-PRICE CONTRACTS WITH ECONOMIC PRICE ADJUSTMENT</w:t>
      </w:r>
      <w:bookmarkEnd w:id="7"/>
    </w:p>
    <w:p w14:paraId="2375FBAB" w14:textId="77777777" w:rsidR="00100CF5" w:rsidRDefault="00467F17" w:rsidP="000350E0">
      <w:pPr>
        <w:pStyle w:val="Heading3"/>
      </w:pPr>
      <w:bookmarkStart w:id="8" w:name="_Toc45291236"/>
      <w:r w:rsidRPr="00806D3B">
        <w:t>5316.20</w:t>
      </w:r>
      <w:r>
        <w:t>3-4   Contract Clauses</w:t>
      </w:r>
      <w:bookmarkEnd w:id="8"/>
      <w:r>
        <w:t xml:space="preserve"> </w:t>
      </w:r>
    </w:p>
    <w:p w14:paraId="116D12C4" w14:textId="45F1C55E" w:rsidR="00100CF5" w:rsidRDefault="00C83B0B" w:rsidP="000350E0">
      <w:r w:rsidRPr="00EE5F31">
        <w:t xml:space="preserve">See </w:t>
      </w:r>
      <w:hyperlink r:id="rId22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07CEF9F2" w14:textId="77777777" w:rsidR="00100CF5" w:rsidRDefault="00771CF9" w:rsidP="000350E0">
      <w:pPr>
        <w:pStyle w:val="Heading2"/>
      </w:pPr>
      <w:bookmarkStart w:id="9" w:name="_Toc45291237"/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End w:id="9"/>
    </w:p>
    <w:p w14:paraId="2132AE5C" w14:textId="77777777" w:rsidR="00100CF5" w:rsidRDefault="00771CF9" w:rsidP="000350E0">
      <w:pPr>
        <w:pStyle w:val="Heading3"/>
      </w:pPr>
      <w:bookmarkStart w:id="10" w:name="_Toc45291238"/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10"/>
    </w:p>
    <w:p w14:paraId="1B879EAC" w14:textId="30957C23" w:rsidR="00100CF5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23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24" w:anchor="p53162063d" w:history="1">
        <w:r w:rsidRPr="007E175A">
          <w:rPr>
            <w:rStyle w:val="Hyperlink"/>
          </w:rPr>
          <w:t>MP5301.601(a)(i)</w:t>
        </w:r>
      </w:hyperlink>
      <w:r>
        <w:t>).</w:t>
      </w:r>
    </w:p>
    <w:p w14:paraId="0D705496" w14:textId="0585EBD2" w:rsidR="00A56E29" w:rsidRDefault="00A56E29" w:rsidP="00A56E29">
      <w:pPr>
        <w:pStyle w:val="Heading2"/>
      </w:pPr>
      <w:bookmarkStart w:id="11" w:name="_Toc45291239"/>
      <w:r>
        <w:t>SUBPART 5316.3 — COST-REIMBURSEMENT CONTRACTS</w:t>
      </w:r>
      <w:bookmarkEnd w:id="11"/>
    </w:p>
    <w:p w14:paraId="2969C3E1" w14:textId="7B393F8D" w:rsidR="00A56E29" w:rsidRDefault="00A56E29" w:rsidP="00A56E29">
      <w:pPr>
        <w:pStyle w:val="Heading3"/>
        <w:rPr>
          <w:bCs/>
        </w:rPr>
      </w:pPr>
      <w:bookmarkStart w:id="12" w:name="_Toc45291240"/>
      <w:r>
        <w:rPr>
          <w:bCs/>
        </w:rPr>
        <w:t>5316.301-3   Limitations</w:t>
      </w:r>
      <w:bookmarkEnd w:id="12"/>
    </w:p>
    <w:p w14:paraId="3BE8D387" w14:textId="4A7E74E0" w:rsidR="00A56E29" w:rsidRDefault="00A56E29" w:rsidP="00A56E29">
      <w:r>
        <w:t>(2)</w:t>
      </w:r>
      <w:r w:rsidRPr="00A56E29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 w:rsidR="00BA6506" w:rsidRPr="00BA6506">
        <w:t xml:space="preserve"> </w:t>
      </w:r>
      <w:hyperlink r:id="rId25" w:history="1">
        <w:r w:rsidR="00BA6506" w:rsidRPr="00BA6506">
          <w:rPr>
            <w:rStyle w:val="Hyperlink"/>
          </w:rPr>
          <w:t>CPM 19-C-12</w:t>
        </w:r>
      </w:hyperlink>
      <w:r w:rsidRPr="00BA6506">
        <w:rPr>
          <w:lang w:val="en"/>
        </w:rPr>
        <w:t>.</w:t>
      </w:r>
    </w:p>
    <w:p w14:paraId="5BCF40F0" w14:textId="77777777" w:rsidR="00100CF5" w:rsidRDefault="008B5442" w:rsidP="000350E0">
      <w:pPr>
        <w:pStyle w:val="Heading2"/>
      </w:pPr>
      <w:bookmarkStart w:id="13" w:name="_Toc45291241"/>
      <w:r>
        <w:lastRenderedPageBreak/>
        <w:t>SUBPART 5316.4 — INCENTIVE CONTRACTS</w:t>
      </w:r>
      <w:bookmarkEnd w:id="13"/>
    </w:p>
    <w:p w14:paraId="7C4BD2CC" w14:textId="77777777" w:rsidR="00100CF5" w:rsidRDefault="008B5442" w:rsidP="000350E0">
      <w:pPr>
        <w:pStyle w:val="Heading3"/>
      </w:pPr>
      <w:bookmarkStart w:id="14" w:name="_Toc45291242"/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14"/>
    </w:p>
    <w:p w14:paraId="08FEBE4D" w14:textId="79E98702" w:rsidR="00BA6506" w:rsidRDefault="00E341A2" w:rsidP="000350E0">
      <w:pPr>
        <w:pStyle w:val="List1"/>
      </w:pPr>
      <w:r w:rsidRPr="003B073A">
        <w:t xml:space="preserve">(d) </w:t>
      </w:r>
      <w:r w:rsidR="007E175A" w:rsidRPr="003B073A">
        <w:t xml:space="preserve">See </w:t>
      </w:r>
      <w:hyperlink r:id="rId26" w:anchor="p5316401d" w:history="1">
        <w:r w:rsidR="007E175A" w:rsidRPr="003B073A">
          <w:rPr>
            <w:rStyle w:val="Hyperlink"/>
          </w:rPr>
          <w:t>MP5301.601(a)(i)</w:t>
        </w:r>
      </w:hyperlink>
      <w:r w:rsidR="003B073A" w:rsidRPr="003B073A">
        <w:rPr>
          <w:rStyle w:val="Hyperlink"/>
        </w:rPr>
        <w:t xml:space="preserve"> </w:t>
      </w:r>
      <w:r w:rsidR="00D65A99" w:rsidRPr="003B073A">
        <w:t>for approving incentive and award fee contract D&amp;Fs.</w:t>
      </w:r>
      <w:r w:rsidR="00D65A99">
        <w:t xml:space="preserve">  </w:t>
      </w:r>
      <w:r w:rsidR="003B073A" w:rsidRPr="008E7704">
        <w:t>F</w:t>
      </w:r>
      <w:r w:rsidR="00CD7CAC" w:rsidRPr="008E7704">
        <w:t>or</w:t>
      </w:r>
      <w:r w:rsidR="003B073A" w:rsidRPr="008E7704">
        <w:t xml:space="preserve">ward a copy of the D&amp;F </w:t>
      </w:r>
      <w:r w:rsidR="008E7704" w:rsidRPr="008E7704">
        <w:t xml:space="preserve">to </w:t>
      </w:r>
      <w:hyperlink r:id="rId27" w:history="1">
        <w:r w:rsidR="008E7704" w:rsidRPr="00E73CC7">
          <w:rPr>
            <w:rStyle w:val="Hyperlink"/>
          </w:rPr>
          <w:t>SAF/AQC</w:t>
        </w:r>
      </w:hyperlink>
      <w:r w:rsidR="008E7704" w:rsidRPr="008E7704">
        <w:t xml:space="preserve"> </w:t>
      </w:r>
      <w:r w:rsidR="003B073A" w:rsidRPr="008E7704">
        <w:t>wh</w:t>
      </w:r>
      <w:r w:rsidR="003B073A" w:rsidRPr="003B073A">
        <w:t xml:space="preserve">en the conditions at </w:t>
      </w:r>
      <w:r w:rsidR="00CA2847" w:rsidRPr="003B073A">
        <w:t>DFARS PGI 216.401(e)(</w:t>
      </w:r>
      <w:r w:rsidR="003B073A" w:rsidRPr="003B073A">
        <w:t>iv</w:t>
      </w:r>
      <w:r w:rsidR="00CA2847" w:rsidRPr="003B073A">
        <w:t xml:space="preserve">) </w:t>
      </w:r>
      <w:r w:rsidR="003B073A" w:rsidRPr="003B073A">
        <w:t>apply.</w:t>
      </w:r>
      <w:r w:rsidR="00BA6506">
        <w:t xml:space="preserve">  </w:t>
      </w:r>
    </w:p>
    <w:p w14:paraId="1875901F" w14:textId="4191949A" w:rsidR="00100CF5" w:rsidRDefault="00612F30" w:rsidP="000350E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8" w:history="1">
        <w:r>
          <w:rPr>
            <w:rStyle w:val="Hyperlink"/>
            <w:lang w:val="en"/>
          </w:rPr>
          <w:t>CPM 19-C-12.</w:t>
        </w:r>
      </w:hyperlink>
    </w:p>
    <w:p w14:paraId="6749C37B" w14:textId="3CD22FE9" w:rsidR="00100CF5" w:rsidRDefault="00E341A2" w:rsidP="000350E0">
      <w:pPr>
        <w:pStyle w:val="List1"/>
      </w:pPr>
      <w:r>
        <w:t xml:space="preserve">(e)(3)(i) </w:t>
      </w:r>
      <w:r w:rsidR="00771CF9">
        <w:t xml:space="preserve">See </w:t>
      </w:r>
      <w:hyperlink r:id="rId29" w:anchor="p5316401e3i" w:history="1">
        <w:r w:rsidR="00771CF9" w:rsidRPr="007E175A">
          <w:rPr>
            <w:rStyle w:val="Hyperlink"/>
          </w:rPr>
          <w:t>MP5301.601(a)(i)</w:t>
        </w:r>
      </w:hyperlink>
      <w:r w:rsidR="00771CF9">
        <w:t>.</w:t>
      </w:r>
    </w:p>
    <w:p w14:paraId="29299C79" w14:textId="34B46622" w:rsidR="006717FE" w:rsidRDefault="0001425C" w:rsidP="000350E0">
      <w:r w:rsidRPr="00CD7CAC">
        <w:t xml:space="preserve">See </w:t>
      </w:r>
      <w:hyperlink r:id="rId30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DB8E1E3" w14:textId="67648D87" w:rsidR="00100CF5" w:rsidRDefault="007E2B38" w:rsidP="00AB0726">
      <w:pPr>
        <w:suppressAutoHyphens/>
      </w:pPr>
      <w:r w:rsidRPr="00CD7CAC">
        <w:t xml:space="preserve">See </w:t>
      </w:r>
      <w:hyperlink r:id="rId31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4F858045" w14:textId="77777777" w:rsidR="00100CF5" w:rsidRDefault="00C557FB" w:rsidP="000350E0">
      <w:pPr>
        <w:pStyle w:val="Heading3"/>
      </w:pPr>
      <w:bookmarkStart w:id="15" w:name="_Toc45291243"/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15"/>
    </w:p>
    <w:p w14:paraId="0786757A" w14:textId="4012B6DC" w:rsidR="00100CF5" w:rsidRDefault="00C557FB" w:rsidP="000350E0">
      <w:r>
        <w:t xml:space="preserve">See </w:t>
      </w:r>
      <w:hyperlink r:id="rId32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1(e)(3)(i)</w:t>
        </w:r>
      </w:hyperlink>
      <w:r w:rsidR="00E932A1">
        <w:t xml:space="preserve"> </w:t>
      </w:r>
      <w:r w:rsidR="007E175A">
        <w:t>above</w:t>
      </w:r>
      <w:r>
        <w:t>.</w:t>
      </w:r>
    </w:p>
    <w:p w14:paraId="1788AEB1" w14:textId="77777777" w:rsidR="00100CF5" w:rsidRDefault="00771CF9" w:rsidP="000350E0">
      <w:pPr>
        <w:pStyle w:val="Heading3"/>
      </w:pPr>
      <w:bookmarkStart w:id="16" w:name="_Toc45291244"/>
      <w:r>
        <w:rPr>
          <w:bCs/>
        </w:rPr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16"/>
    </w:p>
    <w:p w14:paraId="2B381D76" w14:textId="0C28DD6E" w:rsidR="00100CF5" w:rsidRDefault="00771CF9" w:rsidP="000350E0">
      <w:pPr>
        <w:pStyle w:val="List2"/>
      </w:pPr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33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34" w:anchor="p531640521" w:history="1">
        <w:r w:rsidRPr="00A313D3">
          <w:rPr>
            <w:rStyle w:val="Hyperlink"/>
          </w:rPr>
          <w:t>MP5301.601(a)(i)</w:t>
        </w:r>
      </w:hyperlink>
      <w:r>
        <w:t>).</w:t>
      </w:r>
    </w:p>
    <w:p w14:paraId="3DB0765B" w14:textId="4D4A0218" w:rsidR="00100CF5" w:rsidRDefault="007A017B" w:rsidP="000350E0">
      <w:r w:rsidRPr="00AB0213">
        <w:t xml:space="preserve">See </w:t>
      </w:r>
      <w:hyperlink r:id="rId35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4CE26B3C" w14:textId="77777777" w:rsidR="00100CF5" w:rsidRDefault="00C557FB" w:rsidP="000350E0">
      <w:pPr>
        <w:pStyle w:val="Heading2"/>
      </w:pPr>
      <w:bookmarkStart w:id="17" w:name="_Toc45291245"/>
      <w:r>
        <w:t>SUBPART 5316.5 — INDEFINITE-DELIVERY CONTRACTS</w:t>
      </w:r>
      <w:bookmarkStart w:id="18" w:name="_Toc346949807"/>
      <w:bookmarkEnd w:id="3"/>
      <w:bookmarkEnd w:id="17"/>
    </w:p>
    <w:p w14:paraId="06216785" w14:textId="77777777" w:rsidR="00100CF5" w:rsidRDefault="001F563C" w:rsidP="000350E0">
      <w:pPr>
        <w:pStyle w:val="Heading3"/>
      </w:pPr>
      <w:bookmarkStart w:id="19" w:name="_Toc45291246"/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19"/>
    </w:p>
    <w:p w14:paraId="3EC22CDD" w14:textId="77777777" w:rsidR="00100CF5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.504(c)(1)(ii)(D)</w:t>
        </w:r>
      </w:hyperlink>
      <w:r w:rsidR="00A659BD">
        <w:t>.</w:t>
      </w:r>
    </w:p>
    <w:p w14:paraId="484BF678" w14:textId="77777777" w:rsidR="00100CF5" w:rsidRDefault="0055310B" w:rsidP="000350E0">
      <w:pPr>
        <w:pStyle w:val="Heading3"/>
      </w:pPr>
      <w:bookmarkStart w:id="20" w:name="_Toc45291247"/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20"/>
      <w:r w:rsidR="00C42E29" w:rsidRPr="00C42E29">
        <w:rPr>
          <w:b w:val="0"/>
        </w:rPr>
        <w:t xml:space="preserve">    </w:t>
      </w:r>
    </w:p>
    <w:p w14:paraId="0F0690AB" w14:textId="77777777" w:rsidR="00100CF5" w:rsidRDefault="00C557FB" w:rsidP="000350E0">
      <w:pPr>
        <w:pStyle w:val="List1"/>
      </w:pPr>
      <w:r>
        <w:rPr>
          <w:bCs/>
        </w:rPr>
        <w:t>(a) Description.</w:t>
      </w:r>
    </w:p>
    <w:p w14:paraId="53A37A51" w14:textId="77777777" w:rsidR="00100CF5" w:rsidRDefault="00C557FB" w:rsidP="000350E0">
      <w:pPr>
        <w:pStyle w:val="List2"/>
      </w:pPr>
      <w:r>
        <w:rPr>
          <w:bCs/>
        </w:rPr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36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75225481" w14:textId="4FF97194" w:rsidR="00100CF5" w:rsidRDefault="001F563C" w:rsidP="000350E0">
      <w:pPr>
        <w:pStyle w:val="List1"/>
        <w:rPr>
          <w:bCs/>
        </w:rPr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  <w:r w:rsidR="004956A1">
        <w:rPr>
          <w:bCs/>
        </w:rPr>
        <w:t xml:space="preserve">   </w:t>
      </w:r>
      <w:r w:rsidR="00502761">
        <w:rPr>
          <w:bCs/>
        </w:rPr>
        <w:br/>
      </w:r>
      <w:r w:rsidR="00502761" w:rsidRPr="00D047D7">
        <w:rPr>
          <w:color w:val="0000FF"/>
          <w:lang w:val="en"/>
        </w:rPr>
        <w:t xml:space="preserve">INTERIM CHANGE:  </w:t>
      </w:r>
      <w:r w:rsidR="00502761" w:rsidRPr="00B61AA6">
        <w:rPr>
          <w:lang w:val="en"/>
        </w:rPr>
        <w:t xml:space="preserve">See </w:t>
      </w:r>
      <w:hyperlink r:id="rId37" w:history="1">
        <w:r w:rsidR="00BD4492">
          <w:rPr>
            <w:rStyle w:val="Hyperlink"/>
            <w:lang w:val="en"/>
          </w:rPr>
          <w:t>CPM 20-C-19</w:t>
        </w:r>
      </w:hyperlink>
      <w:r w:rsidR="00502761">
        <w:rPr>
          <w:lang w:val="en"/>
        </w:rPr>
        <w:t>.</w:t>
      </w:r>
    </w:p>
    <w:p w14:paraId="7E8EF249" w14:textId="2F0E7F59" w:rsidR="00B27A68" w:rsidRDefault="00B27A68" w:rsidP="000350E0">
      <w:pPr>
        <w:pStyle w:val="List1"/>
        <w:rPr>
          <w:rStyle w:val="Hyperlink"/>
          <w:lang w:val="en"/>
        </w:rPr>
      </w:pPr>
      <w:r>
        <w:rPr>
          <w:bCs/>
        </w:rPr>
        <w:t xml:space="preserve">(c)(2)(i)(A)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8" w:history="1">
        <w:r>
          <w:rPr>
            <w:rStyle w:val="Hyperlink"/>
            <w:lang w:val="en"/>
          </w:rPr>
          <w:t>CPM 19-C-11.</w:t>
        </w:r>
      </w:hyperlink>
    </w:p>
    <w:p w14:paraId="7D9AEB6B" w14:textId="6035CE39" w:rsidR="00B27A68" w:rsidRDefault="00B27A68" w:rsidP="00B27A68">
      <w:pPr>
        <w:pStyle w:val="List1"/>
      </w:pPr>
      <w:r>
        <w:rPr>
          <w:bCs/>
        </w:rPr>
        <w:lastRenderedPageBreak/>
        <w:t xml:space="preserve">(c)(2)(i)(B)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9" w:history="1">
        <w:r>
          <w:rPr>
            <w:rStyle w:val="Hyperlink"/>
            <w:lang w:val="en"/>
          </w:rPr>
          <w:t>CPM 19-C-11.</w:t>
        </w:r>
      </w:hyperlink>
    </w:p>
    <w:p w14:paraId="1F8A7DBA" w14:textId="240C0549" w:rsidR="00B27A68" w:rsidRDefault="00B27A68" w:rsidP="00B27A68">
      <w:pPr>
        <w:pStyle w:val="List1"/>
      </w:pPr>
      <w:r>
        <w:rPr>
          <w:bCs/>
        </w:rPr>
        <w:t xml:space="preserve">(c)(2)(ii)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40" w:history="1">
        <w:r>
          <w:rPr>
            <w:rStyle w:val="Hyperlink"/>
            <w:lang w:val="en"/>
          </w:rPr>
          <w:t>CPM 19-C-11.</w:t>
        </w:r>
      </w:hyperlink>
    </w:p>
    <w:p w14:paraId="0B6C5CE7" w14:textId="77777777" w:rsidR="00B27A68" w:rsidRDefault="00B27A68" w:rsidP="000350E0">
      <w:pPr>
        <w:pStyle w:val="List1"/>
      </w:pPr>
    </w:p>
    <w:p w14:paraId="301121C6" w14:textId="11A7417C" w:rsidR="00100CF5" w:rsidRDefault="00AD7DCC" w:rsidP="000350E0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="00956A74" w:rsidRPr="00F24762">
        <w:t>has the authority to make the written determination required by FAR 16.504(c)(1)(ii)(D)(1).</w:t>
      </w:r>
      <w:r w:rsidR="00956A74">
        <w:rPr>
          <w:szCs w:val="24"/>
        </w:rPr>
        <w:t xml:space="preserve">  </w:t>
      </w:r>
      <w:r w:rsidR="00956A74" w:rsidRPr="00B34988">
        <w:rPr>
          <w:szCs w:val="24"/>
        </w:rPr>
        <w:t xml:space="preserve">When </w:t>
      </w:r>
      <w:r w:rsidR="00956A74" w:rsidRPr="001012FE">
        <w:rPr>
          <w:szCs w:val="24"/>
        </w:rPr>
        <w:t xml:space="preserve">a J&amp;A is required, </w:t>
      </w:r>
      <w:r w:rsidR="00956A74">
        <w:rPr>
          <w:szCs w:val="24"/>
        </w:rPr>
        <w:t xml:space="preserve">a separate written determination is not required if the J&amp;A addresses one of the circumstances at FAR 16.504(c)(1)(ii)(D)(1)(i)-(iv).  Provide a copy of the written determination to </w:t>
      </w:r>
      <w:hyperlink r:id="rId41" w:history="1">
        <w:r w:rsidR="00956A74" w:rsidRPr="0055491B">
          <w:rPr>
            <w:rStyle w:val="Hyperlink"/>
            <w:szCs w:val="24"/>
          </w:rPr>
          <w:t>SAF/AQCP</w:t>
        </w:r>
      </w:hyperlink>
      <w:r w:rsidR="00956A74">
        <w:rPr>
          <w:szCs w:val="24"/>
        </w:rPr>
        <w:t>.</w:t>
      </w:r>
    </w:p>
    <w:p w14:paraId="2FD8128F" w14:textId="77777777" w:rsidR="00100CF5" w:rsidRDefault="006C5F9E" w:rsidP="000350E0">
      <w:pPr>
        <w:pStyle w:val="Heading3"/>
      </w:pPr>
      <w:bookmarkStart w:id="21" w:name="_Toc45291248"/>
      <w:r>
        <w:t>5316.505</w:t>
      </w:r>
      <w:r w:rsidR="00BD5138">
        <w:t xml:space="preserve"> </w:t>
      </w:r>
      <w:r>
        <w:t xml:space="preserve">  Ordering</w:t>
      </w:r>
      <w:bookmarkEnd w:id="21"/>
    </w:p>
    <w:p w14:paraId="2B17301C" w14:textId="77777777" w:rsidR="00100CF5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7A6E4046" w14:textId="77777777" w:rsidR="00100CF5" w:rsidRDefault="004D397D" w:rsidP="000350E0">
      <w:pPr>
        <w:pStyle w:val="List2"/>
      </w:pPr>
      <w:r>
        <w:t xml:space="preserve">(1) </w:t>
      </w:r>
      <w:r w:rsidRPr="004D397D">
        <w:rPr>
          <w:i/>
        </w:rPr>
        <w:t>Fair opportunity</w:t>
      </w:r>
      <w:r>
        <w:t>.</w:t>
      </w:r>
    </w:p>
    <w:p w14:paraId="14CD23BB" w14:textId="6F4D2DEC" w:rsidR="00100CF5" w:rsidRDefault="004D397D" w:rsidP="000350E0">
      <w:pPr>
        <w:pStyle w:val="List3"/>
      </w:pPr>
      <w:r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 xml:space="preserve">submit justifications to </w:t>
      </w:r>
      <w:hyperlink r:id="rId42" w:history="1">
        <w:r w:rsidR="00E73CC7" w:rsidRPr="00A313D3">
          <w:rPr>
            <w:rStyle w:val="Hyperlink"/>
          </w:rPr>
          <w:t>SAF/AQC</w:t>
        </w:r>
      </w:hyperlink>
      <w:r w:rsidR="002B3D5D">
        <w:t xml:space="preserve"> before proceeding with the source selection and/or Clearance session.</w:t>
      </w:r>
    </w:p>
    <w:p w14:paraId="59C12251" w14:textId="7871D4AF" w:rsidR="00100CF5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43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16.505(b)(2)</w:t>
      </w:r>
      <w:r w:rsidR="00F476AC" w:rsidRPr="00BC6378">
        <w:t>.</w:t>
      </w:r>
      <w:r w:rsidR="001E6926">
        <w:t xml:space="preserve">  See the tailorable </w:t>
      </w:r>
      <w:hyperlink r:id="rId44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E124E19" w14:textId="4E45D689" w:rsidR="00EF368A" w:rsidRPr="008E7704" w:rsidRDefault="00EF368A" w:rsidP="000350E0">
      <w:r w:rsidRPr="008E7704">
        <w:t xml:space="preserve">See </w:t>
      </w:r>
      <w:hyperlink r:id="rId45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5F041295" w14:textId="7052DF0D" w:rsidR="00100CF5" w:rsidRDefault="005F640D" w:rsidP="005F640D">
      <w:r w:rsidRPr="008E7704">
        <w:t xml:space="preserve">See </w:t>
      </w:r>
      <w:hyperlink r:id="rId46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6826519F" w14:textId="0BBF501C" w:rsidR="00100CF5" w:rsidRDefault="00C557FB" w:rsidP="000350E0">
      <w:pPr>
        <w:pStyle w:val="Lis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47" w:anchor="s530191" w:history="1">
        <w:r w:rsidR="00013AF4">
          <w:rPr>
            <w:rStyle w:val="Hyperlink"/>
          </w:rPr>
          <w:t>5301.91</w:t>
        </w:r>
      </w:hyperlink>
      <w:r>
        <w:t>.</w:t>
      </w:r>
      <w:bookmarkStart w:id="22" w:name="_Toc351650167"/>
    </w:p>
    <w:p w14:paraId="0EB6E78B" w14:textId="77777777" w:rsidR="00100CF5" w:rsidRDefault="00C557FB" w:rsidP="000350E0">
      <w:pPr>
        <w:pStyle w:val="Heading3"/>
      </w:pPr>
      <w:bookmarkStart w:id="23" w:name="_Toc45291249"/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18"/>
      <w:bookmarkEnd w:id="22"/>
      <w:bookmarkEnd w:id="23"/>
    </w:p>
    <w:p w14:paraId="07C2E9D0" w14:textId="77777777" w:rsidR="00100CF5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A2F5178" w14:textId="77777777" w:rsidR="00100CF5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2CD2E739" w14:textId="77777777" w:rsidR="00100CF5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12BB3B02" w14:textId="25935AF2" w:rsidR="00892454" w:rsidRDefault="00892454" w:rsidP="000350E0">
      <w:r w:rsidRPr="008E7704">
        <w:t xml:space="preserve">See </w:t>
      </w:r>
      <w:hyperlink r:id="rId48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6E27314B" w14:textId="62CF4CAB" w:rsidR="00100CF5" w:rsidRDefault="00493E83" w:rsidP="00493E83">
      <w:bookmarkStart w:id="24" w:name="p5316506"/>
      <w:bookmarkEnd w:id="24"/>
      <w:r w:rsidRPr="00493E83">
        <w:lastRenderedPageBreak/>
        <w:t xml:space="preserve">See </w:t>
      </w:r>
      <w:hyperlink r:id="rId49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5B64B6BE" w14:textId="77777777" w:rsidR="00100CF5" w:rsidRDefault="00C40929" w:rsidP="000350E0">
      <w:pPr>
        <w:pStyle w:val="Heading2"/>
      </w:pPr>
      <w:bookmarkStart w:id="25" w:name="_Toc45291250"/>
      <w:r w:rsidRPr="00F109D0"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End w:id="25"/>
    </w:p>
    <w:p w14:paraId="3A886AD3" w14:textId="77777777" w:rsidR="00100CF5" w:rsidRDefault="001C6686" w:rsidP="000350E0">
      <w:pPr>
        <w:pStyle w:val="Heading3"/>
      </w:pPr>
      <w:bookmarkStart w:id="26" w:name="_Toc45291251"/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26"/>
    </w:p>
    <w:p w14:paraId="4743F0D9" w14:textId="23D61993" w:rsidR="00DD00F8" w:rsidRDefault="00DD00F8" w:rsidP="00DD00F8">
      <w:pPr>
        <w:pStyle w:val="List3"/>
        <w:spacing w:after="0"/>
      </w:pPr>
      <w:r w:rsidRPr="00D047D7">
        <w:rPr>
          <w:color w:val="0000FF"/>
          <w:lang w:val="en"/>
        </w:rPr>
        <w:t>INTERIM CHANGE</w:t>
      </w:r>
      <w:r w:rsidR="008E7E73">
        <w:rPr>
          <w:color w:val="0000FF"/>
          <w:lang w:val="en"/>
        </w:rPr>
        <w:t>S</w:t>
      </w:r>
      <w:r w:rsidRPr="00D047D7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8E7E73">
        <w:rPr>
          <w:lang w:val="en"/>
        </w:rPr>
        <w:t xml:space="preserve"> </w:t>
      </w:r>
      <w:hyperlink r:id="rId50" w:history="1">
        <w:r w:rsidR="008E7E73">
          <w:rPr>
            <w:rStyle w:val="Hyperlink"/>
            <w:lang w:val="en"/>
          </w:rPr>
          <w:t>CPM 20-C-09</w:t>
        </w:r>
      </w:hyperlink>
      <w:r w:rsidR="008E7E73">
        <w:rPr>
          <w:lang w:val="en"/>
        </w:rPr>
        <w:t xml:space="preserve"> and</w:t>
      </w:r>
      <w:r w:rsidRPr="00B61AA6">
        <w:rPr>
          <w:lang w:val="en"/>
        </w:rPr>
        <w:t xml:space="preserve"> </w:t>
      </w:r>
      <w:hyperlink r:id="rId51" w:history="1">
        <w:r w:rsidR="008E7E73">
          <w:rPr>
            <w:rStyle w:val="Hyperlink"/>
            <w:lang w:val="en"/>
          </w:rPr>
          <w:t>CPM 20-C-10</w:t>
        </w:r>
      </w:hyperlink>
      <w:r w:rsidR="008E7E73">
        <w:t>.</w:t>
      </w:r>
    </w:p>
    <w:p w14:paraId="5E9481CF" w14:textId="65C39E7E" w:rsidR="00100CF5" w:rsidRDefault="00957C9A" w:rsidP="00DD00F8">
      <w:pPr>
        <w:pStyle w:val="List3"/>
        <w:spacing w:before="120"/>
      </w:pPr>
      <w:r w:rsidRPr="00F24762">
        <w:t>(i)(A)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216.601(d)(i</w:t>
      </w:r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52" w:history="1">
        <w:r w:rsidR="00E73CC7" w:rsidRPr="00A313D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53" w:anchor="p5316601d1A2" w:history="1">
        <w:r w:rsidR="00771CF9" w:rsidRPr="0028663C">
          <w:rPr>
            <w:rStyle w:val="Hyperlink"/>
          </w:rPr>
          <w:t>MP5301.601(a)(i)</w:t>
        </w:r>
      </w:hyperlink>
      <w:r w:rsidR="00771CF9">
        <w:t>.</w:t>
      </w:r>
    </w:p>
    <w:p w14:paraId="39653E86" w14:textId="1E57FE91" w:rsidR="00100CF5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54" w:anchor="p53166032c3" w:history="1">
        <w:r w:rsidR="00E4443F" w:rsidRPr="0028663C">
          <w:rPr>
            <w:rStyle w:val="Hyperlink"/>
          </w:rPr>
          <w:t>MP5301.601(a)(i)</w:t>
        </w:r>
      </w:hyperlink>
      <w:r w:rsidR="00E4443F">
        <w:t>.</w:t>
      </w:r>
    </w:p>
    <w:p w14:paraId="694290D6" w14:textId="77777777" w:rsidR="00100CF5" w:rsidRDefault="00771CF9" w:rsidP="000350E0">
      <w:pPr>
        <w:pStyle w:val="Heading3"/>
      </w:pPr>
      <w:bookmarkStart w:id="27" w:name="_Toc45291252"/>
      <w:r>
        <w:t>5316.603-2</w:t>
      </w:r>
      <w:r w:rsidR="00CE36BF">
        <w:t xml:space="preserve">  </w:t>
      </w:r>
      <w:r>
        <w:t xml:space="preserve"> Application</w:t>
      </w:r>
      <w:bookmarkEnd w:id="27"/>
    </w:p>
    <w:p w14:paraId="434B349A" w14:textId="0236602E" w:rsidR="00100CF5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55" w:anchor="p53166032c3" w:history="1">
        <w:r w:rsidRPr="0028663C">
          <w:rPr>
            <w:rStyle w:val="Hyperlink"/>
          </w:rPr>
          <w:t>MP5301.601(a)(i)</w:t>
        </w:r>
      </w:hyperlink>
      <w:r>
        <w:t>.</w:t>
      </w:r>
    </w:p>
    <w:p w14:paraId="762C5EA4" w14:textId="77777777" w:rsidR="00100CF5" w:rsidRDefault="006C5F9E" w:rsidP="000350E0">
      <w:pPr>
        <w:pStyle w:val="Heading3"/>
      </w:pPr>
      <w:bookmarkStart w:id="28" w:name="_Toc45291253"/>
      <w:r>
        <w:t>5316.603-3</w:t>
      </w:r>
      <w:r w:rsidR="00BD5138">
        <w:t xml:space="preserve"> </w:t>
      </w:r>
      <w:r>
        <w:t xml:space="preserve">  Limitations</w:t>
      </w:r>
      <w:bookmarkEnd w:id="28"/>
    </w:p>
    <w:p w14:paraId="799E0810" w14:textId="6BE8A01E" w:rsidR="0016758F" w:rsidRPr="0028663C" w:rsidRDefault="00771CF9" w:rsidP="00AB0726">
      <w:r>
        <w:t xml:space="preserve">See </w:t>
      </w:r>
      <w:hyperlink r:id="rId56" w:anchor="p53166033" w:history="1">
        <w:r w:rsidRPr="0028663C">
          <w:rPr>
            <w:rStyle w:val="Hyperlink"/>
          </w:rPr>
          <w:t>MP5301.601(a)(i)</w:t>
        </w:r>
      </w:hyperlink>
      <w:r>
        <w:t>.</w:t>
      </w:r>
    </w:p>
    <w:sectPr w:rsidR="0016758F" w:rsidRPr="0028663C" w:rsidSect="00350388">
      <w:headerReference w:type="default" r:id="rId57"/>
      <w:footerReference w:type="default" r:id="rId5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7739" w14:textId="77777777" w:rsidR="000A1AA2" w:rsidRDefault="000A1AA2" w:rsidP="00C557FB">
      <w:pPr>
        <w:pStyle w:val="HeadingFigureAlt-F"/>
      </w:pPr>
      <w:r>
        <w:separator/>
      </w:r>
    </w:p>
  </w:endnote>
  <w:endnote w:type="continuationSeparator" w:id="0">
    <w:p w14:paraId="5474A33F" w14:textId="77777777" w:rsidR="000A1AA2" w:rsidRDefault="000A1AA2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3B5C" w14:textId="4C07794D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9A1823">
      <w:rPr>
        <w:rStyle w:val="PageNumber"/>
        <w:noProof/>
      </w:rPr>
      <w:t>2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071D" w14:textId="77777777" w:rsidR="000A1AA2" w:rsidRDefault="000A1AA2" w:rsidP="00C557FB">
      <w:pPr>
        <w:pStyle w:val="HeadingFigureAlt-F"/>
      </w:pPr>
      <w:r>
        <w:separator/>
      </w:r>
    </w:p>
  </w:footnote>
  <w:footnote w:type="continuationSeparator" w:id="0">
    <w:p w14:paraId="1BB9F589" w14:textId="77777777" w:rsidR="000A1AA2" w:rsidRDefault="000A1AA2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B81"/>
    <w:rsid w:val="0000457B"/>
    <w:rsid w:val="00013AF4"/>
    <w:rsid w:val="0001425C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A1AA2"/>
    <w:rsid w:val="000A436C"/>
    <w:rsid w:val="000B7D4D"/>
    <w:rsid w:val="000C06CE"/>
    <w:rsid w:val="000C724E"/>
    <w:rsid w:val="000D5ADB"/>
    <w:rsid w:val="000D6C85"/>
    <w:rsid w:val="000D75E0"/>
    <w:rsid w:val="000E1355"/>
    <w:rsid w:val="000F5FF2"/>
    <w:rsid w:val="00100CF5"/>
    <w:rsid w:val="001012FE"/>
    <w:rsid w:val="001168DC"/>
    <w:rsid w:val="00125B56"/>
    <w:rsid w:val="00126F93"/>
    <w:rsid w:val="001354F9"/>
    <w:rsid w:val="001418D5"/>
    <w:rsid w:val="001434CB"/>
    <w:rsid w:val="0014384C"/>
    <w:rsid w:val="00155F54"/>
    <w:rsid w:val="00156AEF"/>
    <w:rsid w:val="001612CE"/>
    <w:rsid w:val="00165022"/>
    <w:rsid w:val="00166254"/>
    <w:rsid w:val="001670ED"/>
    <w:rsid w:val="0016758F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4826"/>
    <w:rsid w:val="00235AA4"/>
    <w:rsid w:val="00245BBE"/>
    <w:rsid w:val="002514CB"/>
    <w:rsid w:val="002515D2"/>
    <w:rsid w:val="002677D7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42EC"/>
    <w:rsid w:val="0040716D"/>
    <w:rsid w:val="00415C04"/>
    <w:rsid w:val="00422BA4"/>
    <w:rsid w:val="00423A45"/>
    <w:rsid w:val="00425725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3E83"/>
    <w:rsid w:val="004956A1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761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F640D"/>
    <w:rsid w:val="005F6ABE"/>
    <w:rsid w:val="006010D1"/>
    <w:rsid w:val="0061061F"/>
    <w:rsid w:val="00611AE1"/>
    <w:rsid w:val="00612F30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9C"/>
    <w:rsid w:val="008C6010"/>
    <w:rsid w:val="008D28BB"/>
    <w:rsid w:val="008D431C"/>
    <w:rsid w:val="008D5D5E"/>
    <w:rsid w:val="008E7704"/>
    <w:rsid w:val="008E7E73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1823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421BC"/>
    <w:rsid w:val="00A47F24"/>
    <w:rsid w:val="00A52297"/>
    <w:rsid w:val="00A56E29"/>
    <w:rsid w:val="00A645C5"/>
    <w:rsid w:val="00A659BD"/>
    <w:rsid w:val="00A75A03"/>
    <w:rsid w:val="00A87038"/>
    <w:rsid w:val="00AB0213"/>
    <w:rsid w:val="00AB0726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27A68"/>
    <w:rsid w:val="00B33079"/>
    <w:rsid w:val="00B34988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A6506"/>
    <w:rsid w:val="00BB6FB7"/>
    <w:rsid w:val="00BC6378"/>
    <w:rsid w:val="00BD4492"/>
    <w:rsid w:val="00BD5138"/>
    <w:rsid w:val="00BE29EC"/>
    <w:rsid w:val="00BE6F69"/>
    <w:rsid w:val="00BF4C79"/>
    <w:rsid w:val="00C03D46"/>
    <w:rsid w:val="00C16ED7"/>
    <w:rsid w:val="00C1772E"/>
    <w:rsid w:val="00C33244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E332A"/>
    <w:rsid w:val="00CE36BF"/>
    <w:rsid w:val="00CE4319"/>
    <w:rsid w:val="00CE6C9E"/>
    <w:rsid w:val="00CF391A"/>
    <w:rsid w:val="00CF4525"/>
    <w:rsid w:val="00D006F4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00F8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3CC7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E09"/>
    <w:rsid w:val="00F65726"/>
    <w:rsid w:val="00F67EE1"/>
    <w:rsid w:val="00F73D7C"/>
    <w:rsid w:val="00F74F5C"/>
    <w:rsid w:val="00F82330"/>
    <w:rsid w:val="00F904FE"/>
    <w:rsid w:val="00F94C79"/>
    <w:rsid w:val="00FA3AF9"/>
    <w:rsid w:val="00FB12D5"/>
    <w:rsid w:val="00FB5202"/>
    <w:rsid w:val="00FC0719"/>
    <w:rsid w:val="00FC1CB2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C637705"/>
  <w15:docId w15:val="{19E8448F-F22D-4F9C-A421-B350D563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spacing w:before="0" w:after="0"/>
      <w:ind w:left="960"/>
    </w:pPr>
    <w:rPr>
      <w:rFonts w:asciiTheme="minorHAnsi" w:hAnsiTheme="minorHAnsi" w:cstheme="minorHAnsi"/>
      <w:sz w:val="20"/>
    </w:rPr>
  </w:style>
  <w:style w:type="paragraph" w:styleId="TOC1">
    <w:name w:val="toc 1"/>
    <w:basedOn w:val="Normal"/>
    <w:next w:val="Normal"/>
    <w:uiPriority w:val="39"/>
    <w:rsid w:val="00EB017B"/>
    <w:pPr>
      <w:spacing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uiPriority w:val="39"/>
    <w:rsid w:val="00EB017B"/>
    <w:pPr>
      <w:spacing w:before="120" w:after="0"/>
      <w:ind w:left="24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uiPriority w:val="39"/>
    <w:rsid w:val="00EB017B"/>
    <w:pPr>
      <w:spacing w:before="0" w:after="0"/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TOC3"/>
    <w:next w:val="Normal"/>
    <w:semiHidden/>
    <w:rsid w:val="00EB017B"/>
    <w:pPr>
      <w:ind w:left="720"/>
    </w:pPr>
  </w:style>
  <w:style w:type="paragraph" w:styleId="TOC6">
    <w:name w:val="toc 6"/>
    <w:basedOn w:val="Normal"/>
    <w:next w:val="Normal"/>
    <w:semiHidden/>
    <w:rsid w:val="00EB017B"/>
    <w:pPr>
      <w:spacing w:before="0" w:after="0"/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semiHidden/>
    <w:rsid w:val="00EB017B"/>
    <w:pPr>
      <w:spacing w:before="0" w:after="0"/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semiHidden/>
    <w:rsid w:val="00EB017B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semiHidden/>
    <w:rsid w:val="00EB017B"/>
    <w:pPr>
      <w:spacing w:before="0" w:after="0"/>
      <w:ind w:left="1920"/>
    </w:pPr>
    <w:rPr>
      <w:rFonts w:asciiTheme="minorHAnsi" w:hAnsiTheme="minorHAnsi" w:cstheme="minorHAnsi"/>
      <w:sz w:val="20"/>
    </w:r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2.eis.af.mil/sites/10059/afcc/knowledge_center/Documents/Contracting_Memos/Policy/20-C-09.pdf" TargetMode="External"/><Relationship Id="rId18" Type="http://schemas.openxmlformats.org/officeDocument/2006/relationships/hyperlink" Target="https://www.acq.osd.mil/dpap/policy/policyvault/USA002632-18-DPC.pdf" TargetMode="External"/><Relationship Id="rId26" Type="http://schemas.openxmlformats.org/officeDocument/2006/relationships/hyperlink" Target="AFFARS-MP_PART-mp_5301.601(a)(i).docx" TargetMode="External"/><Relationship Id="rId39" Type="http://schemas.openxmlformats.org/officeDocument/2006/relationships/hyperlink" Target="https://cs2.eis.af.mil/sites/10059/afcc/knowledge_center/Documents/Contracting_Memos/Policy/19-C-11.pdf" TargetMode="External"/><Relationship Id="rId21" Type="http://schemas.openxmlformats.org/officeDocument/2006/relationships/hyperlink" Target="AFFARS-PGI_PART-pgi_5316.docx" TargetMode="External"/><Relationship Id="rId34" Type="http://schemas.openxmlformats.org/officeDocument/2006/relationships/hyperlink" Target="AFFARS-MP_PART-mp_5301.601(a)(i).docx" TargetMode="External"/><Relationship Id="rId42" Type="http://schemas.openxmlformats.org/officeDocument/2006/relationships/hyperlink" Target="mailto:SAF.AQ.SAF-AQC.Workflow@us.af.mil" TargetMode="External"/><Relationship Id="rId47" Type="http://schemas.openxmlformats.org/officeDocument/2006/relationships/hyperlink" Target="AFFARS-PART-5301.docx" TargetMode="External"/><Relationship Id="rId50" Type="http://schemas.openxmlformats.org/officeDocument/2006/relationships/hyperlink" Target="https://cs2.eis.af.mil/sites/10059/afcc/knowledge_center/Documents/Contracting_Memos/Policy/20-C-09.pdf" TargetMode="External"/><Relationship Id="rId55" Type="http://schemas.openxmlformats.org/officeDocument/2006/relationships/hyperlink" Target="AFFARS-MP_PART-mp_5301.601(a)(i)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Documents/Contracting_Memos/Policy/19-C-12.pdf" TargetMode="External"/><Relationship Id="rId17" Type="http://schemas.openxmlformats.org/officeDocument/2006/relationships/hyperlink" Target="AFFARS-MP_PART-mp_5301.601(a)(i).docx" TargetMode="External"/><Relationship Id="rId25" Type="http://schemas.openxmlformats.org/officeDocument/2006/relationships/hyperlink" Target="https://cs2.eis.af.mil/sites/10059/afcc/knowledge_center/Documents/Contracting_Memos/Policy/19-C-12.pdf" TargetMode="External"/><Relationship Id="rId33" Type="http://schemas.openxmlformats.org/officeDocument/2006/relationships/hyperlink" Target="mailto:SAF.AQ.SAF-AQC.Workflow@us.af.mil" TargetMode="External"/><Relationship Id="rId38" Type="http://schemas.openxmlformats.org/officeDocument/2006/relationships/hyperlink" Target="https://cs2.eis.af.mil/sites/10059/afcc/knowledge_center/Documents/Contracting_Memos/Policy/19-C-11.pdf" TargetMode="External"/><Relationship Id="rId46" Type="http://schemas.openxmlformats.org/officeDocument/2006/relationships/hyperlink" Target="AFFARS-PGI_PART-pgi_5316.docx" TargetMode="Externa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16.docx" TargetMode="External"/><Relationship Id="rId20" Type="http://schemas.openxmlformats.org/officeDocument/2006/relationships/hyperlink" Target="https://cs2.eis.af.mil/sites/10059/afcc/knowledge_center/templates/type_of_contract.pdf" TargetMode="External"/><Relationship Id="rId29" Type="http://schemas.openxmlformats.org/officeDocument/2006/relationships/hyperlink" Target="AFFARS-MP_PART-mp_5301.601(a)(i).docx" TargetMode="External"/><Relationship Id="rId41" Type="http://schemas.openxmlformats.org/officeDocument/2006/relationships/hyperlink" Target="mailto:SAF.AQ.SAF-AQCP.Workflow@us.af.mil" TargetMode="External"/><Relationship Id="rId54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MP5301.601(a)(i).docx" TargetMode="External"/><Relationship Id="rId32" Type="http://schemas.openxmlformats.org/officeDocument/2006/relationships/hyperlink" Target="AFFARS-PART-5316.docx" TargetMode="External"/><Relationship Id="rId37" Type="http://schemas.openxmlformats.org/officeDocument/2006/relationships/hyperlink" Target="https://cs2.eis.af.mil/sites/10059/afcc/knowledge_center/Documents/Contracting_Memos/Policy/20-C-19.pdf" TargetMode="External"/><Relationship Id="rId40" Type="http://schemas.openxmlformats.org/officeDocument/2006/relationships/hyperlink" Target="https://cs2.eis.af.mil/sites/10059/afcc/knowledge_center/Documents/Contracting_Memos/Policy/19-C-11.pdf" TargetMode="External"/><Relationship Id="rId45" Type="http://schemas.openxmlformats.org/officeDocument/2006/relationships/hyperlink" Target="AFFARS-PGI_PART-pgi_5316.docx" TargetMode="External"/><Relationship Id="rId53" Type="http://schemas.openxmlformats.org/officeDocument/2006/relationships/hyperlink" Target="AFFARS-MP_PART-mp_5301.601(a)(i).docx" TargetMode="External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Documents/Contracting_Memos/Policy/20-C-19.pdf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hyperlink" Target="https://cs2.eis.af.mil/sites/10059/afcc/knowledge_center/Documents/Contracting_Memos/Policy/19-C-12.pdf" TargetMode="External"/><Relationship Id="rId36" Type="http://schemas.openxmlformats.org/officeDocument/2006/relationships/hyperlink" Target="http://comptroller.defense.gov/Portals/45/documents/fmr/current/03/03_08.pdf" TargetMode="External"/><Relationship Id="rId49" Type="http://schemas.openxmlformats.org/officeDocument/2006/relationships/hyperlink" Target="AFFARS-PGI_PART-pgi_5316.docx" TargetMode="External"/><Relationship Id="rId57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Documents/Contracting_Memos/Policy/19-C-12.pdf" TargetMode="External"/><Relationship Id="rId31" Type="http://schemas.openxmlformats.org/officeDocument/2006/relationships/hyperlink" Target="AFFARS-PGI_PART-pgi_5316.docx" TargetMode="External"/><Relationship Id="rId44" Type="http://schemas.openxmlformats.org/officeDocument/2006/relationships/hyperlink" Target="https://cs2.eis.af.mil/sites/10059/afcc/knowledge_center/templates/fair_opportunity_exception_justification.pdf" TargetMode="External"/><Relationship Id="rId52" Type="http://schemas.openxmlformats.org/officeDocument/2006/relationships/hyperlink" Target="mailto:SAF.AQ.SAF-AQC.Workflow@us.af.mil" TargetMode="External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Documents/Contracting_Memos/Policy/20-C-10.pdf" TargetMode="External"/><Relationship Id="rId22" Type="http://schemas.openxmlformats.org/officeDocument/2006/relationships/hyperlink" Target="AFFARS-PGI_PART-pgi_5316.docx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AFFARS-PGI_PART-pgi_5316.docx" TargetMode="External"/><Relationship Id="rId35" Type="http://schemas.openxmlformats.org/officeDocument/2006/relationships/hyperlink" Target="AFFARS-PGI_PART-pgi_5316.docx" TargetMode="External"/><Relationship Id="rId43" Type="http://schemas.openxmlformats.org/officeDocument/2006/relationships/hyperlink" Target="AFFARS-PART-5306.docx" TargetMode="External"/><Relationship Id="rId48" Type="http://schemas.openxmlformats.org/officeDocument/2006/relationships/hyperlink" Target="AFFARS-PGI_PART-pgi_5316.docx" TargetMode="External"/><Relationship Id="rId56" Type="http://schemas.openxmlformats.org/officeDocument/2006/relationships/hyperlink" Target="AFFARS-MP_PART-mp_5301.601(a)(i)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cs2.eis.af.mil/sites/10059/afcc/knowledge_center/Documents/Contracting_Memos/Policy/20-C-10.pdf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34DC8-3DE2-4627-A7D3-0F8342009071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AC20810-4081-4B5B-872E-117CE9766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9953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Gregory Pangborn</cp:lastModifiedBy>
  <cp:revision>82</cp:revision>
  <cp:lastPrinted>2019-06-13T14:31:00Z</cp:lastPrinted>
  <dcterms:created xsi:type="dcterms:W3CDTF">2019-04-24T12:06:00Z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