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127DD" w14:textId="77777777" w:rsidR="007E656C" w:rsidRPr="00243ED2" w:rsidRDefault="00990550" w:rsidP="007E656C">
      <w:pPr>
        <w:pStyle w:val="Heading1"/>
      </w:pPr>
      <w:bookmarkStart w:id="0" w:name="_Toc76479911"/>
      <w:bookmarkStart w:id="1" w:name="_Toc76480198"/>
      <w:bookmarkStart w:id="2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  <w:bookmarkEnd w:id="0"/>
      <w:bookmarkEnd w:id="1"/>
    </w:p>
    <w:p w14:paraId="19634F09" w14:textId="77777777" w:rsidR="007E656C" w:rsidRDefault="007E656C" w:rsidP="007E656C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11DBC897" w14:textId="7FC76FDC" w:rsidR="007E656C" w:rsidRPr="00BC55FF" w:rsidRDefault="007E656C" w:rsidP="007E656C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802E59">
        <w:rPr>
          <w:i/>
          <w:iCs/>
        </w:rPr>
        <w:t xml:space="preserve">26 </w:t>
      </w:r>
      <w:bookmarkStart w:id="3" w:name="_GoBack"/>
      <w:bookmarkEnd w:id="3"/>
      <w:r w:rsidRPr="00AF6D09">
        <w:rPr>
          <w:i/>
          <w:iCs/>
        </w:rPr>
        <w:t>Jul 21</w:t>
      </w:r>
    </w:p>
    <w:p w14:paraId="6023FD40" w14:textId="5F60C67D" w:rsidR="00415D9F" w:rsidRDefault="00415D9F" w:rsidP="007E656C">
      <w:pPr>
        <w:pStyle w:val="Heading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4413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1B34B" w14:textId="77777777" w:rsidR="007E656C" w:rsidRDefault="007E656C" w:rsidP="007E656C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7E656C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643287" w14:textId="1FF4BDA3" w:rsidR="007E656C" w:rsidRDefault="00802E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199" w:history="1">
            <w:r w:rsidR="007E656C" w:rsidRPr="00EC2F09">
              <w:rPr>
                <w:rStyle w:val="Hyperlink"/>
                <w:bCs/>
                <w:noProof/>
              </w:rPr>
              <w:t>SUBPART 5343.1 — GENERAL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_Toc76480199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57F30D5A" w14:textId="52A50B0D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0" w:history="1">
            <w:r w:rsidR="007E656C" w:rsidRPr="00EC2F09">
              <w:rPr>
                <w:rStyle w:val="Hyperlink"/>
                <w:rFonts w:eastAsia="Arial Unicode MS"/>
                <w:bCs/>
                <w:noProof/>
              </w:rPr>
              <w:t>5343.102 Policy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_Toc76480200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22542B43" w14:textId="13862B73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1" w:history="1">
            <w:r w:rsidR="007E656C" w:rsidRPr="00EC2F09">
              <w:rPr>
                <w:rStyle w:val="Hyperlink"/>
                <w:bCs/>
                <w:noProof/>
              </w:rPr>
              <w:t>5343.102-90   Contract Scope Considerations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_Toc76480201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20C5C98" w14:textId="4973378C" w:rsidR="007E656C" w:rsidRDefault="00802E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2" w:history="1">
            <w:r w:rsidR="007E656C" w:rsidRPr="00EC2F09">
              <w:rPr>
                <w:rStyle w:val="Hyperlink"/>
                <w:bCs/>
                <w:caps/>
                <w:noProof/>
              </w:rPr>
              <w:t>SUBPART 5343.2 — CHANGE ORDERS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_Toc76480202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7F48EFFB" w14:textId="3526AF7F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3" w:history="1">
            <w:r w:rsidR="007E656C" w:rsidRPr="00EC2F09">
              <w:rPr>
                <w:rStyle w:val="Hyperlink"/>
                <w:noProof/>
              </w:rPr>
              <w:t>5343.204-70-1   Scope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_Toc76480203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2C2B7C4D" w14:textId="495F930C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4" w:history="1">
            <w:r w:rsidR="007E656C" w:rsidRPr="00EC2F09">
              <w:rPr>
                <w:rStyle w:val="Hyperlink"/>
                <w:noProof/>
              </w:rPr>
              <w:t>5343.204-70-3   Definitization Schedule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_Toc76480204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B4C633A" w14:textId="5A7F56A0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5" w:history="1">
            <w:r w:rsidR="007E656C" w:rsidRPr="00EC2F09">
              <w:rPr>
                <w:rStyle w:val="Hyperlink"/>
                <w:noProof/>
              </w:rPr>
              <w:t>5343.204-70-5 Exceptions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_Toc76480205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5C8765F6" w14:textId="6625D041" w:rsidR="007E656C" w:rsidRDefault="00802E5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6" w:history="1">
            <w:r w:rsidR="007E656C" w:rsidRPr="00EC2F09">
              <w:rPr>
                <w:rStyle w:val="Hyperlink"/>
                <w:noProof/>
              </w:rPr>
              <w:t>5343.204-70-7   Plans and Reports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_Toc76480206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55BDCA5" w14:textId="39F08B27" w:rsidR="007E656C" w:rsidRDefault="007E656C" w:rsidP="007E656C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ABA1BF" w14:textId="77777777" w:rsidR="007E656C" w:rsidRPr="007E656C" w:rsidRDefault="007E656C" w:rsidP="007E656C">
      <w:pPr>
        <w:widowControl w:val="0"/>
      </w:pPr>
    </w:p>
    <w:p w14:paraId="52A8BFF0" w14:textId="77777777" w:rsidR="00415D9F" w:rsidRDefault="00C87118" w:rsidP="007E656C">
      <w:pPr>
        <w:pStyle w:val="Heading2"/>
        <w:keepNext w:val="0"/>
        <w:keepLines w:val="0"/>
        <w:widowControl w:val="0"/>
      </w:pPr>
      <w:bookmarkStart w:id="4" w:name="_Toc38365515"/>
      <w:bookmarkStart w:id="5" w:name="_Toc76480199"/>
      <w:bookmarkStart w:id="6" w:name="_Toc351655216"/>
      <w:bookmarkEnd w:id="2"/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Start w:id="7" w:name="_Toc38365516"/>
      <w:bookmarkEnd w:id="4"/>
      <w:bookmarkEnd w:id="5"/>
    </w:p>
    <w:p w14:paraId="0347EFA8" w14:textId="77777777" w:rsidR="00415D9F" w:rsidRDefault="007B047F" w:rsidP="007E656C">
      <w:pPr>
        <w:pStyle w:val="Heading3"/>
        <w:keepNext w:val="0"/>
        <w:keepLines w:val="0"/>
        <w:widowControl w:val="0"/>
        <w:rPr>
          <w:rFonts w:eastAsia="Arial Unicode MS"/>
          <w:b w:val="0"/>
        </w:rPr>
      </w:pPr>
      <w:bookmarkStart w:id="8" w:name="_Toc76480200"/>
      <w:r w:rsidRPr="0075674A">
        <w:rPr>
          <w:rFonts w:eastAsia="Arial Unicode MS"/>
          <w:bCs/>
          <w:szCs w:val="16"/>
        </w:rPr>
        <w:t>5343.102 Policy</w:t>
      </w:r>
      <w:bookmarkEnd w:id="7"/>
      <w:bookmarkEnd w:id="8"/>
    </w:p>
    <w:p w14:paraId="452DCC3D" w14:textId="77777777" w:rsidR="00415D9F" w:rsidRDefault="007B047F" w:rsidP="007E656C">
      <w:pPr>
        <w:pStyle w:val="List1"/>
        <w:widowControl w:val="0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0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1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2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  <w:bookmarkStart w:id="9" w:name="_Toc38365517"/>
    </w:p>
    <w:p w14:paraId="249EE5EE" w14:textId="77777777" w:rsidR="00415D9F" w:rsidRDefault="00C87118" w:rsidP="007E656C">
      <w:pPr>
        <w:pStyle w:val="Heading3"/>
        <w:keepNext w:val="0"/>
        <w:keepLines w:val="0"/>
        <w:widowControl w:val="0"/>
      </w:pPr>
      <w:bookmarkStart w:id="10" w:name="_Toc76480201"/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9"/>
      <w:bookmarkEnd w:id="10"/>
    </w:p>
    <w:p w14:paraId="71FCBA68" w14:textId="77777777" w:rsidR="00415D9F" w:rsidRDefault="006E409B" w:rsidP="007E656C">
      <w:pPr>
        <w:widowControl w:val="0"/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lastRenderedPageBreak/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>; or b) when proposed changes are 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078811F5" w:rsidR="00376803" w:rsidRDefault="00124409" w:rsidP="007E656C">
      <w:pPr>
        <w:widowControl w:val="0"/>
      </w:pPr>
      <w:r w:rsidRPr="00B742F4">
        <w:rPr>
          <w:bCs/>
        </w:rPr>
        <w:t xml:space="preserve">See </w:t>
      </w:r>
      <w:hyperlink r:id="rId13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77777777" w:rsidR="00415D9F" w:rsidRDefault="00B742F4" w:rsidP="007E656C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4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  <w:bookmarkStart w:id="11" w:name="_Toc38365518"/>
    </w:p>
    <w:p w14:paraId="2E1668E3" w14:textId="77777777" w:rsidR="00415D9F" w:rsidRDefault="00412E53" w:rsidP="007E656C">
      <w:pPr>
        <w:pStyle w:val="Heading2"/>
        <w:keepNext w:val="0"/>
        <w:keepLines w:val="0"/>
        <w:widowControl w:val="0"/>
      </w:pPr>
      <w:bookmarkStart w:id="12" w:name="_Toc76480202"/>
      <w:r w:rsidRPr="00AA548C">
        <w:rPr>
          <w:bCs/>
          <w:caps/>
        </w:rPr>
        <w:t>SUBPART 5343.2 — CHANGE ORDERS</w:t>
      </w:r>
      <w:bookmarkStart w:id="13" w:name="_Toc351655217"/>
      <w:bookmarkEnd w:id="6"/>
      <w:bookmarkEnd w:id="11"/>
      <w:bookmarkEnd w:id="12"/>
    </w:p>
    <w:p w14:paraId="0048367D" w14:textId="77777777" w:rsidR="00415D9F" w:rsidRDefault="00814254" w:rsidP="007E656C">
      <w:pPr>
        <w:pStyle w:val="Heading3"/>
        <w:keepNext w:val="0"/>
        <w:keepLines w:val="0"/>
        <w:widowControl w:val="0"/>
      </w:pPr>
      <w:bookmarkStart w:id="14" w:name="_Toc38365519"/>
      <w:bookmarkStart w:id="15" w:name="_Toc76480203"/>
      <w:r>
        <w:t>5343.204-70-1</w:t>
      </w:r>
      <w:r w:rsidR="00336333">
        <w:t xml:space="preserve">   </w:t>
      </w:r>
      <w:r w:rsidR="00C44D54">
        <w:t>Scope</w:t>
      </w:r>
      <w:bookmarkEnd w:id="14"/>
      <w:bookmarkEnd w:id="15"/>
    </w:p>
    <w:p w14:paraId="57DA3A86" w14:textId="10ADBBC9" w:rsidR="00415D9F" w:rsidRDefault="00DE0610" w:rsidP="007E656C">
      <w:pPr>
        <w:pStyle w:val="List1"/>
        <w:widowControl w:val="0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5" w:history="1">
        <w:r w:rsidR="001D2AC4" w:rsidRPr="0087131D">
          <w:rPr>
            <w:rStyle w:val="Hyperlink"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  <w:bookmarkStart w:id="16" w:name="_Toc38365520"/>
    </w:p>
    <w:p w14:paraId="703EC1E0" w14:textId="77777777" w:rsidR="00415D9F" w:rsidRDefault="00F900DB" w:rsidP="007E656C">
      <w:pPr>
        <w:pStyle w:val="Heading3"/>
        <w:keepNext w:val="0"/>
        <w:keepLines w:val="0"/>
        <w:widowControl w:val="0"/>
      </w:pPr>
      <w:bookmarkStart w:id="17" w:name="_Toc76480204"/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16"/>
      <w:bookmarkEnd w:id="17"/>
    </w:p>
    <w:p w14:paraId="66E0AC2F" w14:textId="77777777" w:rsidR="00415D9F" w:rsidRDefault="00C44D54" w:rsidP="007E656C">
      <w:pPr>
        <w:pStyle w:val="List1"/>
        <w:widowControl w:val="0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  <w:bookmarkStart w:id="18" w:name="_Toc38365521"/>
    </w:p>
    <w:p w14:paraId="2D2A609F" w14:textId="77777777" w:rsidR="00415D9F" w:rsidRDefault="00862DDD" w:rsidP="007E656C">
      <w:pPr>
        <w:pStyle w:val="Heading3"/>
        <w:keepNext w:val="0"/>
        <w:keepLines w:val="0"/>
        <w:widowControl w:val="0"/>
      </w:pPr>
      <w:bookmarkStart w:id="19" w:name="_Toc76480205"/>
      <w:r>
        <w:t>5343.204-70-5 Exceptions</w:t>
      </w:r>
      <w:bookmarkEnd w:id="18"/>
      <w:bookmarkEnd w:id="19"/>
    </w:p>
    <w:p w14:paraId="7E10D636" w14:textId="1F8D5F57" w:rsidR="00415D9F" w:rsidRDefault="00D06B67" w:rsidP="007E656C">
      <w:pPr>
        <w:widowControl w:val="0"/>
        <w:autoSpaceDE w:val="0"/>
        <w:autoSpaceDN w:val="0"/>
        <w:adjustRightInd w:val="0"/>
        <w:spacing w:before="0" w:after="0"/>
        <w:ind w:firstLine="360"/>
        <w:rPr>
          <w:lang w:val="en"/>
        </w:rPr>
      </w:pPr>
      <w:r w:rsidRPr="00D047D7" w:rsidDel="00D06B67">
        <w:rPr>
          <w:color w:val="0000FF"/>
          <w:lang w:val="en"/>
        </w:rPr>
        <w:t xml:space="preserve"> </w:t>
      </w:r>
      <w:r w:rsidR="00862DDD">
        <w:rPr>
          <w:lang w:val="en"/>
        </w:rPr>
        <w:t xml:space="preserve">(c) </w:t>
      </w:r>
      <w:bookmarkStart w:id="20" w:name="_Toc38365522"/>
      <w:r w:rsidRPr="00D06B67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See MP5301.601-90. Submit requests for waivers through the SCO to </w:t>
      </w:r>
      <w:hyperlink r:id="rId16" w:history="1">
        <w:r w:rsidR="005877CB" w:rsidRPr="00E0667C">
          <w:rPr>
            <w:rStyle w:val="Hyperlink"/>
          </w:rPr>
          <w:t>SAF/AQC</w:t>
        </w:r>
      </w:hyperlink>
      <w:r w:rsidR="005877CB">
        <w:rPr>
          <w:rStyle w:val="Hyperlink"/>
        </w:rPr>
        <w:t xml:space="preserve"> </w:t>
      </w:r>
      <w:r>
        <w:rPr>
          <w:color w:val="000000"/>
          <w:szCs w:val="24"/>
        </w:rPr>
        <w:t>for approval.</w:t>
      </w:r>
    </w:p>
    <w:p w14:paraId="1F31F963" w14:textId="77777777" w:rsidR="00415D9F" w:rsidRDefault="00F900DB" w:rsidP="007E656C">
      <w:pPr>
        <w:pStyle w:val="Heading3"/>
        <w:keepNext w:val="0"/>
        <w:keepLines w:val="0"/>
        <w:widowControl w:val="0"/>
      </w:pPr>
      <w:bookmarkStart w:id="21" w:name="_Toc76480206"/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20"/>
      <w:bookmarkEnd w:id="21"/>
    </w:p>
    <w:p w14:paraId="49779DB1" w14:textId="1396AF2A" w:rsidR="0095666D" w:rsidRDefault="005E313E" w:rsidP="007E656C">
      <w:pPr>
        <w:widowControl w:val="0"/>
      </w:pPr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7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13"/>
    </w:p>
    <w:sectPr w:rsidR="0095666D" w:rsidSect="00336333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127D6" w14:textId="77777777" w:rsidR="00486F2C" w:rsidRDefault="00486F2C">
      <w:r>
        <w:separator/>
      </w:r>
    </w:p>
  </w:endnote>
  <w:endnote w:type="continuationSeparator" w:id="0">
    <w:p w14:paraId="24D35FCF" w14:textId="77777777" w:rsidR="00486F2C" w:rsidRDefault="0048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37346" w14:textId="717D07AB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802E59">
      <w:rPr>
        <w:rStyle w:val="PageNumber"/>
        <w:noProof/>
        <w:color w:val="000000"/>
      </w:rPr>
      <w:t>1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553F5" w14:textId="77777777" w:rsidR="00486F2C" w:rsidRDefault="00486F2C">
      <w:r>
        <w:separator/>
      </w:r>
    </w:p>
  </w:footnote>
  <w:footnote w:type="continuationSeparator" w:id="0">
    <w:p w14:paraId="55C2468F" w14:textId="77777777" w:rsidR="00486F2C" w:rsidRDefault="0048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2AC4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30014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877CB"/>
    <w:rsid w:val="0059421D"/>
    <w:rsid w:val="005A23FB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7E656C"/>
    <w:rsid w:val="00802E59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744D5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1444"/>
    <w:rsid w:val="00AB5531"/>
    <w:rsid w:val="00AC6D0E"/>
    <w:rsid w:val="00AD34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06B67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410A927"/>
  <w15:docId w15:val="{CE1EBB6F-B075-4A53-AEF3-76CA61F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E656C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56C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3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https://www.afcontracting.hq.af.mil/enterprise_metrics/index.cf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sidesmc.losangeles.af.mil/sites/pk/div/pkc/internal/CRWL/default.aspx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hyperlink" Target="5302.docx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pgi_534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B7D23-1A72-4AFE-AF30-69E5104D961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0171B5-F869-46BE-AB1D-48416B21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3276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VOUDREN, JEFFREY W NH-04 USAF HAF SAF/BLDG PENTAGON, 4C149</cp:lastModifiedBy>
  <cp:revision>53</cp:revision>
  <cp:lastPrinted>2019-08-22T17:44:00Z</cp:lastPrinted>
  <dcterms:created xsi:type="dcterms:W3CDTF">2019-04-29T10:38:00Z</dcterms:created>
  <dcterms:modified xsi:type="dcterms:W3CDTF">2021-07-21T15:21:00Z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