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E444C" w14:textId="77777777" w:rsidR="001C3F4E" w:rsidRPr="009201F1" w:rsidRDefault="00977580" w:rsidP="00977580">
      <w:pPr>
        <w:pStyle w:val="Heading1"/>
      </w:pPr>
      <w:bookmarkStart w:id="0" w:name="_GoBack"/>
      <w:bookmarkEnd w:id="0"/>
      <w:r w:rsidRPr="009201F1">
        <w:rPr>
          <w:sz w:val="28"/>
          <w:szCs w:val="28"/>
        </w:rPr>
        <w:t>AFFARS PGI 5315</w:t>
      </w:r>
      <w:r w:rsidRPr="009201F1">
        <w:rPr>
          <w:b w:val="0"/>
          <w:sz w:val="28"/>
          <w:szCs w:val="28"/>
        </w:rPr>
        <w:br/>
      </w:r>
      <w:r w:rsidR="00BD6987" w:rsidRPr="009201F1">
        <w:rPr>
          <w:sz w:val="28"/>
          <w:szCs w:val="28"/>
        </w:rPr>
        <w:t>Contracting by Negotiation</w:t>
      </w:r>
    </w:p>
    <w:p w14:paraId="43B28514" w14:textId="77777777" w:rsidR="001C3F4E" w:rsidRPr="009201F1" w:rsidRDefault="00CC76A6" w:rsidP="00CC76A6">
      <w:pPr>
        <w:spacing w:after="0"/>
        <w:jc w:val="center"/>
        <w:rPr>
          <w:b/>
          <w:i/>
          <w:sz w:val="28"/>
          <w:szCs w:val="28"/>
        </w:rPr>
      </w:pPr>
      <w:r w:rsidRPr="009201F1">
        <w:rPr>
          <w:b/>
          <w:i/>
          <w:sz w:val="28"/>
          <w:szCs w:val="28"/>
        </w:rPr>
        <w:t>Table of Contents</w:t>
      </w:r>
    </w:p>
    <w:p w14:paraId="34EAFB42" w14:textId="32A8387E" w:rsidR="00DB0099" w:rsidRPr="009201F1" w:rsidRDefault="00DB0099" w:rsidP="00DB0099">
      <w:pPr>
        <w:spacing w:after="0"/>
        <w:jc w:val="center"/>
        <w:rPr>
          <w:i/>
          <w:sz w:val="28"/>
          <w:szCs w:val="24"/>
        </w:rPr>
      </w:pPr>
      <w:r w:rsidRPr="009201F1">
        <w:rPr>
          <w:i/>
          <w:sz w:val="28"/>
          <w:szCs w:val="24"/>
        </w:rPr>
        <w:t>Click any column header below to sort by that column.</w:t>
      </w:r>
    </w:p>
    <w:p w14:paraId="52FF577F" w14:textId="77777777" w:rsidR="00CC76A6" w:rsidRPr="009201F1" w:rsidRDefault="00CC76A6" w:rsidP="00CC76A6">
      <w:pPr>
        <w:spacing w:after="0"/>
        <w:rPr>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B2515" w:rsidRPr="009201F1" w14:paraId="6D894F5C" w14:textId="77777777" w:rsidTr="00162054">
        <w:trPr>
          <w:trHeight w:val="432"/>
          <w:tblHeader/>
          <w:jc w:val="center"/>
        </w:trPr>
        <w:tc>
          <w:tcPr>
            <w:tcW w:w="254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D21D998" w14:textId="77777777" w:rsidR="00CB2515" w:rsidRPr="009201F1" w:rsidRDefault="00CB2515" w:rsidP="003E7101">
            <w:pPr>
              <w:jc w:val="center"/>
              <w:rPr>
                <w:b/>
                <w:sz w:val="20"/>
              </w:rPr>
            </w:pPr>
            <w:r w:rsidRPr="009201F1">
              <w:rPr>
                <w:b/>
                <w:sz w:val="20"/>
              </w:rPr>
              <w:t>PGI Paragraph</w:t>
            </w:r>
          </w:p>
        </w:tc>
        <w:tc>
          <w:tcPr>
            <w:tcW w:w="143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6A569EC" w14:textId="77777777" w:rsidR="00CB2515" w:rsidRPr="009201F1" w:rsidRDefault="00CB2515" w:rsidP="003E7101">
            <w:pPr>
              <w:jc w:val="center"/>
              <w:rPr>
                <w:b/>
                <w:sz w:val="20"/>
              </w:rPr>
            </w:pPr>
            <w:r w:rsidRPr="009201F1">
              <w:rPr>
                <w:b/>
                <w:sz w:val="20"/>
              </w:rPr>
              <w:t>MAJCOM</w:t>
            </w:r>
          </w:p>
        </w:tc>
        <w:tc>
          <w:tcPr>
            <w:tcW w:w="610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DD4413" w14:textId="77777777" w:rsidR="00CB2515" w:rsidRPr="009201F1" w:rsidRDefault="00CB2515" w:rsidP="003E7101">
            <w:pPr>
              <w:jc w:val="center"/>
              <w:rPr>
                <w:b/>
                <w:sz w:val="20"/>
              </w:rPr>
            </w:pPr>
            <w:r w:rsidRPr="009201F1">
              <w:rPr>
                <w:b/>
                <w:sz w:val="20"/>
              </w:rPr>
              <w:t>Paragraph Title</w:t>
            </w:r>
          </w:p>
        </w:tc>
      </w:tr>
      <w:tr w:rsidR="00CB2515" w:rsidRPr="009201F1" w14:paraId="251DFA79"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7B6810B" w14:textId="66364192" w:rsidR="00CB2515" w:rsidRPr="009201F1" w:rsidRDefault="000D4C22" w:rsidP="003E7101">
            <w:pPr>
              <w:rPr>
                <w:sz w:val="20"/>
              </w:rPr>
            </w:pPr>
            <w:hyperlink w:anchor="_AFMC_PGI_5315.207" w:history="1">
              <w:r w:rsidR="00CB2515" w:rsidRPr="009201F1">
                <w:rPr>
                  <w:rStyle w:val="Hyperlink"/>
                  <w:sz w:val="20"/>
                </w:rPr>
                <w:t>PGI 5315.207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F817051" w14:textId="77777777" w:rsidR="00CB2515" w:rsidRPr="009201F1" w:rsidRDefault="00CB2515" w:rsidP="003E7101">
            <w:pPr>
              <w:jc w:val="center"/>
              <w:rPr>
                <w:rFonts w:eastAsia="Calibri"/>
                <w:sz w:val="20"/>
              </w:rPr>
            </w:pPr>
            <w:r w:rsidRPr="009201F1">
              <w:rPr>
                <w:rFonts w:eastAsia="Calibri"/>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63BEADCA" w14:textId="77777777" w:rsidR="00CB2515" w:rsidRPr="009201F1" w:rsidRDefault="00CB2515" w:rsidP="003E7101">
            <w:pPr>
              <w:rPr>
                <w:sz w:val="20"/>
                <w:szCs w:val="24"/>
              </w:rPr>
            </w:pPr>
            <w:r w:rsidRPr="009201F1">
              <w:rPr>
                <w:sz w:val="20"/>
                <w:szCs w:val="24"/>
              </w:rPr>
              <w:t>Handling Proposals and Information</w:t>
            </w:r>
          </w:p>
        </w:tc>
      </w:tr>
      <w:tr w:rsidR="00CB2515" w:rsidRPr="009201F1" w14:paraId="3F24214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A1EB081" w14:textId="2DA3B0BD" w:rsidR="00CB2515" w:rsidRPr="009201F1" w:rsidRDefault="000D4C22" w:rsidP="003E7101">
            <w:pPr>
              <w:rPr>
                <w:sz w:val="20"/>
              </w:rPr>
            </w:pPr>
            <w:hyperlink w:anchor="_AF_PGI_5315.209-90" w:history="1">
              <w:r w:rsidR="00CB2515" w:rsidRPr="009201F1">
                <w:rPr>
                  <w:rStyle w:val="Hyperlink"/>
                  <w:sz w:val="20"/>
                </w:rPr>
                <w:t>PGI 5315.209-90</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665EF59" w14:textId="77777777" w:rsidR="00CB2515" w:rsidRPr="009201F1" w:rsidRDefault="00CB2515" w:rsidP="003E7101">
            <w:pPr>
              <w:jc w:val="center"/>
              <w:rPr>
                <w:sz w:val="20"/>
                <w:szCs w:val="24"/>
              </w:rPr>
            </w:pPr>
            <w:r w:rsidRPr="009201F1">
              <w:rPr>
                <w:sz w:val="20"/>
                <w:szCs w:val="24"/>
              </w:rPr>
              <w:t>AF</w:t>
            </w:r>
          </w:p>
        </w:tc>
        <w:tc>
          <w:tcPr>
            <w:tcW w:w="6107" w:type="dxa"/>
            <w:tcBorders>
              <w:top w:val="single" w:sz="4" w:space="0" w:color="auto"/>
              <w:left w:val="single" w:sz="4" w:space="0" w:color="auto"/>
              <w:bottom w:val="single" w:sz="4" w:space="0" w:color="auto"/>
              <w:right w:val="single" w:sz="4" w:space="0" w:color="auto"/>
            </w:tcBorders>
            <w:vAlign w:val="center"/>
          </w:tcPr>
          <w:p w14:paraId="1F9C02CC" w14:textId="77777777" w:rsidR="00CB2515" w:rsidRPr="009201F1" w:rsidRDefault="00CB2515" w:rsidP="003E7101">
            <w:pPr>
              <w:rPr>
                <w:sz w:val="20"/>
                <w:szCs w:val="24"/>
              </w:rPr>
            </w:pPr>
            <w:r w:rsidRPr="009201F1">
              <w:rPr>
                <w:sz w:val="20"/>
                <w:szCs w:val="24"/>
              </w:rPr>
              <w:t>Solicitation Provisions and Contract Clauses</w:t>
            </w:r>
          </w:p>
        </w:tc>
      </w:tr>
      <w:tr w:rsidR="00CB2515" w:rsidRPr="009201F1" w14:paraId="1D07E65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681E74F7" w14:textId="67EA2660" w:rsidR="00CB2515" w:rsidRPr="009201F1" w:rsidRDefault="000D4C22" w:rsidP="003E7101">
            <w:pPr>
              <w:rPr>
                <w:sz w:val="20"/>
              </w:rPr>
            </w:pPr>
            <w:hyperlink w:anchor="_AFMC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737A1A71" w14:textId="77777777" w:rsidR="00CB2515" w:rsidRPr="009201F1" w:rsidRDefault="00CB2515" w:rsidP="003E7101">
            <w:pPr>
              <w:jc w:val="center"/>
              <w:rPr>
                <w:sz w:val="20"/>
                <w:szCs w:val="24"/>
              </w:rPr>
            </w:pPr>
            <w:r w:rsidRPr="009201F1">
              <w:rPr>
                <w:sz w:val="20"/>
                <w:szCs w:val="24"/>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2E5564C7" w14:textId="77777777" w:rsidR="00CB2515" w:rsidRPr="009201F1" w:rsidRDefault="00CB2515" w:rsidP="003E7101">
            <w:pPr>
              <w:rPr>
                <w:sz w:val="20"/>
                <w:szCs w:val="24"/>
              </w:rPr>
            </w:pPr>
            <w:r w:rsidRPr="009201F1">
              <w:rPr>
                <w:sz w:val="20"/>
                <w:szCs w:val="24"/>
              </w:rPr>
              <w:t>SSA Appointment</w:t>
            </w:r>
          </w:p>
        </w:tc>
      </w:tr>
      <w:tr w:rsidR="00CB2515" w:rsidRPr="009201F1" w14:paraId="6908B185"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531D1683" w14:textId="034B10F0" w:rsidR="00CB2515" w:rsidRPr="009201F1" w:rsidRDefault="000D4C22" w:rsidP="003E7101">
            <w:pPr>
              <w:rPr>
                <w:sz w:val="20"/>
              </w:rPr>
            </w:pPr>
            <w:hyperlink w:anchor="_SMC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DF5772F" w14:textId="77777777" w:rsidR="00CB2515" w:rsidRPr="009201F1" w:rsidRDefault="00CB2515" w:rsidP="003E7101">
            <w:pPr>
              <w:jc w:val="center"/>
              <w:rPr>
                <w:sz w:val="20"/>
                <w:szCs w:val="24"/>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6CEA0683" w14:textId="77777777" w:rsidR="00CB2515" w:rsidRPr="009201F1" w:rsidRDefault="00CB2515" w:rsidP="003E7101">
            <w:pPr>
              <w:rPr>
                <w:sz w:val="20"/>
                <w:szCs w:val="24"/>
              </w:rPr>
            </w:pPr>
            <w:r w:rsidRPr="009201F1">
              <w:rPr>
                <w:sz w:val="20"/>
                <w:szCs w:val="24"/>
              </w:rPr>
              <w:t>SSA Appointment</w:t>
            </w:r>
          </w:p>
        </w:tc>
      </w:tr>
      <w:tr w:rsidR="00CB2515" w:rsidRPr="009201F1" w14:paraId="60790F8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D8F24BE" w14:textId="2D48223A" w:rsidR="00CB2515" w:rsidRPr="009201F1" w:rsidRDefault="000D4C22" w:rsidP="003E7101">
            <w:pPr>
              <w:rPr>
                <w:sz w:val="20"/>
              </w:rPr>
            </w:pPr>
            <w:hyperlink w:anchor="_USAFA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4781564E" w14:textId="77777777" w:rsidR="00CB2515" w:rsidRPr="009201F1" w:rsidRDefault="00CB2515" w:rsidP="003E7101">
            <w:pPr>
              <w:jc w:val="center"/>
              <w:rPr>
                <w:sz w:val="20"/>
                <w:szCs w:val="24"/>
              </w:rPr>
            </w:pPr>
            <w:r w:rsidRPr="009201F1">
              <w:rPr>
                <w:sz w:val="20"/>
                <w:szCs w:val="24"/>
              </w:rPr>
              <w:t>USAFA</w:t>
            </w:r>
          </w:p>
        </w:tc>
        <w:tc>
          <w:tcPr>
            <w:tcW w:w="6107" w:type="dxa"/>
            <w:tcBorders>
              <w:top w:val="single" w:sz="4" w:space="0" w:color="auto"/>
              <w:left w:val="single" w:sz="4" w:space="0" w:color="auto"/>
              <w:bottom w:val="single" w:sz="4" w:space="0" w:color="auto"/>
              <w:right w:val="single" w:sz="4" w:space="0" w:color="auto"/>
            </w:tcBorders>
            <w:vAlign w:val="center"/>
          </w:tcPr>
          <w:p w14:paraId="47D8BA8A" w14:textId="77777777" w:rsidR="00CB2515" w:rsidRPr="009201F1" w:rsidRDefault="00CB2515" w:rsidP="003E7101">
            <w:pPr>
              <w:rPr>
                <w:sz w:val="20"/>
                <w:szCs w:val="24"/>
              </w:rPr>
            </w:pPr>
            <w:r w:rsidRPr="009201F1">
              <w:rPr>
                <w:sz w:val="20"/>
                <w:szCs w:val="24"/>
              </w:rPr>
              <w:t>SSA Appointment</w:t>
            </w:r>
          </w:p>
        </w:tc>
      </w:tr>
      <w:tr w:rsidR="00CB2515" w:rsidRPr="009201F1" w14:paraId="16F0C1B2"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1F56A91C" w14:textId="0A51ACDC" w:rsidR="00CB2515" w:rsidRPr="009201F1" w:rsidRDefault="000D4C22" w:rsidP="003E7101">
            <w:pPr>
              <w:rPr>
                <w:sz w:val="20"/>
              </w:rPr>
            </w:pPr>
            <w:hyperlink w:anchor="_SMC_PGI_5315.3_1" w:history="1">
              <w:r w:rsidR="00CB2515" w:rsidRPr="009201F1">
                <w:rPr>
                  <w:rStyle w:val="Hyperlink"/>
                  <w:sz w:val="20"/>
                </w:rPr>
                <w:t>PGI 5315.3 (1.4.2.2)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AA24793" w14:textId="77777777" w:rsidR="00CB2515" w:rsidRPr="009201F1" w:rsidRDefault="00CB2515" w:rsidP="003E7101">
            <w:pPr>
              <w:jc w:val="center"/>
              <w:rPr>
                <w:sz w:val="20"/>
                <w:szCs w:val="24"/>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1EA0B948" w14:textId="77777777" w:rsidR="00CB2515" w:rsidRPr="009201F1" w:rsidRDefault="00CB2515" w:rsidP="003E7101">
            <w:pPr>
              <w:rPr>
                <w:sz w:val="20"/>
                <w:szCs w:val="24"/>
              </w:rPr>
            </w:pPr>
            <w:r w:rsidRPr="009201F1">
              <w:rPr>
                <w:sz w:val="20"/>
                <w:szCs w:val="24"/>
              </w:rPr>
              <w:t>PCO Responsibilities</w:t>
            </w:r>
          </w:p>
        </w:tc>
      </w:tr>
      <w:tr w:rsidR="00CB2515" w:rsidRPr="009201F1" w14:paraId="3C3E6C20"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D438888" w14:textId="22460A5A" w:rsidR="00CB2515" w:rsidRPr="009201F1" w:rsidRDefault="000D4C22" w:rsidP="003E7101">
            <w:pPr>
              <w:rPr>
                <w:sz w:val="20"/>
              </w:rPr>
            </w:pPr>
            <w:hyperlink w:anchor="_AFMC_PGI_5315.3_1" w:history="1">
              <w:r w:rsidR="00CB2515" w:rsidRPr="009201F1">
                <w:rPr>
                  <w:rStyle w:val="Hyperlink"/>
                  <w:sz w:val="20"/>
                </w:rPr>
                <w:t>PGI 5315.3 (1.4.2.2.3)</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2D98C18" w14:textId="77777777" w:rsidR="00CB2515" w:rsidRPr="009201F1" w:rsidRDefault="00CB2515" w:rsidP="003E7101">
            <w:pPr>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3EE04185" w14:textId="77777777" w:rsidR="00CB2515" w:rsidRPr="009201F1" w:rsidRDefault="00CB2515" w:rsidP="003E7101">
            <w:pPr>
              <w:rPr>
                <w:sz w:val="20"/>
                <w:szCs w:val="24"/>
              </w:rPr>
            </w:pPr>
            <w:r w:rsidRPr="009201F1">
              <w:rPr>
                <w:sz w:val="20"/>
                <w:szCs w:val="24"/>
              </w:rPr>
              <w:t xml:space="preserve">     (No Title)</w:t>
            </w:r>
          </w:p>
        </w:tc>
      </w:tr>
      <w:tr w:rsidR="00CB2515" w:rsidRPr="009201F1" w14:paraId="4B6639A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1C6D52D" w14:textId="34955256" w:rsidR="00CB2515" w:rsidRPr="009201F1" w:rsidRDefault="000D4C22" w:rsidP="003E7101">
            <w:pPr>
              <w:rPr>
                <w:sz w:val="20"/>
              </w:rPr>
            </w:pPr>
            <w:hyperlink w:anchor="_SMC_PGI_5315.3_2" w:history="1">
              <w:r w:rsidR="00CB2515" w:rsidRPr="009201F1">
                <w:rPr>
                  <w:rStyle w:val="Hyperlink"/>
                  <w:sz w:val="20"/>
                </w:rPr>
                <w:t>PGI 5315.3 (1.4.2.2.7)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03ECF91E" w14:textId="77777777" w:rsidR="00CB2515" w:rsidRPr="009201F1" w:rsidRDefault="00CB2515" w:rsidP="003E7101">
            <w:pPr>
              <w:jc w:val="center"/>
              <w:rPr>
                <w:sz w:val="20"/>
              </w:rPr>
            </w:pPr>
            <w:r w:rsidRPr="009201F1">
              <w:rPr>
                <w:sz w:val="20"/>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351D983D" w14:textId="77777777" w:rsidR="00CB2515" w:rsidRPr="009201F1" w:rsidRDefault="00CB2515" w:rsidP="003E7101">
            <w:pPr>
              <w:rPr>
                <w:sz w:val="20"/>
                <w:szCs w:val="24"/>
              </w:rPr>
            </w:pPr>
            <w:r w:rsidRPr="009201F1">
              <w:rPr>
                <w:sz w:val="20"/>
                <w:szCs w:val="24"/>
              </w:rPr>
              <w:t xml:space="preserve">     (No Title)</w:t>
            </w:r>
          </w:p>
        </w:tc>
      </w:tr>
      <w:tr w:rsidR="00CB2515" w:rsidRPr="009201F1" w14:paraId="53499DC7"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BBF4956" w14:textId="54AE6F7C" w:rsidR="00CB2515" w:rsidRPr="009201F1" w:rsidRDefault="000D4C22" w:rsidP="003E7101">
            <w:pPr>
              <w:rPr>
                <w:sz w:val="20"/>
              </w:rPr>
            </w:pPr>
            <w:hyperlink w:anchor="_AFMC_PGI_5315.3_2" w:history="1">
              <w:r w:rsidR="00CB2515" w:rsidRPr="009201F1">
                <w:rPr>
                  <w:rStyle w:val="Hyperlink"/>
                  <w:sz w:val="20"/>
                </w:rPr>
                <w:t>PGI 5315.3 (1.4.6.1)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646D3784" w14:textId="77777777" w:rsidR="00CB2515" w:rsidRPr="009201F1" w:rsidRDefault="00CB2515" w:rsidP="003E7101">
            <w:pPr>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4CF7A389" w14:textId="77777777" w:rsidR="00CB2515" w:rsidRPr="009201F1" w:rsidRDefault="00CB2515" w:rsidP="003E7101">
            <w:pPr>
              <w:rPr>
                <w:sz w:val="20"/>
                <w:szCs w:val="24"/>
              </w:rPr>
            </w:pPr>
            <w:r w:rsidRPr="009201F1">
              <w:rPr>
                <w:sz w:val="20"/>
                <w:szCs w:val="24"/>
              </w:rPr>
              <w:t>Government Advisors</w:t>
            </w:r>
          </w:p>
        </w:tc>
      </w:tr>
      <w:tr w:rsidR="00CB2515" w:rsidRPr="009201F1" w14:paraId="06AAB686"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A36C16C" w14:textId="2D908EDC" w:rsidR="00CB2515" w:rsidRPr="009201F1" w:rsidRDefault="000D4C22" w:rsidP="003E7101">
            <w:pPr>
              <w:rPr>
                <w:sz w:val="20"/>
              </w:rPr>
            </w:pPr>
            <w:hyperlink w:anchor="_AFMC_PGI_5315.3_3" w:history="1">
              <w:r w:rsidR="00CB2515" w:rsidRPr="009201F1">
                <w:rPr>
                  <w:rStyle w:val="Hyperlink"/>
                  <w:sz w:val="20"/>
                </w:rPr>
                <w:t>PGI 5315.3 (1.4.7.2)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1A715D1" w14:textId="77777777" w:rsidR="00CB2515" w:rsidRPr="009201F1" w:rsidRDefault="00CB2515" w:rsidP="003E7101">
            <w:pPr>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71FCB4A3" w14:textId="77777777" w:rsidR="00CB2515" w:rsidRPr="009201F1" w:rsidRDefault="00CB2515" w:rsidP="003E7101">
            <w:pPr>
              <w:rPr>
                <w:sz w:val="20"/>
                <w:szCs w:val="24"/>
              </w:rPr>
            </w:pPr>
            <w:r w:rsidRPr="009201F1">
              <w:rPr>
                <w:sz w:val="20"/>
                <w:szCs w:val="24"/>
              </w:rPr>
              <w:t xml:space="preserve">    (No Title)</w:t>
            </w:r>
          </w:p>
        </w:tc>
      </w:tr>
      <w:tr w:rsidR="00CB2515" w:rsidRPr="009201F1" w14:paraId="6B5D4E95" w14:textId="77777777" w:rsidTr="003E7101">
        <w:tblPrEx>
          <w:jc w:val="left"/>
        </w:tblPrEx>
        <w:trPr>
          <w:trHeight w:val="432"/>
        </w:trPr>
        <w:tc>
          <w:tcPr>
            <w:tcW w:w="2542" w:type="dxa"/>
            <w:vAlign w:val="center"/>
          </w:tcPr>
          <w:p w14:paraId="5E28D5F8" w14:textId="3F42C65D" w:rsidR="00CB2515" w:rsidRPr="009201F1" w:rsidRDefault="000D4C22" w:rsidP="003E7101">
            <w:pPr>
              <w:rPr>
                <w:sz w:val="20"/>
              </w:rPr>
            </w:pPr>
            <w:hyperlink w:anchor="_SMC_PGI_5315.3_3" w:history="1">
              <w:r w:rsidR="00CB2515" w:rsidRPr="009201F1">
                <w:rPr>
                  <w:rStyle w:val="Hyperlink"/>
                  <w:sz w:val="20"/>
                </w:rPr>
                <w:t>PGI 5315.3 (2)</w:t>
              </w:r>
            </w:hyperlink>
          </w:p>
        </w:tc>
        <w:tc>
          <w:tcPr>
            <w:tcW w:w="1431" w:type="dxa"/>
            <w:vAlign w:val="center"/>
          </w:tcPr>
          <w:p w14:paraId="5FA57A23" w14:textId="77777777" w:rsidR="00CB2515" w:rsidRPr="009201F1" w:rsidRDefault="00CB2515" w:rsidP="003E7101">
            <w:pPr>
              <w:jc w:val="center"/>
              <w:rPr>
                <w:rFonts w:eastAsia="Calibri"/>
                <w:sz w:val="20"/>
              </w:rPr>
            </w:pPr>
            <w:r w:rsidRPr="009201F1">
              <w:rPr>
                <w:rFonts w:eastAsia="Calibri"/>
                <w:sz w:val="20"/>
              </w:rPr>
              <w:t>SMC</w:t>
            </w:r>
          </w:p>
        </w:tc>
        <w:tc>
          <w:tcPr>
            <w:tcW w:w="6107" w:type="dxa"/>
            <w:vAlign w:val="center"/>
          </w:tcPr>
          <w:p w14:paraId="6A4B71E5" w14:textId="77777777" w:rsidR="00CB2515" w:rsidRPr="009201F1" w:rsidRDefault="00CB2515" w:rsidP="003E7101">
            <w:pPr>
              <w:rPr>
                <w:sz w:val="20"/>
                <w:szCs w:val="24"/>
              </w:rPr>
            </w:pPr>
            <w:r w:rsidRPr="009201F1">
              <w:rPr>
                <w:sz w:val="20"/>
                <w:szCs w:val="24"/>
              </w:rPr>
              <w:t>Pre-solicitation Activities</w:t>
            </w:r>
          </w:p>
        </w:tc>
      </w:tr>
      <w:tr w:rsidR="00CB2515" w:rsidRPr="009201F1" w14:paraId="4760C90F" w14:textId="77777777" w:rsidTr="003E7101">
        <w:tblPrEx>
          <w:jc w:val="left"/>
        </w:tblPrEx>
        <w:trPr>
          <w:trHeight w:val="432"/>
        </w:trPr>
        <w:tc>
          <w:tcPr>
            <w:tcW w:w="2542" w:type="dxa"/>
            <w:vAlign w:val="center"/>
          </w:tcPr>
          <w:p w14:paraId="759C95A6" w14:textId="7D23AB2A" w:rsidR="00CB2515" w:rsidRPr="009201F1" w:rsidRDefault="000D4C22" w:rsidP="003E7101">
            <w:pPr>
              <w:rPr>
                <w:sz w:val="20"/>
              </w:rPr>
            </w:pPr>
            <w:hyperlink w:anchor="_SMC_PGI_5315.3_4" w:history="1">
              <w:r w:rsidR="00CB2515" w:rsidRPr="009201F1">
                <w:rPr>
                  <w:rStyle w:val="Hyperlink"/>
                  <w:sz w:val="20"/>
                </w:rPr>
                <w:t>PGI 5315.3 (2.1.2.1)</w:t>
              </w:r>
            </w:hyperlink>
          </w:p>
        </w:tc>
        <w:tc>
          <w:tcPr>
            <w:tcW w:w="1431" w:type="dxa"/>
            <w:vAlign w:val="center"/>
          </w:tcPr>
          <w:p w14:paraId="1325F453" w14:textId="77777777" w:rsidR="00CB2515" w:rsidRPr="009201F1" w:rsidRDefault="00CB2515" w:rsidP="003E7101">
            <w:pPr>
              <w:jc w:val="center"/>
              <w:rPr>
                <w:sz w:val="20"/>
                <w:szCs w:val="24"/>
              </w:rPr>
            </w:pPr>
            <w:r w:rsidRPr="009201F1">
              <w:rPr>
                <w:sz w:val="20"/>
                <w:szCs w:val="24"/>
              </w:rPr>
              <w:t>SMC</w:t>
            </w:r>
          </w:p>
        </w:tc>
        <w:tc>
          <w:tcPr>
            <w:tcW w:w="6107" w:type="dxa"/>
            <w:vAlign w:val="center"/>
          </w:tcPr>
          <w:p w14:paraId="321AC0BC" w14:textId="77777777" w:rsidR="00CB2515" w:rsidRPr="009201F1" w:rsidRDefault="00CB2515" w:rsidP="003E7101">
            <w:pPr>
              <w:rPr>
                <w:sz w:val="20"/>
                <w:szCs w:val="24"/>
              </w:rPr>
            </w:pPr>
            <w:r w:rsidRPr="009201F1">
              <w:rPr>
                <w:sz w:val="20"/>
                <w:szCs w:val="24"/>
              </w:rPr>
              <w:t>Pre-solicitation Notices</w:t>
            </w:r>
          </w:p>
        </w:tc>
      </w:tr>
      <w:tr w:rsidR="00CB2515" w:rsidRPr="009201F1" w14:paraId="766EF5A9" w14:textId="77777777" w:rsidTr="003E7101">
        <w:tblPrEx>
          <w:jc w:val="left"/>
        </w:tblPrEx>
        <w:trPr>
          <w:trHeight w:val="432"/>
        </w:trPr>
        <w:tc>
          <w:tcPr>
            <w:tcW w:w="2542" w:type="dxa"/>
            <w:vAlign w:val="center"/>
          </w:tcPr>
          <w:p w14:paraId="670E1957" w14:textId="7F5BC8D7" w:rsidR="00CB2515" w:rsidRPr="009201F1" w:rsidRDefault="000D4C22" w:rsidP="003E7101">
            <w:pPr>
              <w:rPr>
                <w:sz w:val="20"/>
              </w:rPr>
            </w:pPr>
            <w:hyperlink w:anchor="_SMC_PGI_5315.3_5" w:history="1">
              <w:r w:rsidR="00CB2515" w:rsidRPr="009201F1">
                <w:rPr>
                  <w:rStyle w:val="Hyperlink"/>
                  <w:sz w:val="20"/>
                </w:rPr>
                <w:t>PGI 5315.3 (2.1.2.2)</w:t>
              </w:r>
            </w:hyperlink>
          </w:p>
        </w:tc>
        <w:tc>
          <w:tcPr>
            <w:tcW w:w="1431" w:type="dxa"/>
            <w:vAlign w:val="center"/>
          </w:tcPr>
          <w:p w14:paraId="22EF1718" w14:textId="77777777" w:rsidR="00CB2515" w:rsidRPr="009201F1" w:rsidRDefault="00CB2515" w:rsidP="003E7101">
            <w:pPr>
              <w:jc w:val="center"/>
              <w:rPr>
                <w:sz w:val="20"/>
                <w:szCs w:val="24"/>
              </w:rPr>
            </w:pPr>
            <w:r w:rsidRPr="009201F1">
              <w:rPr>
                <w:sz w:val="20"/>
                <w:szCs w:val="24"/>
              </w:rPr>
              <w:t>SMC</w:t>
            </w:r>
          </w:p>
        </w:tc>
        <w:tc>
          <w:tcPr>
            <w:tcW w:w="6107" w:type="dxa"/>
            <w:vAlign w:val="center"/>
          </w:tcPr>
          <w:p w14:paraId="4955AA31" w14:textId="77777777" w:rsidR="00CB2515" w:rsidRPr="009201F1" w:rsidRDefault="00CB2515" w:rsidP="003E7101">
            <w:pPr>
              <w:rPr>
                <w:sz w:val="20"/>
                <w:szCs w:val="24"/>
              </w:rPr>
            </w:pPr>
            <w:r w:rsidRPr="009201F1">
              <w:rPr>
                <w:sz w:val="20"/>
                <w:szCs w:val="24"/>
              </w:rPr>
              <w:t>Industry Engagement/Industry Days</w:t>
            </w:r>
          </w:p>
        </w:tc>
      </w:tr>
      <w:tr w:rsidR="00CB2515" w:rsidRPr="009201F1" w14:paraId="3CAD5471" w14:textId="77777777" w:rsidTr="003E7101">
        <w:tblPrEx>
          <w:jc w:val="left"/>
        </w:tblPrEx>
        <w:trPr>
          <w:trHeight w:val="432"/>
        </w:trPr>
        <w:tc>
          <w:tcPr>
            <w:tcW w:w="2542" w:type="dxa"/>
            <w:vAlign w:val="center"/>
          </w:tcPr>
          <w:p w14:paraId="19D348C3" w14:textId="7A8ADFAD" w:rsidR="00CB2515" w:rsidRPr="009201F1" w:rsidRDefault="000D4C22" w:rsidP="003E7101">
            <w:pPr>
              <w:rPr>
                <w:sz w:val="20"/>
              </w:rPr>
            </w:pPr>
            <w:hyperlink w:anchor="_AFMC_PGI_5315.3_4" w:history="1">
              <w:r w:rsidR="00CB2515" w:rsidRPr="009201F1">
                <w:rPr>
                  <w:rStyle w:val="Hyperlink"/>
                  <w:sz w:val="20"/>
                </w:rPr>
                <w:t>PGI 5315.3 (2.1.2.3)</w:t>
              </w:r>
            </w:hyperlink>
          </w:p>
        </w:tc>
        <w:tc>
          <w:tcPr>
            <w:tcW w:w="1431" w:type="dxa"/>
            <w:vAlign w:val="center"/>
          </w:tcPr>
          <w:p w14:paraId="599B17C3" w14:textId="77777777" w:rsidR="00CB2515" w:rsidRPr="009201F1" w:rsidRDefault="00CB2515" w:rsidP="003E7101">
            <w:pPr>
              <w:jc w:val="center"/>
              <w:rPr>
                <w:sz w:val="20"/>
                <w:szCs w:val="24"/>
              </w:rPr>
            </w:pPr>
            <w:r w:rsidRPr="009201F1">
              <w:rPr>
                <w:sz w:val="20"/>
                <w:szCs w:val="24"/>
              </w:rPr>
              <w:t>AFMC</w:t>
            </w:r>
          </w:p>
        </w:tc>
        <w:tc>
          <w:tcPr>
            <w:tcW w:w="6107" w:type="dxa"/>
            <w:vAlign w:val="center"/>
          </w:tcPr>
          <w:p w14:paraId="2DEB7326" w14:textId="77777777" w:rsidR="00CB2515" w:rsidRPr="009201F1" w:rsidRDefault="00CB2515" w:rsidP="003E7101">
            <w:pPr>
              <w:rPr>
                <w:sz w:val="20"/>
                <w:szCs w:val="24"/>
              </w:rPr>
            </w:pPr>
            <w:r w:rsidRPr="009201F1">
              <w:rPr>
                <w:sz w:val="20"/>
                <w:szCs w:val="24"/>
              </w:rPr>
              <w:t>Draft Request for Proposals (RFP)</w:t>
            </w:r>
          </w:p>
        </w:tc>
      </w:tr>
      <w:tr w:rsidR="00CB2515" w:rsidRPr="009201F1" w14:paraId="24495B43" w14:textId="77777777" w:rsidTr="003E7101">
        <w:tblPrEx>
          <w:jc w:val="left"/>
        </w:tblPrEx>
        <w:trPr>
          <w:trHeight w:val="432"/>
        </w:trPr>
        <w:tc>
          <w:tcPr>
            <w:tcW w:w="2542" w:type="dxa"/>
            <w:vAlign w:val="center"/>
          </w:tcPr>
          <w:p w14:paraId="608D5282" w14:textId="01D6D08B" w:rsidR="00CB2515" w:rsidRPr="009201F1" w:rsidRDefault="000D4C22" w:rsidP="003E7101">
            <w:pPr>
              <w:rPr>
                <w:sz w:val="20"/>
              </w:rPr>
            </w:pPr>
            <w:hyperlink w:anchor="_SMC_PGI_5315.3_6" w:history="1">
              <w:r w:rsidR="00CB2515" w:rsidRPr="009201F1">
                <w:rPr>
                  <w:rStyle w:val="Hyperlink"/>
                  <w:sz w:val="20"/>
                </w:rPr>
                <w:t>PGI 5315.3 (2.1.2.3)</w:t>
              </w:r>
            </w:hyperlink>
          </w:p>
        </w:tc>
        <w:tc>
          <w:tcPr>
            <w:tcW w:w="1431" w:type="dxa"/>
            <w:vAlign w:val="center"/>
          </w:tcPr>
          <w:p w14:paraId="28A32ECD" w14:textId="77777777" w:rsidR="00CB2515" w:rsidRPr="009201F1" w:rsidRDefault="00CB2515" w:rsidP="003E7101">
            <w:pPr>
              <w:jc w:val="center"/>
              <w:rPr>
                <w:sz w:val="20"/>
                <w:szCs w:val="24"/>
              </w:rPr>
            </w:pPr>
            <w:r w:rsidRPr="009201F1">
              <w:rPr>
                <w:sz w:val="20"/>
                <w:szCs w:val="24"/>
              </w:rPr>
              <w:t>SMC</w:t>
            </w:r>
          </w:p>
        </w:tc>
        <w:tc>
          <w:tcPr>
            <w:tcW w:w="6107" w:type="dxa"/>
            <w:vAlign w:val="center"/>
          </w:tcPr>
          <w:p w14:paraId="174745B1" w14:textId="77777777" w:rsidR="00CB2515" w:rsidRPr="009201F1" w:rsidRDefault="00CB2515" w:rsidP="003E7101">
            <w:pPr>
              <w:rPr>
                <w:sz w:val="20"/>
                <w:szCs w:val="24"/>
              </w:rPr>
            </w:pPr>
            <w:r w:rsidRPr="009201F1">
              <w:rPr>
                <w:sz w:val="20"/>
                <w:szCs w:val="24"/>
              </w:rPr>
              <w:t>Draft Request for Proposals (RFP)</w:t>
            </w:r>
          </w:p>
        </w:tc>
      </w:tr>
      <w:tr w:rsidR="00CB2515" w:rsidRPr="009201F1" w14:paraId="53D98157" w14:textId="77777777" w:rsidTr="003E7101">
        <w:tblPrEx>
          <w:jc w:val="left"/>
        </w:tblPrEx>
        <w:trPr>
          <w:trHeight w:val="432"/>
        </w:trPr>
        <w:tc>
          <w:tcPr>
            <w:tcW w:w="2542" w:type="dxa"/>
            <w:vAlign w:val="center"/>
          </w:tcPr>
          <w:p w14:paraId="2D3EE984" w14:textId="31C35495" w:rsidR="00CB2515" w:rsidRPr="009201F1" w:rsidRDefault="000D4C22" w:rsidP="003E7101">
            <w:pPr>
              <w:rPr>
                <w:sz w:val="20"/>
              </w:rPr>
            </w:pPr>
            <w:hyperlink w:anchor="_AFMC_PGI_5315.3_5" w:history="1">
              <w:r w:rsidR="00CB2515" w:rsidRPr="009201F1">
                <w:rPr>
                  <w:rStyle w:val="Hyperlink"/>
                  <w:sz w:val="20"/>
                </w:rPr>
                <w:t>PGI 5315.3 (2.3.1)</w:t>
              </w:r>
            </w:hyperlink>
          </w:p>
        </w:tc>
        <w:tc>
          <w:tcPr>
            <w:tcW w:w="1431" w:type="dxa"/>
            <w:vAlign w:val="center"/>
          </w:tcPr>
          <w:p w14:paraId="61912E10" w14:textId="77777777" w:rsidR="00CB2515" w:rsidRPr="009201F1" w:rsidRDefault="00CB2515" w:rsidP="003E7101">
            <w:pPr>
              <w:jc w:val="center"/>
              <w:rPr>
                <w:sz w:val="20"/>
                <w:szCs w:val="24"/>
              </w:rPr>
            </w:pPr>
            <w:r w:rsidRPr="009201F1">
              <w:rPr>
                <w:sz w:val="20"/>
                <w:szCs w:val="24"/>
              </w:rPr>
              <w:t>AFMC</w:t>
            </w:r>
          </w:p>
        </w:tc>
        <w:tc>
          <w:tcPr>
            <w:tcW w:w="6107" w:type="dxa"/>
            <w:vAlign w:val="center"/>
          </w:tcPr>
          <w:p w14:paraId="19A11619" w14:textId="77777777" w:rsidR="00CB2515" w:rsidRPr="009201F1" w:rsidRDefault="00CB2515" w:rsidP="003E7101">
            <w:pPr>
              <w:rPr>
                <w:sz w:val="20"/>
                <w:szCs w:val="24"/>
              </w:rPr>
            </w:pPr>
            <w:r w:rsidRPr="009201F1">
              <w:rPr>
                <w:sz w:val="20"/>
                <w:szCs w:val="24"/>
              </w:rPr>
              <w:t>Evaluation Factors/Subfactors</w:t>
            </w:r>
          </w:p>
        </w:tc>
      </w:tr>
      <w:tr w:rsidR="00CB2515" w:rsidRPr="009201F1" w14:paraId="64C34912" w14:textId="77777777" w:rsidTr="003E7101">
        <w:tblPrEx>
          <w:jc w:val="left"/>
        </w:tblPrEx>
        <w:trPr>
          <w:trHeight w:val="432"/>
        </w:trPr>
        <w:tc>
          <w:tcPr>
            <w:tcW w:w="2542" w:type="dxa"/>
            <w:vAlign w:val="center"/>
          </w:tcPr>
          <w:p w14:paraId="55FEB86F" w14:textId="67140C45" w:rsidR="00CB2515" w:rsidRPr="009201F1" w:rsidRDefault="000D4C22" w:rsidP="003E7101">
            <w:pPr>
              <w:rPr>
                <w:sz w:val="20"/>
              </w:rPr>
            </w:pPr>
            <w:hyperlink w:anchor="_SMC_PGI_5315.3_7" w:history="1">
              <w:r w:rsidR="00CB2515" w:rsidRPr="009201F1">
                <w:rPr>
                  <w:rStyle w:val="Hyperlink"/>
                  <w:sz w:val="20"/>
                </w:rPr>
                <w:t>PGI 5315.3 (4.3)</w:t>
              </w:r>
            </w:hyperlink>
          </w:p>
        </w:tc>
        <w:tc>
          <w:tcPr>
            <w:tcW w:w="1431" w:type="dxa"/>
            <w:vAlign w:val="center"/>
          </w:tcPr>
          <w:p w14:paraId="27F658D0" w14:textId="77777777" w:rsidR="00CB2515" w:rsidRPr="009201F1" w:rsidRDefault="00CB2515" w:rsidP="003E7101">
            <w:pPr>
              <w:jc w:val="center"/>
              <w:rPr>
                <w:sz w:val="20"/>
              </w:rPr>
            </w:pPr>
            <w:r w:rsidRPr="009201F1">
              <w:rPr>
                <w:sz w:val="20"/>
              </w:rPr>
              <w:t>SMC</w:t>
            </w:r>
          </w:p>
        </w:tc>
        <w:tc>
          <w:tcPr>
            <w:tcW w:w="6107" w:type="dxa"/>
            <w:vAlign w:val="center"/>
          </w:tcPr>
          <w:p w14:paraId="30B9D8EA" w14:textId="77777777" w:rsidR="00CB2515" w:rsidRPr="009201F1" w:rsidRDefault="00CB2515" w:rsidP="003E7101">
            <w:pPr>
              <w:rPr>
                <w:sz w:val="20"/>
                <w:szCs w:val="24"/>
              </w:rPr>
            </w:pPr>
            <w:r w:rsidRPr="009201F1">
              <w:rPr>
                <w:sz w:val="20"/>
                <w:szCs w:val="24"/>
              </w:rPr>
              <w:t>Additional Guidance and Tailorable Templates</w:t>
            </w:r>
          </w:p>
        </w:tc>
      </w:tr>
      <w:tr w:rsidR="00CB2515" w:rsidRPr="009201F1" w14:paraId="381BE9ED" w14:textId="77777777" w:rsidTr="003E7101">
        <w:tblPrEx>
          <w:jc w:val="left"/>
        </w:tblPrEx>
        <w:trPr>
          <w:trHeight w:val="432"/>
        </w:trPr>
        <w:tc>
          <w:tcPr>
            <w:tcW w:w="2542" w:type="dxa"/>
            <w:vAlign w:val="center"/>
          </w:tcPr>
          <w:p w14:paraId="32D71CFE" w14:textId="16FE7B18" w:rsidR="00CB2515" w:rsidRPr="009201F1" w:rsidRDefault="000D4C22" w:rsidP="003E7101">
            <w:pPr>
              <w:rPr>
                <w:sz w:val="20"/>
              </w:rPr>
            </w:pPr>
            <w:hyperlink w:anchor="_AF_PGI_5315.371-5" w:history="1">
              <w:r w:rsidR="00CB2515" w:rsidRPr="009201F1">
                <w:rPr>
                  <w:rStyle w:val="Hyperlink"/>
                  <w:sz w:val="20"/>
                </w:rPr>
                <w:t>PGI 5315.371-5</w:t>
              </w:r>
            </w:hyperlink>
          </w:p>
        </w:tc>
        <w:tc>
          <w:tcPr>
            <w:tcW w:w="1431" w:type="dxa"/>
            <w:vAlign w:val="center"/>
          </w:tcPr>
          <w:p w14:paraId="018013DE" w14:textId="77777777" w:rsidR="00CB2515" w:rsidRPr="009201F1" w:rsidRDefault="00CB2515" w:rsidP="003E7101">
            <w:pPr>
              <w:jc w:val="center"/>
              <w:rPr>
                <w:sz w:val="20"/>
              </w:rPr>
            </w:pPr>
            <w:r w:rsidRPr="009201F1">
              <w:rPr>
                <w:sz w:val="20"/>
              </w:rPr>
              <w:t>AF</w:t>
            </w:r>
          </w:p>
        </w:tc>
        <w:tc>
          <w:tcPr>
            <w:tcW w:w="6107" w:type="dxa"/>
            <w:vAlign w:val="center"/>
          </w:tcPr>
          <w:p w14:paraId="2986EC17" w14:textId="77777777" w:rsidR="00CB2515" w:rsidRPr="009201F1" w:rsidRDefault="00CB2515" w:rsidP="003E7101">
            <w:pPr>
              <w:rPr>
                <w:sz w:val="20"/>
                <w:szCs w:val="24"/>
              </w:rPr>
            </w:pPr>
            <w:r w:rsidRPr="009201F1">
              <w:rPr>
                <w:sz w:val="20"/>
                <w:szCs w:val="24"/>
              </w:rPr>
              <w:t>Waiver</w:t>
            </w:r>
          </w:p>
        </w:tc>
      </w:tr>
      <w:tr w:rsidR="00CB2515" w:rsidRPr="009201F1" w14:paraId="130E1EA0" w14:textId="77777777" w:rsidTr="003E7101">
        <w:tblPrEx>
          <w:jc w:val="left"/>
        </w:tblPrEx>
        <w:trPr>
          <w:trHeight w:val="432"/>
        </w:trPr>
        <w:tc>
          <w:tcPr>
            <w:tcW w:w="2542" w:type="dxa"/>
            <w:vAlign w:val="center"/>
          </w:tcPr>
          <w:p w14:paraId="21E9F796" w14:textId="6887E455" w:rsidR="00CB2515" w:rsidRPr="009201F1" w:rsidRDefault="000D4C22" w:rsidP="003E7101">
            <w:pPr>
              <w:rPr>
                <w:sz w:val="20"/>
              </w:rPr>
            </w:pPr>
            <w:hyperlink w:anchor="_AF_PGI_5315.402-90" w:history="1">
              <w:r w:rsidR="00CB2515" w:rsidRPr="009201F1">
                <w:rPr>
                  <w:rStyle w:val="Hyperlink"/>
                  <w:sz w:val="20"/>
                </w:rPr>
                <w:t>PGI 5315.402-90</w:t>
              </w:r>
            </w:hyperlink>
          </w:p>
        </w:tc>
        <w:tc>
          <w:tcPr>
            <w:tcW w:w="1431" w:type="dxa"/>
            <w:vAlign w:val="center"/>
          </w:tcPr>
          <w:p w14:paraId="27CC066B" w14:textId="77777777" w:rsidR="00CB2515" w:rsidRPr="009201F1" w:rsidRDefault="00CB2515" w:rsidP="003E7101">
            <w:pPr>
              <w:jc w:val="center"/>
              <w:rPr>
                <w:sz w:val="20"/>
              </w:rPr>
            </w:pPr>
            <w:r w:rsidRPr="009201F1">
              <w:rPr>
                <w:sz w:val="20"/>
              </w:rPr>
              <w:t>AF</w:t>
            </w:r>
          </w:p>
        </w:tc>
        <w:tc>
          <w:tcPr>
            <w:tcW w:w="6107" w:type="dxa"/>
            <w:vAlign w:val="center"/>
          </w:tcPr>
          <w:p w14:paraId="591EF0F0" w14:textId="77777777" w:rsidR="00CB2515" w:rsidRPr="009201F1" w:rsidRDefault="00CB2515" w:rsidP="003E7101">
            <w:pPr>
              <w:rPr>
                <w:sz w:val="20"/>
                <w:szCs w:val="24"/>
              </w:rPr>
            </w:pPr>
            <w:r w:rsidRPr="009201F1">
              <w:rPr>
                <w:sz w:val="20"/>
                <w:szCs w:val="24"/>
              </w:rPr>
              <w:t>Pricing Policy</w:t>
            </w:r>
          </w:p>
        </w:tc>
      </w:tr>
      <w:tr w:rsidR="00CB2515" w:rsidRPr="009201F1" w14:paraId="57B9452A" w14:textId="77777777" w:rsidTr="003E7101">
        <w:tblPrEx>
          <w:jc w:val="left"/>
        </w:tblPrEx>
        <w:trPr>
          <w:trHeight w:val="432"/>
        </w:trPr>
        <w:tc>
          <w:tcPr>
            <w:tcW w:w="2542" w:type="dxa"/>
            <w:vAlign w:val="center"/>
          </w:tcPr>
          <w:p w14:paraId="1FB9A822" w14:textId="074C9952" w:rsidR="00CB2515" w:rsidRPr="009201F1" w:rsidRDefault="000D4C22" w:rsidP="003E7101">
            <w:pPr>
              <w:rPr>
                <w:sz w:val="20"/>
              </w:rPr>
            </w:pPr>
            <w:hyperlink w:anchor="_AFMC_PGI_5315.402-90" w:history="1">
              <w:r w:rsidR="00CB2515" w:rsidRPr="009201F1">
                <w:rPr>
                  <w:rStyle w:val="Hyperlink"/>
                  <w:sz w:val="20"/>
                </w:rPr>
                <w:t>PGI 5315.402-90</w:t>
              </w:r>
            </w:hyperlink>
          </w:p>
        </w:tc>
        <w:tc>
          <w:tcPr>
            <w:tcW w:w="1431" w:type="dxa"/>
            <w:vAlign w:val="center"/>
          </w:tcPr>
          <w:p w14:paraId="3073E92F" w14:textId="77777777" w:rsidR="00CB2515" w:rsidRPr="009201F1" w:rsidRDefault="00CB2515" w:rsidP="003E7101">
            <w:pPr>
              <w:jc w:val="center"/>
              <w:rPr>
                <w:sz w:val="20"/>
              </w:rPr>
            </w:pPr>
            <w:r w:rsidRPr="009201F1">
              <w:rPr>
                <w:sz w:val="20"/>
              </w:rPr>
              <w:t>AFMC</w:t>
            </w:r>
          </w:p>
        </w:tc>
        <w:tc>
          <w:tcPr>
            <w:tcW w:w="6107" w:type="dxa"/>
            <w:vAlign w:val="center"/>
          </w:tcPr>
          <w:p w14:paraId="69C578D4" w14:textId="77777777" w:rsidR="00CB2515" w:rsidRPr="009201F1" w:rsidRDefault="00CB2515" w:rsidP="003E7101">
            <w:pPr>
              <w:rPr>
                <w:sz w:val="20"/>
                <w:szCs w:val="24"/>
              </w:rPr>
            </w:pPr>
            <w:r w:rsidRPr="009201F1">
              <w:rPr>
                <w:sz w:val="20"/>
                <w:szCs w:val="24"/>
              </w:rPr>
              <w:t>Pricing Policy</w:t>
            </w:r>
          </w:p>
        </w:tc>
      </w:tr>
      <w:tr w:rsidR="00CB2515" w:rsidRPr="009201F1" w14:paraId="067CE40C" w14:textId="77777777" w:rsidTr="003E7101">
        <w:tblPrEx>
          <w:jc w:val="left"/>
        </w:tblPrEx>
        <w:trPr>
          <w:trHeight w:val="432"/>
        </w:trPr>
        <w:tc>
          <w:tcPr>
            <w:tcW w:w="2542" w:type="dxa"/>
            <w:vAlign w:val="center"/>
          </w:tcPr>
          <w:p w14:paraId="799F4887" w14:textId="426E93A3" w:rsidR="00CB2515" w:rsidRPr="009201F1" w:rsidRDefault="000D4C22" w:rsidP="003E7101">
            <w:pPr>
              <w:rPr>
                <w:sz w:val="20"/>
              </w:rPr>
            </w:pPr>
            <w:hyperlink w:anchor="_AFICC_PGI_5315.403-1" w:history="1">
              <w:r w:rsidR="00CB2515" w:rsidRPr="009201F1">
                <w:rPr>
                  <w:rStyle w:val="Hyperlink"/>
                  <w:sz w:val="20"/>
                </w:rPr>
                <w:t>PGI 5315.403-1</w:t>
              </w:r>
            </w:hyperlink>
          </w:p>
        </w:tc>
        <w:tc>
          <w:tcPr>
            <w:tcW w:w="1431" w:type="dxa"/>
            <w:vAlign w:val="center"/>
          </w:tcPr>
          <w:p w14:paraId="6EAE4EF0" w14:textId="77777777" w:rsidR="00CB2515" w:rsidRPr="009201F1" w:rsidRDefault="00CB2515" w:rsidP="003E7101">
            <w:pPr>
              <w:jc w:val="center"/>
              <w:rPr>
                <w:sz w:val="20"/>
              </w:rPr>
            </w:pPr>
            <w:r w:rsidRPr="009201F1">
              <w:rPr>
                <w:sz w:val="20"/>
              </w:rPr>
              <w:t>AFICC</w:t>
            </w:r>
          </w:p>
        </w:tc>
        <w:tc>
          <w:tcPr>
            <w:tcW w:w="6107" w:type="dxa"/>
            <w:vAlign w:val="center"/>
          </w:tcPr>
          <w:p w14:paraId="30173C9B" w14:textId="77777777" w:rsidR="00CB2515" w:rsidRPr="009201F1" w:rsidRDefault="00CB2515" w:rsidP="003E7101">
            <w:pPr>
              <w:rPr>
                <w:sz w:val="20"/>
                <w:szCs w:val="24"/>
              </w:rPr>
            </w:pPr>
            <w:r w:rsidRPr="009201F1">
              <w:rPr>
                <w:sz w:val="20"/>
                <w:szCs w:val="24"/>
              </w:rPr>
              <w:t>Prohibition on Obtaining Certified Cost or Pricing Data (10 U.S.C. 2306a and 41 U.S.C. Chapter 35)</w:t>
            </w:r>
          </w:p>
        </w:tc>
      </w:tr>
      <w:tr w:rsidR="00CB2515" w:rsidRPr="009201F1" w14:paraId="2AE26549" w14:textId="77777777" w:rsidTr="003E7101">
        <w:tblPrEx>
          <w:jc w:val="left"/>
        </w:tblPrEx>
        <w:trPr>
          <w:trHeight w:val="432"/>
        </w:trPr>
        <w:tc>
          <w:tcPr>
            <w:tcW w:w="2542" w:type="dxa"/>
            <w:vAlign w:val="center"/>
          </w:tcPr>
          <w:p w14:paraId="00455CC1" w14:textId="20A31A00" w:rsidR="00CB2515" w:rsidRPr="009201F1" w:rsidRDefault="000D4C22" w:rsidP="003E7101">
            <w:pPr>
              <w:rPr>
                <w:sz w:val="20"/>
              </w:rPr>
            </w:pPr>
            <w:hyperlink w:anchor="_AFMC_PGI_5315.403-1" w:history="1">
              <w:r w:rsidR="00CB2515" w:rsidRPr="009201F1">
                <w:rPr>
                  <w:rStyle w:val="Hyperlink"/>
                  <w:sz w:val="20"/>
                </w:rPr>
                <w:t>PGI 5315.403-1</w:t>
              </w:r>
            </w:hyperlink>
          </w:p>
        </w:tc>
        <w:tc>
          <w:tcPr>
            <w:tcW w:w="1431" w:type="dxa"/>
            <w:vAlign w:val="center"/>
          </w:tcPr>
          <w:p w14:paraId="00041B07" w14:textId="77777777" w:rsidR="00CB2515" w:rsidRPr="009201F1" w:rsidRDefault="00CB2515" w:rsidP="003E7101">
            <w:pPr>
              <w:jc w:val="center"/>
              <w:rPr>
                <w:sz w:val="20"/>
              </w:rPr>
            </w:pPr>
            <w:r w:rsidRPr="009201F1">
              <w:rPr>
                <w:sz w:val="20"/>
              </w:rPr>
              <w:t>AFMC</w:t>
            </w:r>
          </w:p>
        </w:tc>
        <w:tc>
          <w:tcPr>
            <w:tcW w:w="6107" w:type="dxa"/>
            <w:vAlign w:val="center"/>
          </w:tcPr>
          <w:p w14:paraId="388D96E3" w14:textId="77777777" w:rsidR="00CB2515" w:rsidRPr="009201F1" w:rsidRDefault="00CB2515" w:rsidP="003E7101">
            <w:pPr>
              <w:rPr>
                <w:sz w:val="20"/>
                <w:szCs w:val="24"/>
              </w:rPr>
            </w:pPr>
            <w:r w:rsidRPr="009201F1">
              <w:rPr>
                <w:sz w:val="20"/>
                <w:szCs w:val="24"/>
              </w:rPr>
              <w:t>Prohibition on Obtaining Certified Cost or Pricing Data (10 U.S.C. 2306a and 41 U.S.C., Chapter 35)</w:t>
            </w:r>
          </w:p>
        </w:tc>
      </w:tr>
      <w:tr w:rsidR="00CB2515" w:rsidRPr="009201F1" w14:paraId="7A171894" w14:textId="77777777" w:rsidTr="003E7101">
        <w:tblPrEx>
          <w:jc w:val="left"/>
        </w:tblPrEx>
        <w:trPr>
          <w:trHeight w:val="432"/>
        </w:trPr>
        <w:tc>
          <w:tcPr>
            <w:tcW w:w="2542" w:type="dxa"/>
            <w:vAlign w:val="center"/>
          </w:tcPr>
          <w:p w14:paraId="4A546541" w14:textId="475356D3" w:rsidR="00CB2515" w:rsidRPr="009201F1" w:rsidRDefault="000D4C22" w:rsidP="003E7101">
            <w:pPr>
              <w:rPr>
                <w:sz w:val="20"/>
              </w:rPr>
            </w:pPr>
            <w:hyperlink w:anchor="_AFICC_PGI_5315.404-1-90" w:history="1">
              <w:r w:rsidR="00CB2515" w:rsidRPr="009201F1">
                <w:rPr>
                  <w:rStyle w:val="Hyperlink"/>
                  <w:sz w:val="20"/>
                </w:rPr>
                <w:t>PGI 5315.404-1-90</w:t>
              </w:r>
            </w:hyperlink>
          </w:p>
        </w:tc>
        <w:tc>
          <w:tcPr>
            <w:tcW w:w="1431" w:type="dxa"/>
            <w:vAlign w:val="center"/>
          </w:tcPr>
          <w:p w14:paraId="22BD503F" w14:textId="77777777" w:rsidR="00CB2515" w:rsidRPr="009201F1" w:rsidRDefault="00CB2515" w:rsidP="003E7101">
            <w:pPr>
              <w:jc w:val="center"/>
              <w:rPr>
                <w:sz w:val="20"/>
              </w:rPr>
            </w:pPr>
            <w:r w:rsidRPr="009201F1">
              <w:rPr>
                <w:sz w:val="20"/>
              </w:rPr>
              <w:t>AFICC</w:t>
            </w:r>
          </w:p>
        </w:tc>
        <w:tc>
          <w:tcPr>
            <w:tcW w:w="6107" w:type="dxa"/>
            <w:vAlign w:val="center"/>
          </w:tcPr>
          <w:p w14:paraId="53BC4E5D" w14:textId="77777777" w:rsidR="00CB2515" w:rsidRPr="009201F1" w:rsidRDefault="00CB2515" w:rsidP="003E7101">
            <w:pPr>
              <w:rPr>
                <w:sz w:val="20"/>
                <w:szCs w:val="24"/>
              </w:rPr>
            </w:pPr>
            <w:r w:rsidRPr="009201F1">
              <w:rPr>
                <w:sz w:val="20"/>
                <w:szCs w:val="24"/>
              </w:rPr>
              <w:t>Pricing Assistance or Pricing Assistance Waiver</w:t>
            </w:r>
          </w:p>
        </w:tc>
      </w:tr>
      <w:tr w:rsidR="00CB2515" w:rsidRPr="009201F1" w14:paraId="6FDF6BC9" w14:textId="77777777" w:rsidTr="003E7101">
        <w:tblPrEx>
          <w:jc w:val="left"/>
        </w:tblPrEx>
        <w:trPr>
          <w:trHeight w:val="432"/>
        </w:trPr>
        <w:tc>
          <w:tcPr>
            <w:tcW w:w="2542" w:type="dxa"/>
            <w:vAlign w:val="center"/>
          </w:tcPr>
          <w:p w14:paraId="6316DAF4" w14:textId="12B55E63" w:rsidR="00CB2515" w:rsidRPr="009201F1" w:rsidRDefault="000D4C22" w:rsidP="003E7101">
            <w:pPr>
              <w:rPr>
                <w:sz w:val="20"/>
              </w:rPr>
            </w:pPr>
            <w:hyperlink w:anchor="_AFMC_PGI_5315.404-1-90" w:history="1">
              <w:r w:rsidR="00CB2515" w:rsidRPr="009201F1">
                <w:rPr>
                  <w:rStyle w:val="Hyperlink"/>
                  <w:sz w:val="20"/>
                </w:rPr>
                <w:t>PGI 5315.404-1-90</w:t>
              </w:r>
            </w:hyperlink>
          </w:p>
        </w:tc>
        <w:tc>
          <w:tcPr>
            <w:tcW w:w="1431" w:type="dxa"/>
            <w:vAlign w:val="center"/>
          </w:tcPr>
          <w:p w14:paraId="7EDA9FC6" w14:textId="77777777" w:rsidR="00CB2515" w:rsidRPr="009201F1" w:rsidRDefault="00CB2515" w:rsidP="003E7101">
            <w:pPr>
              <w:jc w:val="center"/>
              <w:rPr>
                <w:sz w:val="20"/>
              </w:rPr>
            </w:pPr>
            <w:r w:rsidRPr="009201F1">
              <w:rPr>
                <w:sz w:val="20"/>
              </w:rPr>
              <w:t>AFMC</w:t>
            </w:r>
          </w:p>
        </w:tc>
        <w:tc>
          <w:tcPr>
            <w:tcW w:w="6107" w:type="dxa"/>
            <w:vAlign w:val="center"/>
          </w:tcPr>
          <w:p w14:paraId="243066AB" w14:textId="77777777" w:rsidR="00CB2515" w:rsidRPr="009201F1" w:rsidRDefault="00CB2515" w:rsidP="003E7101">
            <w:pPr>
              <w:rPr>
                <w:sz w:val="20"/>
                <w:szCs w:val="24"/>
              </w:rPr>
            </w:pPr>
            <w:r w:rsidRPr="009201F1">
              <w:rPr>
                <w:sz w:val="20"/>
                <w:szCs w:val="24"/>
              </w:rPr>
              <w:t>Pricing Assistance or Pricing Assistance Waiver</w:t>
            </w:r>
          </w:p>
        </w:tc>
      </w:tr>
      <w:tr w:rsidR="00C62EC5" w:rsidRPr="009201F1" w14:paraId="335FE7E6" w14:textId="77777777" w:rsidTr="003E7101">
        <w:tblPrEx>
          <w:jc w:val="left"/>
        </w:tblPrEx>
        <w:trPr>
          <w:trHeight w:val="432"/>
        </w:trPr>
        <w:tc>
          <w:tcPr>
            <w:tcW w:w="2542" w:type="dxa"/>
            <w:vAlign w:val="center"/>
          </w:tcPr>
          <w:p w14:paraId="52C1DEDC" w14:textId="706BD817" w:rsidR="00C62EC5" w:rsidRPr="009201F1" w:rsidRDefault="000D4C22" w:rsidP="003E7101">
            <w:pPr>
              <w:rPr>
                <w:sz w:val="20"/>
              </w:rPr>
            </w:pPr>
            <w:hyperlink w:anchor="_SMC_PGI_5315.404-1-90" w:history="1">
              <w:r w:rsidR="00C62EC5" w:rsidRPr="009201F1">
                <w:rPr>
                  <w:rStyle w:val="Hyperlink"/>
                  <w:sz w:val="20"/>
                </w:rPr>
                <w:t>PGI 5315.404-1-90</w:t>
              </w:r>
            </w:hyperlink>
          </w:p>
        </w:tc>
        <w:tc>
          <w:tcPr>
            <w:tcW w:w="1431" w:type="dxa"/>
            <w:vAlign w:val="center"/>
          </w:tcPr>
          <w:p w14:paraId="728F91E8" w14:textId="6CD8289E" w:rsidR="00C62EC5" w:rsidRPr="009201F1" w:rsidRDefault="00C62EC5" w:rsidP="003E7101">
            <w:pPr>
              <w:jc w:val="center"/>
              <w:rPr>
                <w:sz w:val="20"/>
              </w:rPr>
            </w:pPr>
            <w:r w:rsidRPr="009201F1">
              <w:rPr>
                <w:sz w:val="20"/>
              </w:rPr>
              <w:t>SMC</w:t>
            </w:r>
          </w:p>
        </w:tc>
        <w:tc>
          <w:tcPr>
            <w:tcW w:w="6107" w:type="dxa"/>
            <w:vAlign w:val="center"/>
          </w:tcPr>
          <w:p w14:paraId="08DD7861" w14:textId="215996AD" w:rsidR="00C62EC5" w:rsidRPr="009201F1" w:rsidRDefault="00C62EC5" w:rsidP="003E7101">
            <w:pPr>
              <w:rPr>
                <w:sz w:val="20"/>
                <w:szCs w:val="24"/>
              </w:rPr>
            </w:pPr>
            <w:r w:rsidRPr="009201F1">
              <w:rPr>
                <w:sz w:val="20"/>
                <w:szCs w:val="24"/>
              </w:rPr>
              <w:t>Pricing Assistance or Pricing Assistance Waiver</w:t>
            </w:r>
          </w:p>
        </w:tc>
      </w:tr>
      <w:tr w:rsidR="00CB2515" w:rsidRPr="009201F1" w14:paraId="0F96C9BA" w14:textId="77777777" w:rsidTr="003E7101">
        <w:tblPrEx>
          <w:jc w:val="left"/>
        </w:tblPrEx>
        <w:trPr>
          <w:trHeight w:val="432"/>
        </w:trPr>
        <w:tc>
          <w:tcPr>
            <w:tcW w:w="2542" w:type="dxa"/>
            <w:vAlign w:val="center"/>
          </w:tcPr>
          <w:p w14:paraId="6936EAAA" w14:textId="11578157" w:rsidR="00CB2515" w:rsidRPr="009201F1" w:rsidRDefault="000D4C22" w:rsidP="003E7101">
            <w:pPr>
              <w:rPr>
                <w:sz w:val="20"/>
              </w:rPr>
            </w:pPr>
            <w:hyperlink w:anchor="_AFMC_PGI_5315.404-2-90" w:history="1">
              <w:r w:rsidR="00CB2515" w:rsidRPr="009201F1">
                <w:rPr>
                  <w:rStyle w:val="Hyperlink"/>
                  <w:sz w:val="20"/>
                </w:rPr>
                <w:t>PGI 5315.404-2-90</w:t>
              </w:r>
            </w:hyperlink>
          </w:p>
        </w:tc>
        <w:tc>
          <w:tcPr>
            <w:tcW w:w="1431" w:type="dxa"/>
            <w:vAlign w:val="center"/>
          </w:tcPr>
          <w:p w14:paraId="7AD56448" w14:textId="77777777" w:rsidR="00CB2515" w:rsidRPr="009201F1" w:rsidRDefault="00CB2515" w:rsidP="003E7101">
            <w:pPr>
              <w:jc w:val="center"/>
              <w:rPr>
                <w:sz w:val="20"/>
              </w:rPr>
            </w:pPr>
            <w:r w:rsidRPr="009201F1">
              <w:rPr>
                <w:sz w:val="20"/>
              </w:rPr>
              <w:t>AFMC</w:t>
            </w:r>
          </w:p>
        </w:tc>
        <w:tc>
          <w:tcPr>
            <w:tcW w:w="6107" w:type="dxa"/>
            <w:vAlign w:val="center"/>
          </w:tcPr>
          <w:p w14:paraId="677506E7" w14:textId="77777777" w:rsidR="00CB2515" w:rsidRPr="009201F1" w:rsidRDefault="00CB2515" w:rsidP="003E7101">
            <w:pPr>
              <w:rPr>
                <w:sz w:val="20"/>
                <w:szCs w:val="24"/>
              </w:rPr>
            </w:pPr>
            <w:r w:rsidRPr="009201F1">
              <w:rPr>
                <w:sz w:val="20"/>
                <w:szCs w:val="24"/>
              </w:rPr>
              <w:t>Data to Support Proposal Analysis</w:t>
            </w:r>
          </w:p>
        </w:tc>
      </w:tr>
      <w:tr w:rsidR="00CB2515" w:rsidRPr="009201F1" w14:paraId="2DD68133" w14:textId="77777777" w:rsidTr="003E7101">
        <w:tblPrEx>
          <w:jc w:val="left"/>
        </w:tblPrEx>
        <w:trPr>
          <w:trHeight w:val="432"/>
        </w:trPr>
        <w:tc>
          <w:tcPr>
            <w:tcW w:w="2542" w:type="dxa"/>
            <w:vAlign w:val="center"/>
          </w:tcPr>
          <w:p w14:paraId="26C59713" w14:textId="2F0CF3E6" w:rsidR="00CB2515" w:rsidRPr="009201F1" w:rsidRDefault="000D4C22" w:rsidP="003E7101">
            <w:pPr>
              <w:rPr>
                <w:sz w:val="20"/>
              </w:rPr>
            </w:pPr>
            <w:hyperlink w:anchor="_AF_PGI_5315.404-3-90" w:history="1">
              <w:r w:rsidR="00CB2515" w:rsidRPr="009201F1">
                <w:rPr>
                  <w:rStyle w:val="Hyperlink"/>
                  <w:sz w:val="20"/>
                </w:rPr>
                <w:t>PGI 5315.404-3-90</w:t>
              </w:r>
            </w:hyperlink>
          </w:p>
        </w:tc>
        <w:tc>
          <w:tcPr>
            <w:tcW w:w="1431" w:type="dxa"/>
            <w:vAlign w:val="center"/>
          </w:tcPr>
          <w:p w14:paraId="054177B7" w14:textId="77777777" w:rsidR="00CB2515" w:rsidRPr="009201F1" w:rsidRDefault="00CB2515" w:rsidP="003E7101">
            <w:pPr>
              <w:jc w:val="center"/>
              <w:rPr>
                <w:sz w:val="20"/>
              </w:rPr>
            </w:pPr>
            <w:r w:rsidRPr="009201F1">
              <w:rPr>
                <w:sz w:val="20"/>
              </w:rPr>
              <w:t>AF</w:t>
            </w:r>
          </w:p>
        </w:tc>
        <w:tc>
          <w:tcPr>
            <w:tcW w:w="6107" w:type="dxa"/>
            <w:vAlign w:val="center"/>
          </w:tcPr>
          <w:p w14:paraId="3B9A69B8" w14:textId="77777777" w:rsidR="00CB2515" w:rsidRPr="009201F1" w:rsidRDefault="00CB2515" w:rsidP="003E7101">
            <w:pPr>
              <w:rPr>
                <w:sz w:val="20"/>
                <w:szCs w:val="24"/>
              </w:rPr>
            </w:pPr>
            <w:r w:rsidRPr="009201F1">
              <w:rPr>
                <w:sz w:val="20"/>
                <w:szCs w:val="24"/>
              </w:rPr>
              <w:t>Subcontract Pricing Considerations</w:t>
            </w:r>
          </w:p>
        </w:tc>
      </w:tr>
      <w:tr w:rsidR="00CB2515" w:rsidRPr="009201F1" w14:paraId="24459264" w14:textId="77777777" w:rsidTr="003E7101">
        <w:tblPrEx>
          <w:jc w:val="left"/>
        </w:tblPrEx>
        <w:trPr>
          <w:trHeight w:val="432"/>
        </w:trPr>
        <w:tc>
          <w:tcPr>
            <w:tcW w:w="2542" w:type="dxa"/>
            <w:vAlign w:val="center"/>
          </w:tcPr>
          <w:p w14:paraId="192754B3" w14:textId="478352E0" w:rsidR="00CB2515" w:rsidRPr="009201F1" w:rsidRDefault="000D4C22" w:rsidP="003E7101">
            <w:pPr>
              <w:rPr>
                <w:sz w:val="20"/>
              </w:rPr>
            </w:pPr>
            <w:hyperlink w:anchor="_AFMC_PGI_5315.404-3-90" w:history="1">
              <w:r w:rsidR="00CB2515" w:rsidRPr="009201F1">
                <w:rPr>
                  <w:rStyle w:val="Hyperlink"/>
                  <w:sz w:val="20"/>
                </w:rPr>
                <w:t>PGI 5315.404-3-90</w:t>
              </w:r>
            </w:hyperlink>
          </w:p>
        </w:tc>
        <w:tc>
          <w:tcPr>
            <w:tcW w:w="1431" w:type="dxa"/>
            <w:vAlign w:val="center"/>
          </w:tcPr>
          <w:p w14:paraId="14E92255" w14:textId="77777777" w:rsidR="00CB2515" w:rsidRPr="009201F1" w:rsidRDefault="00CB2515" w:rsidP="003E7101">
            <w:pPr>
              <w:jc w:val="center"/>
              <w:rPr>
                <w:sz w:val="20"/>
              </w:rPr>
            </w:pPr>
            <w:r w:rsidRPr="009201F1">
              <w:rPr>
                <w:sz w:val="20"/>
              </w:rPr>
              <w:t>AFMC</w:t>
            </w:r>
          </w:p>
        </w:tc>
        <w:tc>
          <w:tcPr>
            <w:tcW w:w="6107" w:type="dxa"/>
            <w:vAlign w:val="center"/>
          </w:tcPr>
          <w:p w14:paraId="4ED6DF69" w14:textId="77777777" w:rsidR="00CB2515" w:rsidRPr="009201F1" w:rsidRDefault="00CB2515" w:rsidP="003E7101">
            <w:pPr>
              <w:rPr>
                <w:sz w:val="20"/>
                <w:szCs w:val="24"/>
              </w:rPr>
            </w:pPr>
            <w:r w:rsidRPr="009201F1">
              <w:rPr>
                <w:sz w:val="20"/>
                <w:szCs w:val="24"/>
              </w:rPr>
              <w:t>Subcontract Pricing Considerations</w:t>
            </w:r>
          </w:p>
        </w:tc>
      </w:tr>
      <w:tr w:rsidR="00CB2515" w:rsidRPr="009201F1" w14:paraId="33E98FF6" w14:textId="77777777" w:rsidTr="003E7101">
        <w:tblPrEx>
          <w:jc w:val="left"/>
        </w:tblPrEx>
        <w:trPr>
          <w:trHeight w:val="432"/>
        </w:trPr>
        <w:tc>
          <w:tcPr>
            <w:tcW w:w="2542" w:type="dxa"/>
            <w:vAlign w:val="center"/>
          </w:tcPr>
          <w:p w14:paraId="1C0DD89A" w14:textId="198B0D6C" w:rsidR="00CB2515" w:rsidRPr="009201F1" w:rsidRDefault="000D4C22" w:rsidP="003E7101">
            <w:pPr>
              <w:rPr>
                <w:sz w:val="20"/>
              </w:rPr>
            </w:pPr>
            <w:hyperlink w:anchor="_AF_PGI_5315.404-70-90" w:history="1">
              <w:r w:rsidR="00CB2515" w:rsidRPr="009201F1">
                <w:rPr>
                  <w:rStyle w:val="Hyperlink"/>
                  <w:sz w:val="20"/>
                </w:rPr>
                <w:t>PGI 5315.404-70-90</w:t>
              </w:r>
            </w:hyperlink>
          </w:p>
        </w:tc>
        <w:tc>
          <w:tcPr>
            <w:tcW w:w="1431" w:type="dxa"/>
            <w:vAlign w:val="center"/>
          </w:tcPr>
          <w:p w14:paraId="5A3B505B" w14:textId="77777777" w:rsidR="00CB2515" w:rsidRPr="009201F1" w:rsidRDefault="00CB2515" w:rsidP="003E7101">
            <w:pPr>
              <w:jc w:val="center"/>
              <w:rPr>
                <w:sz w:val="20"/>
              </w:rPr>
            </w:pPr>
            <w:r w:rsidRPr="009201F1">
              <w:rPr>
                <w:sz w:val="20"/>
              </w:rPr>
              <w:t>AF</w:t>
            </w:r>
          </w:p>
        </w:tc>
        <w:tc>
          <w:tcPr>
            <w:tcW w:w="6107" w:type="dxa"/>
            <w:vAlign w:val="center"/>
          </w:tcPr>
          <w:p w14:paraId="308686AE" w14:textId="77777777" w:rsidR="00CB2515" w:rsidRPr="009201F1" w:rsidRDefault="00CB2515" w:rsidP="003E7101">
            <w:pPr>
              <w:rPr>
                <w:sz w:val="20"/>
                <w:szCs w:val="24"/>
              </w:rPr>
            </w:pPr>
            <w:r w:rsidRPr="009201F1">
              <w:rPr>
                <w:sz w:val="20"/>
                <w:szCs w:val="24"/>
              </w:rPr>
              <w:t>DD Form 1547, Record of Weighted Guidelines Method Application, Report Control Symbol: DD-AT&amp;L(Q)1751</w:t>
            </w:r>
          </w:p>
        </w:tc>
      </w:tr>
      <w:tr w:rsidR="00CB2515" w:rsidRPr="009201F1" w14:paraId="4A919CB3" w14:textId="77777777" w:rsidTr="003E7101">
        <w:tblPrEx>
          <w:jc w:val="left"/>
        </w:tblPrEx>
        <w:trPr>
          <w:trHeight w:val="432"/>
        </w:trPr>
        <w:tc>
          <w:tcPr>
            <w:tcW w:w="2542" w:type="dxa"/>
            <w:vAlign w:val="center"/>
          </w:tcPr>
          <w:p w14:paraId="2244A689" w14:textId="12F34179" w:rsidR="00CB2515" w:rsidRPr="009201F1" w:rsidRDefault="000D4C22" w:rsidP="003E7101">
            <w:pPr>
              <w:rPr>
                <w:sz w:val="20"/>
              </w:rPr>
            </w:pPr>
            <w:hyperlink w:anchor="_AFMC_PGI_5315.406-1" w:history="1">
              <w:r w:rsidR="00CB2515" w:rsidRPr="009201F1">
                <w:rPr>
                  <w:rStyle w:val="Hyperlink"/>
                  <w:sz w:val="20"/>
                </w:rPr>
                <w:t>PGI 5315.406-1</w:t>
              </w:r>
            </w:hyperlink>
          </w:p>
        </w:tc>
        <w:tc>
          <w:tcPr>
            <w:tcW w:w="1431" w:type="dxa"/>
            <w:vAlign w:val="center"/>
          </w:tcPr>
          <w:p w14:paraId="3EB5AB43" w14:textId="77777777" w:rsidR="00CB2515" w:rsidRPr="009201F1" w:rsidRDefault="00CB2515" w:rsidP="003E7101">
            <w:pPr>
              <w:jc w:val="center"/>
              <w:rPr>
                <w:sz w:val="20"/>
              </w:rPr>
            </w:pPr>
            <w:r w:rsidRPr="009201F1">
              <w:rPr>
                <w:sz w:val="20"/>
              </w:rPr>
              <w:t>AFMC</w:t>
            </w:r>
          </w:p>
        </w:tc>
        <w:tc>
          <w:tcPr>
            <w:tcW w:w="6107" w:type="dxa"/>
            <w:vAlign w:val="center"/>
          </w:tcPr>
          <w:p w14:paraId="5A780CD8" w14:textId="77777777" w:rsidR="00CB2515" w:rsidRPr="009201F1" w:rsidRDefault="00CB2515" w:rsidP="003E7101">
            <w:pPr>
              <w:rPr>
                <w:sz w:val="20"/>
                <w:szCs w:val="24"/>
              </w:rPr>
            </w:pPr>
            <w:r w:rsidRPr="009201F1">
              <w:rPr>
                <w:sz w:val="20"/>
                <w:szCs w:val="24"/>
              </w:rPr>
              <w:t>Pre-negotiation Objectives</w:t>
            </w:r>
          </w:p>
        </w:tc>
      </w:tr>
      <w:tr w:rsidR="00CB2515" w:rsidRPr="009201F1" w14:paraId="13986586" w14:textId="77777777" w:rsidTr="003E7101">
        <w:tblPrEx>
          <w:jc w:val="left"/>
        </w:tblPrEx>
        <w:trPr>
          <w:trHeight w:val="432"/>
        </w:trPr>
        <w:tc>
          <w:tcPr>
            <w:tcW w:w="2542" w:type="dxa"/>
            <w:vAlign w:val="center"/>
          </w:tcPr>
          <w:p w14:paraId="4F355DE3" w14:textId="2E1F9B35" w:rsidR="00CB2515" w:rsidRPr="009201F1" w:rsidRDefault="000D4C22" w:rsidP="000C1BAC">
            <w:pPr>
              <w:jc w:val="both"/>
              <w:rPr>
                <w:sz w:val="20"/>
              </w:rPr>
            </w:pPr>
            <w:hyperlink w:anchor="_AFMC_PGI_5315.406-3" w:history="1">
              <w:r w:rsidR="00CB2515" w:rsidRPr="009201F1">
                <w:rPr>
                  <w:rStyle w:val="Hyperlink"/>
                  <w:sz w:val="20"/>
                </w:rPr>
                <w:t>PGI 5315.406-3</w:t>
              </w:r>
            </w:hyperlink>
          </w:p>
        </w:tc>
        <w:tc>
          <w:tcPr>
            <w:tcW w:w="1431" w:type="dxa"/>
            <w:vAlign w:val="center"/>
          </w:tcPr>
          <w:p w14:paraId="4D5FA5A8" w14:textId="77777777" w:rsidR="00CB2515" w:rsidRPr="009201F1" w:rsidRDefault="00CB2515" w:rsidP="003E7101">
            <w:pPr>
              <w:jc w:val="center"/>
              <w:rPr>
                <w:sz w:val="20"/>
              </w:rPr>
            </w:pPr>
            <w:r w:rsidRPr="009201F1">
              <w:rPr>
                <w:sz w:val="20"/>
              </w:rPr>
              <w:t>AFMC</w:t>
            </w:r>
          </w:p>
        </w:tc>
        <w:tc>
          <w:tcPr>
            <w:tcW w:w="6107" w:type="dxa"/>
            <w:vAlign w:val="center"/>
          </w:tcPr>
          <w:p w14:paraId="6962EFDA" w14:textId="77777777" w:rsidR="00CB2515" w:rsidRPr="009201F1" w:rsidRDefault="00CB2515" w:rsidP="003E7101">
            <w:pPr>
              <w:rPr>
                <w:sz w:val="20"/>
                <w:szCs w:val="24"/>
              </w:rPr>
            </w:pPr>
            <w:r w:rsidRPr="009201F1">
              <w:rPr>
                <w:sz w:val="20"/>
                <w:szCs w:val="24"/>
              </w:rPr>
              <w:t>Documenting the Negotiation</w:t>
            </w:r>
          </w:p>
        </w:tc>
      </w:tr>
      <w:tr w:rsidR="00CB2515" w:rsidRPr="009201F1" w14:paraId="71D73B76" w14:textId="77777777" w:rsidTr="003E7101">
        <w:tblPrEx>
          <w:jc w:val="left"/>
        </w:tblPrEx>
        <w:trPr>
          <w:trHeight w:val="432"/>
        </w:trPr>
        <w:tc>
          <w:tcPr>
            <w:tcW w:w="2542" w:type="dxa"/>
            <w:vAlign w:val="center"/>
          </w:tcPr>
          <w:p w14:paraId="587B8BA9" w14:textId="181E36C8" w:rsidR="00CB2515" w:rsidRPr="009201F1" w:rsidRDefault="000D4C22" w:rsidP="003E7101">
            <w:pPr>
              <w:rPr>
                <w:sz w:val="20"/>
              </w:rPr>
            </w:pPr>
            <w:hyperlink w:anchor="_SMC_PGI_5315.406-3" w:history="1">
              <w:r w:rsidR="00CB2515" w:rsidRPr="009201F1">
                <w:rPr>
                  <w:rStyle w:val="Hyperlink"/>
                  <w:sz w:val="20"/>
                </w:rPr>
                <w:t>PGI 5315.406-3</w:t>
              </w:r>
            </w:hyperlink>
          </w:p>
        </w:tc>
        <w:tc>
          <w:tcPr>
            <w:tcW w:w="1431" w:type="dxa"/>
            <w:vAlign w:val="center"/>
          </w:tcPr>
          <w:p w14:paraId="16A9C543" w14:textId="77777777" w:rsidR="00CB2515" w:rsidRPr="009201F1" w:rsidRDefault="00CB2515" w:rsidP="003E7101">
            <w:pPr>
              <w:jc w:val="center"/>
              <w:rPr>
                <w:sz w:val="20"/>
              </w:rPr>
            </w:pPr>
            <w:r w:rsidRPr="009201F1">
              <w:rPr>
                <w:sz w:val="20"/>
              </w:rPr>
              <w:t>SMC</w:t>
            </w:r>
          </w:p>
        </w:tc>
        <w:tc>
          <w:tcPr>
            <w:tcW w:w="6107" w:type="dxa"/>
            <w:vAlign w:val="center"/>
          </w:tcPr>
          <w:p w14:paraId="0A016047" w14:textId="77777777" w:rsidR="00CB2515" w:rsidRPr="009201F1" w:rsidRDefault="00CB2515" w:rsidP="003E7101">
            <w:pPr>
              <w:rPr>
                <w:sz w:val="20"/>
                <w:szCs w:val="24"/>
              </w:rPr>
            </w:pPr>
            <w:r w:rsidRPr="009201F1">
              <w:rPr>
                <w:sz w:val="20"/>
                <w:szCs w:val="24"/>
              </w:rPr>
              <w:t>Documenting the Negotiation</w:t>
            </w:r>
          </w:p>
        </w:tc>
      </w:tr>
      <w:tr w:rsidR="00CB2515" w:rsidRPr="009201F1" w14:paraId="7B212179" w14:textId="77777777" w:rsidTr="003E7101">
        <w:tblPrEx>
          <w:jc w:val="left"/>
        </w:tblPrEx>
        <w:trPr>
          <w:trHeight w:val="432"/>
        </w:trPr>
        <w:tc>
          <w:tcPr>
            <w:tcW w:w="2542" w:type="dxa"/>
            <w:vAlign w:val="center"/>
          </w:tcPr>
          <w:p w14:paraId="69111C7E" w14:textId="702308C8" w:rsidR="00CB2515" w:rsidRPr="009201F1" w:rsidRDefault="000D4C22" w:rsidP="003E7101">
            <w:pPr>
              <w:rPr>
                <w:sz w:val="20"/>
              </w:rPr>
            </w:pPr>
            <w:hyperlink w:anchor="_AFMC_PGI_5315.406-3-90" w:history="1">
              <w:r w:rsidR="00CB2515" w:rsidRPr="009201F1">
                <w:rPr>
                  <w:rStyle w:val="Hyperlink"/>
                  <w:sz w:val="20"/>
                </w:rPr>
                <w:t>PGI 5315.406-3-90</w:t>
              </w:r>
            </w:hyperlink>
          </w:p>
        </w:tc>
        <w:tc>
          <w:tcPr>
            <w:tcW w:w="1431" w:type="dxa"/>
            <w:vAlign w:val="center"/>
          </w:tcPr>
          <w:p w14:paraId="507F0D13" w14:textId="77777777" w:rsidR="00CB2515" w:rsidRPr="009201F1" w:rsidRDefault="00CB2515" w:rsidP="003E7101">
            <w:pPr>
              <w:jc w:val="center"/>
              <w:rPr>
                <w:sz w:val="20"/>
              </w:rPr>
            </w:pPr>
            <w:r w:rsidRPr="009201F1">
              <w:rPr>
                <w:sz w:val="20"/>
              </w:rPr>
              <w:t>AFMC</w:t>
            </w:r>
          </w:p>
        </w:tc>
        <w:tc>
          <w:tcPr>
            <w:tcW w:w="6107" w:type="dxa"/>
            <w:vAlign w:val="center"/>
          </w:tcPr>
          <w:p w14:paraId="3525830C" w14:textId="77777777" w:rsidR="00CB2515" w:rsidRPr="009201F1" w:rsidRDefault="00CB2515" w:rsidP="003E7101">
            <w:pPr>
              <w:rPr>
                <w:sz w:val="20"/>
                <w:szCs w:val="24"/>
              </w:rPr>
            </w:pPr>
            <w:r w:rsidRPr="009201F1">
              <w:rPr>
                <w:sz w:val="20"/>
                <w:szCs w:val="24"/>
              </w:rPr>
              <w:t>Use of Abstract of Offers as Documentation of Price Reasonableness</w:t>
            </w:r>
          </w:p>
        </w:tc>
      </w:tr>
      <w:tr w:rsidR="00CB2515" w:rsidRPr="009201F1" w14:paraId="797F83CE" w14:textId="77777777" w:rsidTr="003E7101">
        <w:tblPrEx>
          <w:jc w:val="left"/>
        </w:tblPrEx>
        <w:trPr>
          <w:trHeight w:val="432"/>
        </w:trPr>
        <w:tc>
          <w:tcPr>
            <w:tcW w:w="2542" w:type="dxa"/>
            <w:vAlign w:val="center"/>
          </w:tcPr>
          <w:p w14:paraId="410E0F0D" w14:textId="5BAC428B" w:rsidR="00CB2515" w:rsidRPr="009201F1" w:rsidRDefault="000D4C22" w:rsidP="003E7101">
            <w:pPr>
              <w:rPr>
                <w:sz w:val="20"/>
              </w:rPr>
            </w:pPr>
            <w:hyperlink w:anchor="_AFMC_PGI_5315.407-1-90" w:history="1">
              <w:r w:rsidR="00CB2515" w:rsidRPr="009201F1">
                <w:rPr>
                  <w:rStyle w:val="Hyperlink"/>
                  <w:sz w:val="20"/>
                </w:rPr>
                <w:t>PGI 5315.407-1-90</w:t>
              </w:r>
            </w:hyperlink>
          </w:p>
        </w:tc>
        <w:tc>
          <w:tcPr>
            <w:tcW w:w="1431" w:type="dxa"/>
            <w:vAlign w:val="center"/>
          </w:tcPr>
          <w:p w14:paraId="5364355F" w14:textId="77777777" w:rsidR="00CB2515" w:rsidRPr="009201F1" w:rsidRDefault="00CB2515" w:rsidP="003E7101">
            <w:pPr>
              <w:jc w:val="center"/>
              <w:rPr>
                <w:sz w:val="20"/>
              </w:rPr>
            </w:pPr>
            <w:r w:rsidRPr="009201F1">
              <w:rPr>
                <w:sz w:val="20"/>
              </w:rPr>
              <w:t>AFMC</w:t>
            </w:r>
          </w:p>
        </w:tc>
        <w:tc>
          <w:tcPr>
            <w:tcW w:w="6107" w:type="dxa"/>
            <w:vAlign w:val="center"/>
          </w:tcPr>
          <w:p w14:paraId="46605A93" w14:textId="77777777" w:rsidR="00CB2515" w:rsidRPr="009201F1" w:rsidRDefault="00CB2515" w:rsidP="003E7101">
            <w:pPr>
              <w:rPr>
                <w:sz w:val="20"/>
                <w:szCs w:val="24"/>
              </w:rPr>
            </w:pPr>
            <w:r w:rsidRPr="009201F1">
              <w:rPr>
                <w:sz w:val="20"/>
                <w:szCs w:val="24"/>
              </w:rPr>
              <w:t>Defective Certified Cost or Pricing Data</w:t>
            </w:r>
          </w:p>
        </w:tc>
      </w:tr>
      <w:tr w:rsidR="00CB2515" w:rsidRPr="009201F1" w14:paraId="270C284E" w14:textId="77777777" w:rsidTr="003E7101">
        <w:tblPrEx>
          <w:jc w:val="left"/>
        </w:tblPrEx>
        <w:trPr>
          <w:trHeight w:val="432"/>
        </w:trPr>
        <w:tc>
          <w:tcPr>
            <w:tcW w:w="2542" w:type="dxa"/>
            <w:vAlign w:val="center"/>
          </w:tcPr>
          <w:p w14:paraId="2BF05DD7" w14:textId="5EB428BE" w:rsidR="00CB2515" w:rsidRPr="009201F1" w:rsidRDefault="000D4C22" w:rsidP="003E7101">
            <w:pPr>
              <w:rPr>
                <w:sz w:val="20"/>
              </w:rPr>
            </w:pPr>
            <w:hyperlink w:anchor="_AFMC_PGI_5315.407-2" w:history="1">
              <w:r w:rsidR="00CB2515" w:rsidRPr="009201F1">
                <w:rPr>
                  <w:rStyle w:val="Hyperlink"/>
                  <w:sz w:val="20"/>
                </w:rPr>
                <w:t>PGI 5315.407-2</w:t>
              </w:r>
            </w:hyperlink>
          </w:p>
        </w:tc>
        <w:tc>
          <w:tcPr>
            <w:tcW w:w="1431" w:type="dxa"/>
            <w:vAlign w:val="center"/>
          </w:tcPr>
          <w:p w14:paraId="3F4CB914" w14:textId="77777777" w:rsidR="00CB2515" w:rsidRPr="009201F1" w:rsidRDefault="00CB2515" w:rsidP="003E7101">
            <w:pPr>
              <w:jc w:val="center"/>
              <w:rPr>
                <w:sz w:val="20"/>
              </w:rPr>
            </w:pPr>
            <w:r w:rsidRPr="009201F1">
              <w:rPr>
                <w:sz w:val="20"/>
              </w:rPr>
              <w:t>AFMC</w:t>
            </w:r>
          </w:p>
        </w:tc>
        <w:tc>
          <w:tcPr>
            <w:tcW w:w="6107" w:type="dxa"/>
            <w:vAlign w:val="center"/>
          </w:tcPr>
          <w:p w14:paraId="7D65020A" w14:textId="77777777" w:rsidR="00CB2515" w:rsidRPr="009201F1" w:rsidRDefault="00CB2515" w:rsidP="003E7101">
            <w:pPr>
              <w:rPr>
                <w:sz w:val="20"/>
                <w:szCs w:val="24"/>
              </w:rPr>
            </w:pPr>
            <w:r w:rsidRPr="009201F1">
              <w:rPr>
                <w:sz w:val="20"/>
                <w:szCs w:val="24"/>
              </w:rPr>
              <w:t>Make-or-Buy Program</w:t>
            </w:r>
          </w:p>
        </w:tc>
      </w:tr>
      <w:tr w:rsidR="00CB2515" w:rsidRPr="009201F1" w14:paraId="169C1445" w14:textId="77777777" w:rsidTr="003E7101">
        <w:tblPrEx>
          <w:jc w:val="left"/>
        </w:tblPrEx>
        <w:trPr>
          <w:trHeight w:val="432"/>
        </w:trPr>
        <w:tc>
          <w:tcPr>
            <w:tcW w:w="2542" w:type="dxa"/>
            <w:vAlign w:val="center"/>
          </w:tcPr>
          <w:p w14:paraId="1872F6C1" w14:textId="7E3AD4D7" w:rsidR="00CB2515" w:rsidRPr="009201F1" w:rsidRDefault="000D4C22" w:rsidP="003E7101">
            <w:pPr>
              <w:rPr>
                <w:sz w:val="20"/>
              </w:rPr>
            </w:pPr>
            <w:hyperlink w:anchor="_AFICC_PGI_5315.407-90" w:history="1">
              <w:r w:rsidR="00CB2515" w:rsidRPr="009201F1">
                <w:rPr>
                  <w:rStyle w:val="Hyperlink"/>
                  <w:sz w:val="20"/>
                </w:rPr>
                <w:t>PGI 5315.407-90</w:t>
              </w:r>
            </w:hyperlink>
          </w:p>
        </w:tc>
        <w:tc>
          <w:tcPr>
            <w:tcW w:w="1431" w:type="dxa"/>
            <w:vAlign w:val="center"/>
          </w:tcPr>
          <w:p w14:paraId="0D71095B" w14:textId="77777777" w:rsidR="00CB2515" w:rsidRPr="009201F1" w:rsidRDefault="00CB2515" w:rsidP="003E7101">
            <w:pPr>
              <w:jc w:val="center"/>
              <w:rPr>
                <w:sz w:val="20"/>
              </w:rPr>
            </w:pPr>
            <w:r w:rsidRPr="009201F1">
              <w:rPr>
                <w:sz w:val="20"/>
              </w:rPr>
              <w:t>AFICC</w:t>
            </w:r>
          </w:p>
        </w:tc>
        <w:tc>
          <w:tcPr>
            <w:tcW w:w="6107" w:type="dxa"/>
            <w:vAlign w:val="center"/>
          </w:tcPr>
          <w:p w14:paraId="4480A739" w14:textId="77777777" w:rsidR="00CB2515" w:rsidRPr="009201F1" w:rsidRDefault="00CB2515" w:rsidP="003E7101">
            <w:pPr>
              <w:rPr>
                <w:sz w:val="20"/>
                <w:szCs w:val="24"/>
              </w:rPr>
            </w:pPr>
            <w:r w:rsidRPr="009201F1">
              <w:rPr>
                <w:sz w:val="20"/>
                <w:szCs w:val="24"/>
              </w:rPr>
              <w:t>Contract Audit Follow-Up (CAFU)</w:t>
            </w:r>
          </w:p>
        </w:tc>
      </w:tr>
      <w:tr w:rsidR="00CB2515" w:rsidRPr="009201F1" w14:paraId="5913543D" w14:textId="77777777" w:rsidTr="003E7101">
        <w:tblPrEx>
          <w:jc w:val="left"/>
        </w:tblPrEx>
        <w:trPr>
          <w:trHeight w:val="432"/>
        </w:trPr>
        <w:tc>
          <w:tcPr>
            <w:tcW w:w="2542" w:type="dxa"/>
            <w:vAlign w:val="center"/>
          </w:tcPr>
          <w:p w14:paraId="7CC25761" w14:textId="4D17D7CA" w:rsidR="00CB2515" w:rsidRPr="009201F1" w:rsidRDefault="000D4C22" w:rsidP="003E7101">
            <w:pPr>
              <w:rPr>
                <w:sz w:val="20"/>
              </w:rPr>
            </w:pPr>
            <w:hyperlink w:anchor="_AF_PGI_5315.407-91" w:history="1">
              <w:r w:rsidR="00CB2515" w:rsidRPr="009201F1">
                <w:rPr>
                  <w:rStyle w:val="Hyperlink"/>
                  <w:sz w:val="20"/>
                </w:rPr>
                <w:t>PGI 5315.407-91</w:t>
              </w:r>
            </w:hyperlink>
          </w:p>
        </w:tc>
        <w:tc>
          <w:tcPr>
            <w:tcW w:w="1431" w:type="dxa"/>
            <w:vAlign w:val="center"/>
          </w:tcPr>
          <w:p w14:paraId="469F2CE8" w14:textId="77777777" w:rsidR="00CB2515" w:rsidRPr="009201F1" w:rsidRDefault="00CB2515" w:rsidP="003E7101">
            <w:pPr>
              <w:jc w:val="center"/>
              <w:rPr>
                <w:sz w:val="20"/>
              </w:rPr>
            </w:pPr>
            <w:r w:rsidRPr="009201F1">
              <w:rPr>
                <w:sz w:val="20"/>
              </w:rPr>
              <w:t>AF</w:t>
            </w:r>
          </w:p>
        </w:tc>
        <w:tc>
          <w:tcPr>
            <w:tcW w:w="6107" w:type="dxa"/>
            <w:vAlign w:val="center"/>
          </w:tcPr>
          <w:p w14:paraId="638AA61B" w14:textId="77777777" w:rsidR="00CB2515" w:rsidRPr="009201F1" w:rsidRDefault="00CB2515" w:rsidP="003E7101">
            <w:pPr>
              <w:rPr>
                <w:sz w:val="20"/>
                <w:szCs w:val="24"/>
              </w:rPr>
            </w:pPr>
            <w:r w:rsidRPr="009201F1">
              <w:rPr>
                <w:sz w:val="20"/>
                <w:szCs w:val="24"/>
              </w:rPr>
              <w:t>Formula Pricing Agreements (FPA)</w:t>
            </w:r>
          </w:p>
        </w:tc>
      </w:tr>
    </w:tbl>
    <w:p w14:paraId="25D84D23" w14:textId="77777777" w:rsidR="001C3F4E" w:rsidRPr="009201F1" w:rsidRDefault="001C3F4E" w:rsidP="00CC76A6">
      <w:pPr>
        <w:spacing w:after="0"/>
        <w:rPr>
          <w:b/>
          <w:szCs w:val="24"/>
        </w:rPr>
      </w:pPr>
    </w:p>
    <w:p w14:paraId="10B3FE45" w14:textId="5344FC1D" w:rsidR="00977580" w:rsidRPr="009201F1" w:rsidRDefault="00977580" w:rsidP="00977580">
      <w:r w:rsidRPr="009201F1">
        <w:rPr>
          <w:b/>
        </w:rPr>
        <w:br w:type="page"/>
      </w:r>
    </w:p>
    <w:p w14:paraId="199F5F2C" w14:textId="77777777" w:rsidR="001C3F4E" w:rsidRPr="009201F1" w:rsidRDefault="00977580" w:rsidP="00977580">
      <w:pPr>
        <w:pStyle w:val="Heading2"/>
        <w:rPr>
          <w:b w:val="0"/>
        </w:rPr>
      </w:pPr>
      <w:r w:rsidRPr="009201F1">
        <w:lastRenderedPageBreak/>
        <w:t>AF PGI 5315</w:t>
      </w:r>
      <w:r w:rsidRPr="009201F1">
        <w:rPr>
          <w:b w:val="0"/>
        </w:rPr>
        <w:br/>
      </w:r>
      <w:r w:rsidRPr="009201F1">
        <w:t>Contracting by Negotiation</w:t>
      </w:r>
      <w:bookmarkStart w:id="1" w:name="_AF_PGI_5315.209-90"/>
      <w:bookmarkEnd w:id="1"/>
    </w:p>
    <w:p w14:paraId="375DD2EE" w14:textId="77777777" w:rsidR="001C3F4E" w:rsidRPr="009201F1" w:rsidRDefault="00A743B9" w:rsidP="00977580">
      <w:pPr>
        <w:pStyle w:val="Heading3"/>
      </w:pPr>
      <w:r w:rsidRPr="009201F1">
        <w:rPr>
          <w:bCs/>
        </w:rPr>
        <w:t xml:space="preserve">AF PGI </w:t>
      </w:r>
      <w:r w:rsidR="001B573F" w:rsidRPr="009201F1">
        <w:rPr>
          <w:bCs/>
        </w:rPr>
        <w:t>5315.209</w:t>
      </w:r>
      <w:r w:rsidR="00C55B5E" w:rsidRPr="009201F1">
        <w:rPr>
          <w:bCs/>
        </w:rPr>
        <w:t>-90</w:t>
      </w:r>
      <w:r w:rsidR="001B573F" w:rsidRPr="009201F1">
        <w:rPr>
          <w:bCs/>
        </w:rPr>
        <w:t xml:space="preserve">   Solicitation Provisions and Contract Clauses</w:t>
      </w:r>
    </w:p>
    <w:p w14:paraId="5A470851" w14:textId="77777777" w:rsidR="001C3F4E" w:rsidRPr="009201F1" w:rsidRDefault="00C55B5E" w:rsidP="00977580">
      <w:pPr>
        <w:pStyle w:val="List1"/>
      </w:pPr>
      <w:r w:rsidRPr="009201F1">
        <w:t>(a</w:t>
      </w:r>
      <w:r w:rsidR="0084318F" w:rsidRPr="009201F1">
        <w:t>)</w:t>
      </w:r>
      <w:r w:rsidR="00217B93" w:rsidRPr="009201F1">
        <w:t xml:space="preserve"> </w:t>
      </w:r>
      <w:r w:rsidR="001B573F" w:rsidRPr="009201F1">
        <w:t xml:space="preserve"> The contracting officer may include language in Section L (or equivalent in a solicitation for the acquisition of a commercial item) substantially the same as the following when a </w:t>
      </w:r>
      <w:hyperlink r:id="rId11" w:history="1">
        <w:r w:rsidR="001B573F" w:rsidRPr="009201F1">
          <w:rPr>
            <w:rStyle w:val="Hyperlink"/>
          </w:rPr>
          <w:t>DD Form 254</w:t>
        </w:r>
      </w:hyperlink>
      <w:r w:rsidR="001B573F" w:rsidRPr="009201F1">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r w:rsidR="003045DB" w:rsidRPr="009201F1">
        <w:t>.</w:t>
      </w:r>
      <w:r w:rsidR="001B573F" w:rsidRPr="009201F1">
        <w:t>”</w:t>
      </w:r>
    </w:p>
    <w:p w14:paraId="7FE3EA98" w14:textId="7216E6B0" w:rsidR="00BD37E0" w:rsidRPr="009201F1" w:rsidRDefault="00C55B5E" w:rsidP="00977580">
      <w:pPr>
        <w:pStyle w:val="List1"/>
      </w:pPr>
      <w:r w:rsidRPr="009201F1">
        <w:t>(b</w:t>
      </w:r>
      <w:r w:rsidR="0084318F" w:rsidRPr="009201F1">
        <w:t>)</w:t>
      </w:r>
      <w:r w:rsidR="00217B93" w:rsidRPr="009201F1">
        <w:t xml:space="preserve"> </w:t>
      </w:r>
      <w:r w:rsidR="000403B8" w:rsidRPr="009201F1">
        <w:t xml:space="preserve"> </w:t>
      </w:r>
      <w:r w:rsidR="000403B8" w:rsidRPr="009201F1">
        <w:rPr>
          <w:rFonts w:eastAsia="Times New Roman"/>
        </w:rPr>
        <w:t xml:space="preserve">The contracting officer may include a provision substantially the same </w:t>
      </w:r>
      <w:r w:rsidR="00A743B9" w:rsidRPr="009201F1">
        <w:rPr>
          <w:rFonts w:eastAsia="Times New Roman"/>
        </w:rPr>
        <w:t>as the following</w:t>
      </w:r>
      <w:r w:rsidR="000403B8" w:rsidRPr="009201F1">
        <w:rPr>
          <w:rFonts w:eastAsia="Times New Roman"/>
        </w:rPr>
        <w:t>.  When access to classified documents is contemplated, the contracting officer may include a provision substantially the same as the provision with its Alternate I</w:t>
      </w:r>
      <w:r w:rsidR="00466BB6" w:rsidRPr="009201F1">
        <w:rPr>
          <w:rFonts w:eastAsia="Times New Roman"/>
        </w:rPr>
        <w:t>:</w:t>
      </w:r>
    </w:p>
    <w:p w14:paraId="0A67612B" w14:textId="763BB0CC" w:rsidR="009157E6" w:rsidRPr="009201F1" w:rsidRDefault="009157E6" w:rsidP="00977580">
      <w:pPr>
        <w:pStyle w:val="List1"/>
        <w:rPr>
          <w:rFonts w:eastAsia="Times New Roman"/>
          <w:lang w:val="en"/>
        </w:rPr>
      </w:pPr>
      <w:r w:rsidRPr="009201F1">
        <w:rPr>
          <w:rFonts w:eastAsia="Times New Roman"/>
          <w:b/>
          <w:bCs/>
          <w:i/>
          <w:lang w:val="en"/>
        </w:rPr>
        <w:t xml:space="preserve">NOTICE OF PRE-BID/PRE-PROPOSAL CONFERENCE </w:t>
      </w:r>
    </w:p>
    <w:p w14:paraId="3B076FBC" w14:textId="12D02620" w:rsidR="009157E6" w:rsidRPr="009201F1" w:rsidRDefault="009157E6" w:rsidP="00977580">
      <w:pPr>
        <w:pStyle w:val="List1"/>
        <w:rPr>
          <w:rFonts w:eastAsia="Times New Roman"/>
          <w:lang w:val="en"/>
        </w:rPr>
      </w:pPr>
      <w:r w:rsidRPr="009201F1">
        <w:rPr>
          <w:rFonts w:eastAsia="Times New Roman"/>
          <w:lang w:val="en"/>
        </w:rPr>
        <w:t>(a) A pre-bid/pre-proposal conference will be conducted at [insert location including full address] on [insert date] at [insert time] for the purpose of answering questions regarding this solicitation.</w:t>
      </w:r>
    </w:p>
    <w:p w14:paraId="27565338" w14:textId="71CBF598" w:rsidR="009157E6" w:rsidRPr="009201F1" w:rsidRDefault="009157E6" w:rsidP="00977580">
      <w:pPr>
        <w:pStyle w:val="List1"/>
        <w:rPr>
          <w:rFonts w:eastAsia="Times New Roman"/>
          <w:lang w:val="en"/>
        </w:rPr>
      </w:pPr>
      <w:r w:rsidRPr="009201F1">
        <w:rPr>
          <w:rFonts w:eastAsia="Times New Roman"/>
          <w:i/>
          <w:lang w:val="en"/>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p>
    <w:p w14:paraId="35C34F9B" w14:textId="512BB23C" w:rsidR="009157E6" w:rsidRPr="009201F1" w:rsidRDefault="009157E6" w:rsidP="00977580">
      <w:pPr>
        <w:pStyle w:val="List1"/>
        <w:rPr>
          <w:rFonts w:eastAsia="Times New Roman"/>
          <w:lang w:val="en"/>
        </w:rPr>
      </w:pPr>
      <w:r w:rsidRPr="009201F1">
        <w:rPr>
          <w:rFonts w:eastAsia="Times New Roman"/>
          <w:lang w:val="en"/>
        </w:rP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14:paraId="20D1B2FE" w14:textId="150246E4" w:rsidR="009157E6" w:rsidRPr="009201F1" w:rsidRDefault="009157E6" w:rsidP="00977580">
      <w:pPr>
        <w:pStyle w:val="List1"/>
        <w:rPr>
          <w:rFonts w:eastAsia="Times New Roman"/>
          <w:i/>
          <w:lang w:val="en"/>
        </w:rPr>
      </w:pPr>
      <w:r w:rsidRPr="009201F1">
        <w:rPr>
          <w:rFonts w:eastAsia="Times New Roman"/>
          <w:i/>
          <w:lang w:val="en"/>
        </w:rPr>
        <w:t>(d) A record of the conference shall be made and furnished to all prospective bidders/offerors. The record should include minutes of the meeting, including questions (on a non-attribution basis) and answers.</w:t>
      </w:r>
    </w:p>
    <w:p w14:paraId="6DEDB31E" w14:textId="6EB04883" w:rsidR="009157E6" w:rsidRPr="009201F1" w:rsidRDefault="009157E6" w:rsidP="00977580">
      <w:pPr>
        <w:pStyle w:val="List1"/>
        <w:rPr>
          <w:rFonts w:eastAsia="Times New Roman"/>
          <w:lang w:val="en"/>
        </w:rPr>
      </w:pPr>
      <w:r w:rsidRPr="009201F1">
        <w:rPr>
          <w:rFonts w:eastAsia="Times New Roman"/>
          <w:b/>
          <w:i/>
          <w:lang w:val="en"/>
        </w:rPr>
        <w:t>ALTERNATE I</w:t>
      </w:r>
      <w:r w:rsidRPr="009201F1">
        <w:rPr>
          <w:rFonts w:eastAsia="Times New Roman"/>
          <w:i/>
          <w:lang w:val="en"/>
        </w:rPr>
        <w:t>. If access to classified documents is contemplated, the contracting officer may add substantially the same as the following paragraphs (e) and (f) to the basic provision:</w:t>
      </w:r>
    </w:p>
    <w:p w14:paraId="329BD980" w14:textId="77777777" w:rsidR="00466BB6" w:rsidRPr="009201F1" w:rsidRDefault="009157E6" w:rsidP="00977580">
      <w:pPr>
        <w:pStyle w:val="List1"/>
        <w:rPr>
          <w:rFonts w:eastAsia="Times New Roman"/>
          <w:lang w:val="en"/>
        </w:rPr>
      </w:pPr>
      <w:r w:rsidRPr="009201F1">
        <w:rPr>
          <w:rFonts w:eastAsia="Times New Roman"/>
          <w:lang w:val="en"/>
        </w:rPr>
        <w:t>(e) To receive classified documents the recipient must have a security clearance of at least [insert classification] and authorization to act as courier. Security clearance and courier authorization must be on file at the fo</w:t>
      </w:r>
      <w:r w:rsidR="00466BB6" w:rsidRPr="009201F1">
        <w:rPr>
          <w:rFonts w:eastAsia="Times New Roman"/>
          <w:lang w:val="en"/>
        </w:rPr>
        <w:t xml:space="preserve">llowing mailing address:  </w:t>
      </w:r>
    </w:p>
    <w:p w14:paraId="6375E089" w14:textId="22E126D7" w:rsidR="009157E6" w:rsidRPr="009201F1" w:rsidRDefault="009157E6" w:rsidP="00977580">
      <w:pPr>
        <w:pStyle w:val="List1"/>
        <w:rPr>
          <w:rFonts w:eastAsia="Times New Roman"/>
          <w:lang w:val="en"/>
        </w:rPr>
      </w:pPr>
      <w:r w:rsidRPr="009201F1">
        <w:rPr>
          <w:rFonts w:eastAsia="Times New Roman"/>
          <w:i/>
          <w:lang w:val="en"/>
        </w:rPr>
        <w:t>[</w:t>
      </w:r>
      <w:r w:rsidRPr="009201F1">
        <w:rPr>
          <w:rFonts w:eastAsia="Times New Roman"/>
          <w:i/>
          <w:iCs/>
          <w:lang w:val="en"/>
        </w:rPr>
        <w:t>insert address of organization responsible for this information</w:t>
      </w:r>
      <w:r w:rsidRPr="009201F1">
        <w:rPr>
          <w:rFonts w:eastAsia="Times New Roman"/>
          <w:i/>
          <w:lang w:val="en"/>
        </w:rPr>
        <w:t>]</w:t>
      </w:r>
    </w:p>
    <w:p w14:paraId="3C33CD39" w14:textId="7E55D916" w:rsidR="009157E6" w:rsidRPr="009201F1" w:rsidRDefault="009157E6" w:rsidP="00977580">
      <w:pPr>
        <w:pStyle w:val="List1"/>
        <w:rPr>
          <w:rFonts w:eastAsia="Times New Roman"/>
          <w:lang w:val="en"/>
        </w:rPr>
      </w:pPr>
      <w:r w:rsidRPr="009201F1">
        <w:rPr>
          <w:rFonts w:eastAsia="Times New Roman"/>
          <w:lang w:val="en"/>
        </w:rPr>
        <w:t>(f) The classification of this conference is [</w:t>
      </w:r>
      <w:r w:rsidRPr="009201F1">
        <w:rPr>
          <w:rFonts w:eastAsia="Times New Roman"/>
          <w:iCs/>
          <w:lang w:val="en"/>
        </w:rPr>
        <w:t>insert classification</w:t>
      </w:r>
      <w:r w:rsidRPr="009201F1">
        <w:rPr>
          <w:rFonts w:eastAsia="Times New Roman"/>
          <w:lang w:val="en"/>
        </w:rPr>
        <w:t>].</w:t>
      </w:r>
    </w:p>
    <w:p w14:paraId="11FD1CFD" w14:textId="77777777" w:rsidR="001C3F4E" w:rsidRPr="009201F1" w:rsidRDefault="00884977" w:rsidP="001944F6">
      <w:pPr>
        <w:spacing w:after="0"/>
        <w:jc w:val="center"/>
        <w:rPr>
          <w:rFonts w:eastAsia="Times New Roman"/>
          <w:i/>
          <w:lang w:val="en"/>
        </w:rPr>
      </w:pPr>
      <w:r w:rsidRPr="009201F1">
        <w:rPr>
          <w:rFonts w:eastAsia="Times New Roman"/>
          <w:i/>
          <w:lang w:val="en"/>
        </w:rPr>
        <w:t>{End of Provision}</w:t>
      </w:r>
      <w:bookmarkStart w:id="2" w:name="_AF_PGI_5315.371-5"/>
      <w:bookmarkEnd w:id="2"/>
    </w:p>
    <w:p w14:paraId="5BCD40FD" w14:textId="77777777" w:rsidR="001C3F4E" w:rsidRPr="009201F1" w:rsidRDefault="00D906DB" w:rsidP="00977580">
      <w:pPr>
        <w:pStyle w:val="Heading3"/>
      </w:pPr>
      <w:r w:rsidRPr="009201F1">
        <w:rPr>
          <w:sz w:val="22"/>
          <w:szCs w:val="22"/>
        </w:rPr>
        <w:lastRenderedPageBreak/>
        <w:t xml:space="preserve">AF PGI 5315.371-5 </w:t>
      </w:r>
      <w:r w:rsidR="007B05B2" w:rsidRPr="009201F1">
        <w:rPr>
          <w:sz w:val="22"/>
          <w:szCs w:val="22"/>
        </w:rPr>
        <w:t xml:space="preserve">  </w:t>
      </w:r>
      <w:r w:rsidRPr="009201F1">
        <w:rPr>
          <w:sz w:val="22"/>
          <w:szCs w:val="22"/>
        </w:rPr>
        <w:t>Waiver</w:t>
      </w:r>
    </w:p>
    <w:p w14:paraId="2A5F020A" w14:textId="77777777" w:rsidR="001C3F4E" w:rsidRPr="009201F1" w:rsidRDefault="006059B6" w:rsidP="00977580">
      <w:pPr>
        <w:pStyle w:val="List1"/>
      </w:pPr>
      <w:r w:rsidRPr="009201F1">
        <w:rPr>
          <w:sz w:val="22"/>
          <w:szCs w:val="22"/>
        </w:rPr>
        <w:t xml:space="preserve">(a) </w:t>
      </w:r>
      <w:r w:rsidR="00D906DB" w:rsidRPr="009201F1">
        <w:rPr>
          <w:sz w:val="22"/>
          <w:szCs w:val="22"/>
        </w:rPr>
        <w:t xml:space="preserve">When a waiver to the requirement at DFARS 215.371-2 is sought, the </w:t>
      </w:r>
      <w:r w:rsidR="00C72D78" w:rsidRPr="009201F1">
        <w:rPr>
          <w:sz w:val="22"/>
          <w:szCs w:val="22"/>
        </w:rPr>
        <w:t>c</w:t>
      </w:r>
      <w:r w:rsidR="00D906DB" w:rsidRPr="009201F1">
        <w:rPr>
          <w:sz w:val="22"/>
          <w:szCs w:val="22"/>
        </w:rPr>
        <w:t xml:space="preserve">ontracting </w:t>
      </w:r>
      <w:r w:rsidR="00C72D78" w:rsidRPr="009201F1">
        <w:rPr>
          <w:sz w:val="22"/>
          <w:szCs w:val="22"/>
        </w:rPr>
        <w:t>o</w:t>
      </w:r>
      <w:r w:rsidR="00D906DB" w:rsidRPr="009201F1">
        <w:rPr>
          <w:sz w:val="22"/>
          <w:szCs w:val="22"/>
        </w:rPr>
        <w:t xml:space="preserve">fficer </w:t>
      </w:r>
      <w:r w:rsidR="000F34FF" w:rsidRPr="009201F1">
        <w:rPr>
          <w:sz w:val="22"/>
          <w:szCs w:val="22"/>
        </w:rPr>
        <w:t xml:space="preserve">should </w:t>
      </w:r>
      <w:r w:rsidR="00D906DB" w:rsidRPr="009201F1">
        <w:rPr>
          <w:sz w:val="22"/>
          <w:szCs w:val="22"/>
        </w:rPr>
        <w:t>provide the following documentation to support the waiver request:</w:t>
      </w:r>
    </w:p>
    <w:p w14:paraId="1F381F62" w14:textId="77777777" w:rsidR="001C3F4E" w:rsidRPr="009201F1" w:rsidRDefault="00977580" w:rsidP="00977580">
      <w:pPr>
        <w:pStyle w:val="List2"/>
      </w:pPr>
      <w:r w:rsidRPr="009201F1">
        <w:rPr>
          <w:rFonts w:eastAsia="Times New Roman"/>
          <w:spacing w:val="-1"/>
          <w:w w:val="99"/>
          <w:szCs w:val="24"/>
        </w:rPr>
        <w:t>(1)</w:t>
      </w:r>
      <w:r w:rsidRPr="009201F1">
        <w:rPr>
          <w:rFonts w:eastAsia="Times New Roman"/>
          <w:spacing w:val="-1"/>
          <w:w w:val="99"/>
          <w:szCs w:val="24"/>
        </w:rPr>
        <w:tab/>
      </w:r>
      <w:r w:rsidR="00D906DB" w:rsidRPr="009201F1">
        <w:t>Summary</w:t>
      </w:r>
      <w:r w:rsidR="00D906DB" w:rsidRPr="009201F1">
        <w:rPr>
          <w:spacing w:val="-16"/>
        </w:rPr>
        <w:t xml:space="preserve"> </w:t>
      </w:r>
      <w:r w:rsidR="00D906DB" w:rsidRPr="009201F1">
        <w:t>of</w:t>
      </w:r>
      <w:r w:rsidR="00D906DB" w:rsidRPr="009201F1">
        <w:rPr>
          <w:spacing w:val="-8"/>
        </w:rPr>
        <w:t xml:space="preserve"> </w:t>
      </w:r>
      <w:r w:rsidR="00D906DB" w:rsidRPr="009201F1">
        <w:t>market</w:t>
      </w:r>
      <w:r w:rsidR="00D906DB" w:rsidRPr="009201F1">
        <w:rPr>
          <w:spacing w:val="-7"/>
        </w:rPr>
        <w:t xml:space="preserve"> </w:t>
      </w:r>
      <w:r w:rsidR="00D906DB" w:rsidRPr="009201F1">
        <w:t>research</w:t>
      </w:r>
      <w:r w:rsidR="00D906DB" w:rsidRPr="009201F1">
        <w:rPr>
          <w:spacing w:val="-7"/>
        </w:rPr>
        <w:t xml:space="preserve"> </w:t>
      </w:r>
      <w:r w:rsidR="00D906DB" w:rsidRPr="009201F1">
        <w:t>that</w:t>
      </w:r>
      <w:r w:rsidR="00D906DB" w:rsidRPr="009201F1">
        <w:rPr>
          <w:spacing w:val="-7"/>
        </w:rPr>
        <w:t xml:space="preserve"> </w:t>
      </w:r>
      <w:r w:rsidR="00D906DB" w:rsidRPr="009201F1">
        <w:t>documents</w:t>
      </w:r>
      <w:r w:rsidR="00D906DB" w:rsidRPr="009201F1">
        <w:rPr>
          <w:spacing w:val="-10"/>
        </w:rPr>
        <w:t xml:space="preserve"> </w:t>
      </w:r>
      <w:r w:rsidR="00D906DB" w:rsidRPr="009201F1">
        <w:t>that</w:t>
      </w:r>
      <w:r w:rsidR="00D906DB" w:rsidRPr="009201F1">
        <w:rPr>
          <w:spacing w:val="-7"/>
        </w:rPr>
        <w:t xml:space="preserve"> </w:t>
      </w:r>
      <w:r w:rsidR="00D906DB" w:rsidRPr="009201F1">
        <w:t>competition</w:t>
      </w:r>
      <w:r w:rsidR="00D906DB" w:rsidRPr="009201F1">
        <w:rPr>
          <w:spacing w:val="-7"/>
        </w:rPr>
        <w:t xml:space="preserve"> </w:t>
      </w:r>
      <w:r w:rsidR="00D906DB" w:rsidRPr="009201F1">
        <w:t>was</w:t>
      </w:r>
      <w:r w:rsidR="00D906DB" w:rsidRPr="009201F1">
        <w:rPr>
          <w:spacing w:val="-7"/>
        </w:rPr>
        <w:t xml:space="preserve"> </w:t>
      </w:r>
      <w:r w:rsidR="00D906DB" w:rsidRPr="009201F1">
        <w:t>anticipated,</w:t>
      </w:r>
      <w:r w:rsidR="00D906DB" w:rsidRPr="009201F1">
        <w:rPr>
          <w:spacing w:val="-7"/>
        </w:rPr>
        <w:t xml:space="preserve"> </w:t>
      </w:r>
      <w:r w:rsidR="00D906DB" w:rsidRPr="009201F1">
        <w:t>process</w:t>
      </w:r>
      <w:r w:rsidR="00D906DB" w:rsidRPr="009201F1">
        <w:rPr>
          <w:spacing w:val="-10"/>
        </w:rPr>
        <w:t xml:space="preserve"> </w:t>
      </w:r>
      <w:r w:rsidR="00D906DB" w:rsidRPr="009201F1">
        <w:t>used to</w:t>
      </w:r>
      <w:r w:rsidR="00D906DB" w:rsidRPr="009201F1">
        <w:rPr>
          <w:spacing w:val="-9"/>
        </w:rPr>
        <w:t xml:space="preserve"> </w:t>
      </w:r>
      <w:r w:rsidR="00D906DB" w:rsidRPr="009201F1">
        <w:t>maximize</w:t>
      </w:r>
      <w:r w:rsidR="00D906DB" w:rsidRPr="009201F1">
        <w:rPr>
          <w:spacing w:val="-10"/>
        </w:rPr>
        <w:t xml:space="preserve"> </w:t>
      </w:r>
      <w:r w:rsidR="00D906DB" w:rsidRPr="009201F1">
        <w:t>competition</w:t>
      </w:r>
      <w:r w:rsidR="00D906DB" w:rsidRPr="009201F1">
        <w:rPr>
          <w:spacing w:val="-13"/>
        </w:rPr>
        <w:t xml:space="preserve"> </w:t>
      </w:r>
      <w:r w:rsidR="00D906DB" w:rsidRPr="009201F1">
        <w:t>pre-solicitation,</w:t>
      </w:r>
      <w:r w:rsidR="00D906DB" w:rsidRPr="009201F1">
        <w:rPr>
          <w:spacing w:val="-9"/>
        </w:rPr>
        <w:t xml:space="preserve"> </w:t>
      </w:r>
      <w:r w:rsidR="00D906DB" w:rsidRPr="009201F1">
        <w:t>and</w:t>
      </w:r>
      <w:r w:rsidR="00D906DB" w:rsidRPr="009201F1">
        <w:rPr>
          <w:spacing w:val="-9"/>
        </w:rPr>
        <w:t xml:space="preserve"> </w:t>
      </w:r>
      <w:r w:rsidR="00D906DB" w:rsidRPr="009201F1">
        <w:t>description</w:t>
      </w:r>
      <w:r w:rsidR="00D906DB" w:rsidRPr="009201F1">
        <w:rPr>
          <w:spacing w:val="-9"/>
        </w:rPr>
        <w:t xml:space="preserve"> </w:t>
      </w:r>
      <w:r w:rsidR="00D906DB" w:rsidRPr="009201F1">
        <w:t>of</w:t>
      </w:r>
      <w:r w:rsidR="00D906DB" w:rsidRPr="009201F1">
        <w:rPr>
          <w:spacing w:val="-13"/>
        </w:rPr>
        <w:t xml:space="preserve"> </w:t>
      </w:r>
      <w:r w:rsidR="00D906DB" w:rsidRPr="009201F1">
        <w:t>solicitation</w:t>
      </w:r>
      <w:r w:rsidR="00D906DB" w:rsidRPr="009201F1">
        <w:rPr>
          <w:spacing w:val="-12"/>
        </w:rPr>
        <w:t xml:space="preserve"> </w:t>
      </w:r>
      <w:r w:rsidR="00D906DB" w:rsidRPr="009201F1">
        <w:t>method;</w:t>
      </w:r>
    </w:p>
    <w:p w14:paraId="28B35EF4" w14:textId="77777777" w:rsidR="001C3F4E" w:rsidRPr="009201F1" w:rsidRDefault="00977580" w:rsidP="00977580">
      <w:pPr>
        <w:pStyle w:val="List2"/>
      </w:pPr>
      <w:r w:rsidRPr="009201F1">
        <w:rPr>
          <w:rFonts w:eastAsia="Times New Roman"/>
          <w:spacing w:val="-1"/>
          <w:w w:val="99"/>
          <w:szCs w:val="24"/>
        </w:rPr>
        <w:t>(2)</w:t>
      </w:r>
      <w:r w:rsidRPr="009201F1">
        <w:rPr>
          <w:rFonts w:eastAsia="Times New Roman"/>
          <w:spacing w:val="-1"/>
          <w:w w:val="99"/>
          <w:szCs w:val="24"/>
        </w:rPr>
        <w:tab/>
      </w:r>
      <w:r w:rsidR="00D906DB" w:rsidRPr="009201F1">
        <w:t>Rationale</w:t>
      </w:r>
      <w:r w:rsidR="00D906DB" w:rsidRPr="009201F1">
        <w:rPr>
          <w:spacing w:val="-3"/>
        </w:rPr>
        <w:t xml:space="preserve"> </w:t>
      </w:r>
      <w:r w:rsidR="00D906DB" w:rsidRPr="009201F1">
        <w:t>why</w:t>
      </w:r>
      <w:r w:rsidR="00D906DB" w:rsidRPr="009201F1">
        <w:rPr>
          <w:spacing w:val="-14"/>
        </w:rPr>
        <w:t xml:space="preserve"> </w:t>
      </w:r>
      <w:r w:rsidR="00D906DB" w:rsidRPr="009201F1">
        <w:t>re-advertising</w:t>
      </w:r>
      <w:r w:rsidR="00D906DB" w:rsidRPr="009201F1">
        <w:rPr>
          <w:spacing w:val="-7"/>
        </w:rPr>
        <w:t xml:space="preserve"> </w:t>
      </w:r>
      <w:r w:rsidR="00D906DB" w:rsidRPr="009201F1">
        <w:t>for</w:t>
      </w:r>
      <w:r w:rsidR="00D906DB" w:rsidRPr="009201F1">
        <w:rPr>
          <w:spacing w:val="-3"/>
        </w:rPr>
        <w:t xml:space="preserve"> </w:t>
      </w:r>
      <w:r w:rsidR="00D906DB" w:rsidRPr="009201F1">
        <w:t>an</w:t>
      </w:r>
      <w:r w:rsidR="00D906DB" w:rsidRPr="009201F1">
        <w:rPr>
          <w:spacing w:val="-2"/>
        </w:rPr>
        <w:t xml:space="preserve"> </w:t>
      </w:r>
      <w:r w:rsidR="00D906DB" w:rsidRPr="009201F1">
        <w:t>additional</w:t>
      </w:r>
      <w:r w:rsidR="00D906DB" w:rsidRPr="009201F1">
        <w:rPr>
          <w:spacing w:val="-2"/>
        </w:rPr>
        <w:t xml:space="preserve"> </w:t>
      </w:r>
      <w:r w:rsidR="00D906DB" w:rsidRPr="009201F1">
        <w:t>30</w:t>
      </w:r>
      <w:r w:rsidR="00D906DB" w:rsidRPr="009201F1">
        <w:rPr>
          <w:spacing w:val="-2"/>
        </w:rPr>
        <w:t xml:space="preserve"> </w:t>
      </w:r>
      <w:r w:rsidR="00D906DB" w:rsidRPr="009201F1">
        <w:rPr>
          <w:spacing w:val="-3"/>
        </w:rPr>
        <w:t>days</w:t>
      </w:r>
      <w:r w:rsidR="00D906DB" w:rsidRPr="009201F1">
        <w:rPr>
          <w:spacing w:val="-2"/>
        </w:rPr>
        <w:t xml:space="preserve"> </w:t>
      </w:r>
      <w:r w:rsidR="00D906DB" w:rsidRPr="009201F1">
        <w:t>will</w:t>
      </w:r>
      <w:r w:rsidR="00D906DB" w:rsidRPr="009201F1">
        <w:rPr>
          <w:spacing w:val="-2"/>
        </w:rPr>
        <w:t xml:space="preserve"> </w:t>
      </w:r>
      <w:r w:rsidR="00D906DB" w:rsidRPr="009201F1">
        <w:t>likely</w:t>
      </w:r>
      <w:r w:rsidR="00D906DB" w:rsidRPr="009201F1">
        <w:rPr>
          <w:spacing w:val="-14"/>
        </w:rPr>
        <w:t xml:space="preserve"> </w:t>
      </w:r>
      <w:r w:rsidR="00D906DB" w:rsidRPr="009201F1">
        <w:t>not</w:t>
      </w:r>
      <w:r w:rsidR="00D906DB" w:rsidRPr="009201F1">
        <w:rPr>
          <w:spacing w:val="-2"/>
        </w:rPr>
        <w:t xml:space="preserve"> </w:t>
      </w:r>
      <w:r w:rsidR="00D906DB" w:rsidRPr="009201F1">
        <w:t>obtain</w:t>
      </w:r>
      <w:r w:rsidR="00D906DB" w:rsidRPr="009201F1">
        <w:rPr>
          <w:spacing w:val="-2"/>
        </w:rPr>
        <w:t xml:space="preserve"> </w:t>
      </w:r>
      <w:r w:rsidR="00D906DB" w:rsidRPr="009201F1">
        <w:t>two</w:t>
      </w:r>
      <w:r w:rsidR="00D906DB" w:rsidRPr="009201F1">
        <w:rPr>
          <w:spacing w:val="-2"/>
        </w:rPr>
        <w:t xml:space="preserve"> </w:t>
      </w:r>
      <w:r w:rsidR="00D906DB" w:rsidRPr="009201F1">
        <w:t>or more</w:t>
      </w:r>
      <w:r w:rsidR="00D906DB" w:rsidRPr="009201F1">
        <w:rPr>
          <w:spacing w:val="-12"/>
        </w:rPr>
        <w:t xml:space="preserve"> </w:t>
      </w:r>
      <w:r w:rsidR="00D906DB" w:rsidRPr="009201F1">
        <w:t>offers.</w:t>
      </w:r>
    </w:p>
    <w:p w14:paraId="449D457C" w14:textId="77777777" w:rsidR="001C3F4E" w:rsidRPr="009201F1" w:rsidRDefault="00977580" w:rsidP="00977580">
      <w:pPr>
        <w:pStyle w:val="List2"/>
      </w:pPr>
      <w:r w:rsidRPr="009201F1">
        <w:rPr>
          <w:rFonts w:eastAsia="Times New Roman"/>
          <w:spacing w:val="-1"/>
          <w:w w:val="99"/>
          <w:szCs w:val="24"/>
        </w:rPr>
        <w:t>(3)</w:t>
      </w:r>
      <w:r w:rsidRPr="009201F1">
        <w:rPr>
          <w:rFonts w:eastAsia="Times New Roman"/>
          <w:spacing w:val="-1"/>
          <w:w w:val="99"/>
          <w:szCs w:val="24"/>
        </w:rPr>
        <w:tab/>
      </w:r>
      <w:r w:rsidR="00D906DB" w:rsidRPr="009201F1">
        <w:t>Rationale</w:t>
      </w:r>
      <w:r w:rsidR="00D906DB" w:rsidRPr="009201F1">
        <w:rPr>
          <w:spacing w:val="-5"/>
        </w:rPr>
        <w:t xml:space="preserve"> </w:t>
      </w:r>
      <w:r w:rsidR="00D906DB" w:rsidRPr="009201F1">
        <w:t>for</w:t>
      </w:r>
      <w:r w:rsidR="00D906DB" w:rsidRPr="009201F1">
        <w:rPr>
          <w:spacing w:val="-5"/>
        </w:rPr>
        <w:t xml:space="preserve"> </w:t>
      </w:r>
      <w:r w:rsidR="00D906DB" w:rsidRPr="009201F1">
        <w:t>how</w:t>
      </w:r>
      <w:r w:rsidR="00D906DB" w:rsidRPr="009201F1">
        <w:rPr>
          <w:spacing w:val="-5"/>
        </w:rPr>
        <w:t xml:space="preserve"> </w:t>
      </w:r>
      <w:r w:rsidR="00D906DB" w:rsidRPr="009201F1">
        <w:t>the</w:t>
      </w:r>
      <w:r w:rsidR="00D906DB" w:rsidRPr="009201F1">
        <w:rPr>
          <w:spacing w:val="-8"/>
        </w:rPr>
        <w:t xml:space="preserve"> </w:t>
      </w:r>
      <w:r w:rsidR="00D906DB" w:rsidRPr="009201F1">
        <w:t>price/cost</w:t>
      </w:r>
      <w:r w:rsidR="00D906DB" w:rsidRPr="009201F1">
        <w:rPr>
          <w:spacing w:val="-4"/>
        </w:rPr>
        <w:t xml:space="preserve"> </w:t>
      </w:r>
      <w:r w:rsidR="00D906DB" w:rsidRPr="009201F1">
        <w:t>will</w:t>
      </w:r>
      <w:r w:rsidR="00D906DB" w:rsidRPr="009201F1">
        <w:rPr>
          <w:spacing w:val="-4"/>
        </w:rPr>
        <w:t xml:space="preserve"> </w:t>
      </w:r>
      <w:r w:rsidR="00D906DB" w:rsidRPr="009201F1">
        <w:t>be</w:t>
      </w:r>
      <w:r w:rsidR="00D906DB" w:rsidRPr="009201F1">
        <w:rPr>
          <w:spacing w:val="-5"/>
        </w:rPr>
        <w:t xml:space="preserve"> </w:t>
      </w:r>
      <w:r w:rsidR="00D906DB" w:rsidRPr="009201F1">
        <w:t>determined</w:t>
      </w:r>
      <w:r w:rsidR="00D906DB" w:rsidRPr="009201F1">
        <w:rPr>
          <w:spacing w:val="-4"/>
        </w:rPr>
        <w:t xml:space="preserve"> </w:t>
      </w:r>
      <w:r w:rsidR="00D906DB" w:rsidRPr="009201F1">
        <w:t>fair</w:t>
      </w:r>
      <w:r w:rsidR="00D906DB" w:rsidRPr="009201F1">
        <w:rPr>
          <w:spacing w:val="-5"/>
        </w:rPr>
        <w:t xml:space="preserve"> </w:t>
      </w:r>
      <w:r w:rsidR="00D906DB" w:rsidRPr="009201F1">
        <w:t>and</w:t>
      </w:r>
      <w:r w:rsidR="00D906DB" w:rsidRPr="009201F1">
        <w:rPr>
          <w:spacing w:val="-4"/>
        </w:rPr>
        <w:t xml:space="preserve"> </w:t>
      </w:r>
      <w:r w:rsidR="00D906DB" w:rsidRPr="009201F1">
        <w:t>reasonable</w:t>
      </w:r>
      <w:r w:rsidR="00D906DB" w:rsidRPr="009201F1">
        <w:rPr>
          <w:spacing w:val="-5"/>
        </w:rPr>
        <w:t xml:space="preserve"> </w:t>
      </w:r>
      <w:r w:rsidR="00D906DB" w:rsidRPr="009201F1">
        <w:t>with</w:t>
      </w:r>
      <w:r w:rsidR="00D906DB" w:rsidRPr="009201F1">
        <w:rPr>
          <w:spacing w:val="-4"/>
        </w:rPr>
        <w:t xml:space="preserve"> </w:t>
      </w:r>
      <w:r w:rsidR="00D906DB" w:rsidRPr="009201F1">
        <w:t>only one</w:t>
      </w:r>
      <w:r w:rsidR="00D906DB" w:rsidRPr="009201F1">
        <w:rPr>
          <w:spacing w:val="-4"/>
        </w:rPr>
        <w:t xml:space="preserve"> </w:t>
      </w:r>
      <w:r w:rsidR="00D906DB" w:rsidRPr="009201F1">
        <w:t>offeror.</w:t>
      </w:r>
      <w:bookmarkStart w:id="3" w:name="_AF_PGI_5315.402-90"/>
      <w:bookmarkEnd w:id="3"/>
    </w:p>
    <w:p w14:paraId="551A584F" w14:textId="77777777" w:rsidR="001C3F4E" w:rsidRPr="009201F1" w:rsidRDefault="003045DB" w:rsidP="00977580">
      <w:pPr>
        <w:pStyle w:val="Heading3"/>
        <w:rPr>
          <w:rFonts w:eastAsia="Times New Roman"/>
          <w:lang w:val="en"/>
        </w:rPr>
      </w:pPr>
      <w:r w:rsidRPr="009201F1">
        <w:rPr>
          <w:rFonts w:eastAsia="Times New Roman"/>
          <w:lang w:val="en"/>
        </w:rPr>
        <w:t xml:space="preserve">AF PGI </w:t>
      </w:r>
      <w:r w:rsidR="00D13F42" w:rsidRPr="009201F1">
        <w:rPr>
          <w:rFonts w:eastAsia="Times New Roman"/>
          <w:lang w:val="en"/>
        </w:rPr>
        <w:t>5315.4</w:t>
      </w:r>
      <w:r w:rsidR="003F73D2" w:rsidRPr="009201F1">
        <w:rPr>
          <w:rFonts w:eastAsia="Times New Roman"/>
          <w:lang w:val="en"/>
        </w:rPr>
        <w:t>02-90</w:t>
      </w:r>
      <w:r w:rsidR="00D13F42" w:rsidRPr="009201F1">
        <w:rPr>
          <w:rFonts w:eastAsia="Times New Roman"/>
          <w:lang w:val="en"/>
        </w:rPr>
        <w:t xml:space="preserve"> </w:t>
      </w:r>
      <w:r w:rsidR="007B05B2" w:rsidRPr="009201F1">
        <w:rPr>
          <w:rFonts w:eastAsia="Times New Roman"/>
          <w:lang w:val="en"/>
        </w:rPr>
        <w:t xml:space="preserve">  </w:t>
      </w:r>
      <w:r w:rsidR="00D13F42" w:rsidRPr="009201F1">
        <w:rPr>
          <w:rFonts w:eastAsia="Times New Roman"/>
          <w:lang w:val="en"/>
        </w:rPr>
        <w:t>Pricing</w:t>
      </w:r>
      <w:r w:rsidR="003F73D2" w:rsidRPr="009201F1">
        <w:rPr>
          <w:rFonts w:eastAsia="Times New Roman"/>
          <w:lang w:val="en"/>
        </w:rPr>
        <w:t xml:space="preserve"> Policy</w:t>
      </w:r>
    </w:p>
    <w:p w14:paraId="6617AE93" w14:textId="77777777" w:rsidR="001C3F4E" w:rsidRPr="009201F1" w:rsidRDefault="00A131EA" w:rsidP="00977580">
      <w:pPr>
        <w:pStyle w:val="List1"/>
        <w:rPr>
          <w:rFonts w:eastAsia="Times New Roman"/>
        </w:rPr>
      </w:pPr>
      <w:r w:rsidRPr="009201F1">
        <w:rPr>
          <w:rFonts w:eastAsia="Times New Roman"/>
          <w:bCs/>
        </w:rPr>
        <w:t>(a)</w:t>
      </w:r>
      <w:r w:rsidR="004B03EB" w:rsidRPr="009201F1">
        <w:rPr>
          <w:rFonts w:eastAsia="Times New Roman"/>
          <w:bCs/>
        </w:rPr>
        <w:t xml:space="preserve"> </w:t>
      </w:r>
      <w:r w:rsidR="00BC2098" w:rsidRPr="009201F1">
        <w:rPr>
          <w:rFonts w:eastAsia="Times New Roman"/>
          <w:bCs/>
        </w:rPr>
        <w:t>Proposal Kick-Off and Proposal Walk-Through Meetings.</w:t>
      </w:r>
      <w:r w:rsidR="00BC2098" w:rsidRPr="009201F1">
        <w:rPr>
          <w:rFonts w:eastAsia="Times New Roman"/>
          <w:b/>
          <w:bCs/>
        </w:rPr>
        <w:t xml:space="preserve"> </w:t>
      </w:r>
      <w:r w:rsidR="00BC2098" w:rsidRPr="009201F1">
        <w:rPr>
          <w:rFonts w:eastAsia="Times New Roman"/>
        </w:rPr>
        <w:t xml:space="preserve">For sole source contract actions and </w:t>
      </w:r>
      <w:r w:rsidR="002119B6" w:rsidRPr="009201F1">
        <w:rPr>
          <w:rFonts w:eastAsia="Times New Roman"/>
        </w:rPr>
        <w:t>undefinitized contractual actions (</w:t>
      </w:r>
      <w:r w:rsidR="00BC2098" w:rsidRPr="009201F1">
        <w:rPr>
          <w:rFonts w:eastAsia="Times New Roman"/>
        </w:rPr>
        <w:t>UCA</w:t>
      </w:r>
      <w:r w:rsidR="002119B6" w:rsidRPr="009201F1">
        <w:rPr>
          <w:rFonts w:eastAsia="Times New Roman"/>
        </w:rPr>
        <w:t>)</w:t>
      </w:r>
      <w:r w:rsidR="00BC2098" w:rsidRPr="009201F1">
        <w:rPr>
          <w:rFonts w:eastAsia="Times New Roman"/>
        </w:rPr>
        <w:t xml:space="preserve">, contracting officers should </w:t>
      </w:r>
      <w:r w:rsidR="002119B6" w:rsidRPr="009201F1">
        <w:rPr>
          <w:rFonts w:eastAsia="Times New Roman"/>
        </w:rPr>
        <w:t>consider</w:t>
      </w:r>
      <w:r w:rsidR="006E48E1" w:rsidRPr="009201F1">
        <w:rPr>
          <w:rFonts w:eastAsia="Times New Roman"/>
        </w:rPr>
        <w:t>:</w:t>
      </w:r>
    </w:p>
    <w:p w14:paraId="65F2ADF4" w14:textId="77777777" w:rsidR="001C3F4E" w:rsidRPr="009201F1" w:rsidRDefault="00A131EA" w:rsidP="00977580">
      <w:pPr>
        <w:pStyle w:val="List2"/>
      </w:pPr>
      <w:r w:rsidRPr="009201F1">
        <w:rPr>
          <w:rFonts w:eastAsia="Times New Roman"/>
        </w:rPr>
        <w:lastRenderedPageBreak/>
        <w:t>(1)</w:t>
      </w:r>
      <w:r w:rsidR="00BC2098" w:rsidRPr="009201F1">
        <w:rPr>
          <w:rFonts w:eastAsia="Times New Roman"/>
        </w:rPr>
        <w:t xml:space="preserve"> Schedul</w:t>
      </w:r>
      <w:r w:rsidR="002119B6" w:rsidRPr="009201F1">
        <w:rPr>
          <w:rFonts w:eastAsia="Times New Roman"/>
        </w:rPr>
        <w:t>ing</w:t>
      </w:r>
      <w:r w:rsidR="00BC2098" w:rsidRPr="009201F1">
        <w:rPr>
          <w:rFonts w:eastAsia="Times New Roman"/>
        </w:rPr>
        <w:t xml:space="preserve"> a proposal kick-off meeting as soon as practicable after issuance of the RFP (or Draft RFP if appropriate) to discuss: </w:t>
      </w:r>
    </w:p>
    <w:p w14:paraId="6B3E879C" w14:textId="77777777" w:rsidR="001C3F4E" w:rsidRPr="009201F1" w:rsidRDefault="00A131EA" w:rsidP="00977580">
      <w:pPr>
        <w:pStyle w:val="List3"/>
      </w:pPr>
      <w:r w:rsidRPr="009201F1">
        <w:rPr>
          <w:rFonts w:eastAsia="Times New Roman"/>
        </w:rPr>
        <w:t>(</w:t>
      </w:r>
      <w:proofErr w:type="spellStart"/>
      <w:r w:rsidRPr="009201F1">
        <w:rPr>
          <w:rFonts w:eastAsia="Times New Roman"/>
        </w:rPr>
        <w:t>i</w:t>
      </w:r>
      <w:proofErr w:type="spellEnd"/>
      <w:r w:rsidRPr="009201F1">
        <w:rPr>
          <w:rFonts w:eastAsia="Times New Roman"/>
        </w:rPr>
        <w:t xml:space="preserve">) </w:t>
      </w:r>
      <w:r w:rsidR="00A854A8" w:rsidRPr="009201F1">
        <w:rPr>
          <w:rFonts w:eastAsia="Times New Roman"/>
        </w:rPr>
        <w:t>A</w:t>
      </w:r>
      <w:r w:rsidR="00BC2098" w:rsidRPr="009201F1">
        <w:rPr>
          <w:rFonts w:eastAsia="Times New Roman"/>
        </w:rPr>
        <w:t xml:space="preserve">ward/definitization schedule requirements and expectations on timely contractor support; </w:t>
      </w:r>
    </w:p>
    <w:p w14:paraId="14FF94C1" w14:textId="77777777" w:rsidR="001C3F4E" w:rsidRPr="009201F1" w:rsidRDefault="00A131EA" w:rsidP="00977580">
      <w:pPr>
        <w:pStyle w:val="List3"/>
      </w:pPr>
      <w:r w:rsidRPr="009201F1">
        <w:rPr>
          <w:rFonts w:eastAsia="Times New Roman"/>
        </w:rPr>
        <w:t xml:space="preserve">(ii) </w:t>
      </w:r>
      <w:r w:rsidR="00A854A8" w:rsidRPr="009201F1">
        <w:rPr>
          <w:rFonts w:eastAsia="Times New Roman"/>
        </w:rPr>
        <w:t>T</w:t>
      </w:r>
      <w:r w:rsidR="00BC2098" w:rsidRPr="009201F1">
        <w:rPr>
          <w:rFonts w:eastAsia="Times New Roman"/>
        </w:rPr>
        <w:t>he contractor's spend-plan for obligation limitations in accordance with DFARS 217.7404-4(b); and</w:t>
      </w:r>
    </w:p>
    <w:p w14:paraId="711E8C13" w14:textId="77777777" w:rsidR="001C3F4E" w:rsidRPr="009201F1" w:rsidRDefault="00A131EA" w:rsidP="00977580">
      <w:pPr>
        <w:pStyle w:val="List3"/>
      </w:pPr>
      <w:r w:rsidRPr="009201F1">
        <w:rPr>
          <w:rFonts w:eastAsia="Times New Roman"/>
        </w:rPr>
        <w:t xml:space="preserve">(iii) </w:t>
      </w:r>
      <w:r w:rsidR="00A854A8" w:rsidRPr="009201F1">
        <w:rPr>
          <w:rFonts w:eastAsia="Times New Roman"/>
        </w:rPr>
        <w:t>E</w:t>
      </w:r>
      <w:r w:rsidR="00BC2098" w:rsidRPr="009201F1">
        <w:rPr>
          <w:rFonts w:eastAsia="Times New Roman"/>
        </w:rPr>
        <w:t>xpecte</w:t>
      </w:r>
      <w:r w:rsidRPr="009201F1">
        <w:rPr>
          <w:rFonts w:eastAsia="Times New Roman"/>
        </w:rPr>
        <w:t>d major subcontracts (</w:t>
      </w:r>
      <w:r w:rsidR="00D20C5B" w:rsidRPr="009201F1">
        <w:rPr>
          <w:rFonts w:eastAsia="Times New Roman"/>
        </w:rPr>
        <w:t xml:space="preserve">meets/exceeds threshold </w:t>
      </w:r>
      <w:r w:rsidR="00BC2098" w:rsidRPr="009201F1">
        <w:rPr>
          <w:rFonts w:eastAsia="Times New Roman"/>
        </w:rPr>
        <w:t xml:space="preserve">where cost and/or price analyses are required): </w:t>
      </w:r>
    </w:p>
    <w:p w14:paraId="0F9F8F9B" w14:textId="77777777" w:rsidR="001C3F4E" w:rsidRPr="009201F1" w:rsidRDefault="00A131EA" w:rsidP="00977580">
      <w:pPr>
        <w:pStyle w:val="List4"/>
      </w:pPr>
      <w:r w:rsidRPr="009201F1">
        <w:rPr>
          <w:rFonts w:eastAsia="Times New Roman"/>
        </w:rPr>
        <w:t xml:space="preserve">(A) </w:t>
      </w:r>
      <w:r w:rsidR="00A854A8" w:rsidRPr="009201F1">
        <w:rPr>
          <w:rFonts w:eastAsia="Times New Roman"/>
        </w:rPr>
        <w:t>S</w:t>
      </w:r>
      <w:r w:rsidR="00BC2098" w:rsidRPr="009201F1">
        <w:rPr>
          <w:rFonts w:eastAsia="Times New Roman"/>
        </w:rPr>
        <w:t>ubcontractors subject to TINA and the subcontract evaluation plan (will Government assist audits be required?)</w:t>
      </w:r>
    </w:p>
    <w:p w14:paraId="7CF33D47" w14:textId="77777777" w:rsidR="001C3F4E" w:rsidRPr="009201F1" w:rsidRDefault="00A854A8" w:rsidP="00977580">
      <w:pPr>
        <w:pStyle w:val="List4"/>
      </w:pPr>
      <w:r w:rsidRPr="009201F1">
        <w:rPr>
          <w:rFonts w:eastAsia="Times New Roman"/>
        </w:rPr>
        <w:t>(B) C</w:t>
      </w:r>
      <w:r w:rsidR="00BC2098" w:rsidRPr="009201F1">
        <w:rPr>
          <w:rFonts w:eastAsia="Times New Roman"/>
        </w:rPr>
        <w:t>ommercial subcontractors and Government’s expectations as to the data required to determine price reasonableness</w:t>
      </w:r>
    </w:p>
    <w:p w14:paraId="39EB76ED" w14:textId="77777777" w:rsidR="001C3F4E" w:rsidRPr="009201F1" w:rsidRDefault="00A131EA" w:rsidP="00977580">
      <w:pPr>
        <w:pStyle w:val="List3"/>
      </w:pPr>
      <w:r w:rsidRPr="009201F1">
        <w:rPr>
          <w:rFonts w:eastAsia="Times New Roman"/>
        </w:rPr>
        <w:t xml:space="preserve">(iv) </w:t>
      </w:r>
      <w:r w:rsidR="00A854A8" w:rsidRPr="009201F1">
        <w:rPr>
          <w:rFonts w:eastAsia="Times New Roman"/>
        </w:rPr>
        <w:t>M</w:t>
      </w:r>
      <w:r w:rsidR="00BC2098" w:rsidRPr="009201F1">
        <w:rPr>
          <w:rFonts w:eastAsia="Times New Roman"/>
        </w:rPr>
        <w:t>eeting participants</w:t>
      </w:r>
      <w:r w:rsidR="005B5F73" w:rsidRPr="009201F1">
        <w:rPr>
          <w:rFonts w:eastAsia="Times New Roman"/>
        </w:rPr>
        <w:t xml:space="preserve"> (tailor as appropriate)</w:t>
      </w:r>
      <w:r w:rsidR="00BC2098" w:rsidRPr="009201F1">
        <w:rPr>
          <w:rFonts w:eastAsia="Times New Roman"/>
        </w:rPr>
        <w:t>:</w:t>
      </w:r>
    </w:p>
    <w:p w14:paraId="39025C76" w14:textId="77777777" w:rsidR="001C3F4E" w:rsidRPr="009201F1" w:rsidRDefault="00A131EA" w:rsidP="00977580">
      <w:pPr>
        <w:pStyle w:val="List4"/>
      </w:pPr>
      <w:r w:rsidRPr="009201F1">
        <w:rPr>
          <w:rFonts w:eastAsia="Times New Roman"/>
        </w:rPr>
        <w:t xml:space="preserve">(A) </w:t>
      </w:r>
      <w:r w:rsidR="00A854A8" w:rsidRPr="009201F1">
        <w:rPr>
          <w:rFonts w:eastAsia="Times New Roman"/>
        </w:rPr>
        <w:t>T</w:t>
      </w:r>
      <w:r w:rsidR="00BC2098" w:rsidRPr="009201F1">
        <w:rPr>
          <w:rFonts w:eastAsia="Times New Roman"/>
        </w:rPr>
        <w:t>he Government team (e.g., contracting officer, contract specialist, price analyst, program/project office personnel, to include engineers, DCMA, DCAA);</w:t>
      </w:r>
    </w:p>
    <w:p w14:paraId="7EA11A13" w14:textId="77777777" w:rsidR="001C3F4E" w:rsidRPr="009201F1" w:rsidRDefault="00A131EA" w:rsidP="00977580">
      <w:pPr>
        <w:pStyle w:val="List4"/>
      </w:pPr>
      <w:r w:rsidRPr="009201F1">
        <w:rPr>
          <w:rFonts w:eastAsia="Times New Roman"/>
        </w:rPr>
        <w:t xml:space="preserve">(B) </w:t>
      </w:r>
      <w:r w:rsidR="00A854A8" w:rsidRPr="009201F1">
        <w:rPr>
          <w:rFonts w:eastAsia="Times New Roman"/>
        </w:rPr>
        <w:t>T</w:t>
      </w:r>
      <w:r w:rsidR="00BC2098" w:rsidRPr="009201F1">
        <w:rPr>
          <w:rFonts w:eastAsia="Times New Roman"/>
        </w:rPr>
        <w:t>he prime contractor; and</w:t>
      </w:r>
    </w:p>
    <w:p w14:paraId="0DD572B8" w14:textId="77777777" w:rsidR="001C3F4E" w:rsidRPr="009201F1" w:rsidRDefault="00A131EA" w:rsidP="00977580">
      <w:pPr>
        <w:pStyle w:val="List4"/>
      </w:pPr>
      <w:r w:rsidRPr="009201F1">
        <w:rPr>
          <w:rFonts w:eastAsia="Times New Roman"/>
        </w:rPr>
        <w:t xml:space="preserve">(C) </w:t>
      </w:r>
      <w:r w:rsidR="00A854A8" w:rsidRPr="009201F1">
        <w:rPr>
          <w:rFonts w:eastAsia="Times New Roman"/>
        </w:rPr>
        <w:t>M</w:t>
      </w:r>
      <w:r w:rsidR="00BC2098" w:rsidRPr="009201F1">
        <w:rPr>
          <w:rFonts w:eastAsia="Times New Roman"/>
        </w:rPr>
        <w:t>ajor subcontractors having a significant role in the award/definitization (requires prime contractor’s agreement).</w:t>
      </w:r>
    </w:p>
    <w:p w14:paraId="2B4879BE" w14:textId="77777777" w:rsidR="001C3F4E" w:rsidRPr="009201F1" w:rsidRDefault="00A131EA" w:rsidP="00977580">
      <w:pPr>
        <w:pStyle w:val="List2"/>
      </w:pPr>
      <w:r w:rsidRPr="009201F1">
        <w:rPr>
          <w:rFonts w:eastAsia="Times New Roman"/>
        </w:rPr>
        <w:t>(2)</w:t>
      </w:r>
      <w:r w:rsidR="00BC2098" w:rsidRPr="009201F1">
        <w:rPr>
          <w:rFonts w:eastAsia="Times New Roman"/>
        </w:rPr>
        <w:t xml:space="preserve"> Schedul</w:t>
      </w:r>
      <w:r w:rsidR="002119B6" w:rsidRPr="009201F1">
        <w:rPr>
          <w:rFonts w:eastAsia="Times New Roman"/>
        </w:rPr>
        <w:t>ing</w:t>
      </w:r>
      <w:r w:rsidR="00BC2098" w:rsidRPr="009201F1">
        <w:rPr>
          <w:rFonts w:eastAsia="Times New Roman"/>
        </w:rPr>
        <w:t xml:space="preserve"> a proposal walk-through meeting after proposal submittal and preliminary review by the Government team</w:t>
      </w:r>
      <w:r w:rsidR="005B5F73" w:rsidRPr="009201F1">
        <w:rPr>
          <w:rFonts w:eastAsia="Times New Roman"/>
        </w:rPr>
        <w:t xml:space="preserve"> to: </w:t>
      </w:r>
    </w:p>
    <w:p w14:paraId="046B31A9" w14:textId="77777777" w:rsidR="001C3F4E" w:rsidRPr="009201F1" w:rsidRDefault="00A131EA" w:rsidP="00977580">
      <w:pPr>
        <w:pStyle w:val="List3"/>
      </w:pPr>
      <w:r w:rsidRPr="009201F1">
        <w:rPr>
          <w:rFonts w:eastAsia="Times New Roman"/>
        </w:rPr>
        <w:t>(</w:t>
      </w:r>
      <w:proofErr w:type="spellStart"/>
      <w:r w:rsidRPr="009201F1">
        <w:rPr>
          <w:rFonts w:eastAsia="Times New Roman"/>
        </w:rPr>
        <w:t>i</w:t>
      </w:r>
      <w:proofErr w:type="spellEnd"/>
      <w:r w:rsidRPr="009201F1">
        <w:rPr>
          <w:rFonts w:eastAsia="Times New Roman"/>
        </w:rPr>
        <w:t xml:space="preserve">) </w:t>
      </w:r>
      <w:r w:rsidR="00A854A8" w:rsidRPr="009201F1">
        <w:rPr>
          <w:rFonts w:eastAsia="Times New Roman"/>
        </w:rPr>
        <w:t>E</w:t>
      </w:r>
      <w:r w:rsidR="00BC2098" w:rsidRPr="009201F1">
        <w:rPr>
          <w:rFonts w:eastAsia="Times New Roman"/>
        </w:rPr>
        <w:t xml:space="preserve">nsure an understanding of the proposal composition (use the proposal adequacy checklist to facilitate the meeting and guide discussions); </w:t>
      </w:r>
    </w:p>
    <w:p w14:paraId="30A541D1" w14:textId="77777777" w:rsidR="001C3F4E" w:rsidRPr="009201F1" w:rsidRDefault="00A131EA" w:rsidP="00977580">
      <w:pPr>
        <w:pStyle w:val="List3"/>
      </w:pPr>
      <w:r w:rsidRPr="009201F1">
        <w:rPr>
          <w:rFonts w:eastAsia="Times New Roman"/>
        </w:rPr>
        <w:t xml:space="preserve">(ii) </w:t>
      </w:r>
      <w:r w:rsidR="00A854A8" w:rsidRPr="009201F1">
        <w:rPr>
          <w:rFonts w:eastAsia="Times New Roman"/>
        </w:rPr>
        <w:t>V</w:t>
      </w:r>
      <w:r w:rsidR="00BC2098" w:rsidRPr="009201F1">
        <w:rPr>
          <w:rFonts w:eastAsia="Times New Roman"/>
        </w:rPr>
        <w:t>alidate or revisit the award/definitization schedule;</w:t>
      </w:r>
    </w:p>
    <w:p w14:paraId="4F84F9F1" w14:textId="77777777" w:rsidR="001C3F4E" w:rsidRPr="009201F1" w:rsidRDefault="00A131EA" w:rsidP="00977580">
      <w:pPr>
        <w:pStyle w:val="List3"/>
      </w:pPr>
      <w:r w:rsidRPr="009201F1">
        <w:rPr>
          <w:rFonts w:eastAsia="Times New Roman"/>
        </w:rPr>
        <w:t xml:space="preserve">(iii) </w:t>
      </w:r>
      <w:r w:rsidR="00A854A8" w:rsidRPr="009201F1">
        <w:rPr>
          <w:rFonts w:eastAsia="Times New Roman"/>
        </w:rPr>
        <w:t>R</w:t>
      </w:r>
      <w:r w:rsidR="00BC2098" w:rsidRPr="009201F1">
        <w:rPr>
          <w:rFonts w:eastAsia="Times New Roman"/>
        </w:rPr>
        <w:t>eview the contractor's spend-plan for obligation limitations in accordance with DFARS 217.7404-4(b); and</w:t>
      </w:r>
    </w:p>
    <w:p w14:paraId="29E30896" w14:textId="77777777" w:rsidR="001C3F4E" w:rsidRPr="009201F1" w:rsidRDefault="00A131EA" w:rsidP="00977580">
      <w:pPr>
        <w:pStyle w:val="List3"/>
      </w:pPr>
      <w:proofErr w:type="gramStart"/>
      <w:r w:rsidRPr="009201F1">
        <w:rPr>
          <w:rFonts w:eastAsia="Times New Roman"/>
        </w:rPr>
        <w:t xml:space="preserve">(iv) </w:t>
      </w:r>
      <w:r w:rsidR="00A854A8" w:rsidRPr="009201F1">
        <w:rPr>
          <w:rFonts w:eastAsia="Times New Roman"/>
        </w:rPr>
        <w:t>E</w:t>
      </w:r>
      <w:r w:rsidR="00BC2098" w:rsidRPr="009201F1">
        <w:rPr>
          <w:rFonts w:eastAsia="Times New Roman"/>
        </w:rPr>
        <w:t>stablish</w:t>
      </w:r>
      <w:proofErr w:type="gramEnd"/>
      <w:r w:rsidR="00BC2098" w:rsidRPr="009201F1">
        <w:rPr>
          <w:rFonts w:eastAsia="Times New Roman"/>
        </w:rPr>
        <w:t xml:space="preserve"> action items for any obvious data omissions.   (Note:  If data omissions are so significant as to render the proposal inadequate for analysis, the contracting officer may reject the proposal.)</w:t>
      </w:r>
    </w:p>
    <w:p w14:paraId="7932F374" w14:textId="77777777" w:rsidR="001C3F4E" w:rsidRPr="009201F1" w:rsidRDefault="00A131EA" w:rsidP="00977580">
      <w:pPr>
        <w:pStyle w:val="List3"/>
      </w:pPr>
      <w:r w:rsidRPr="009201F1">
        <w:rPr>
          <w:rFonts w:eastAsia="Times New Roman"/>
        </w:rPr>
        <w:t>(v)</w:t>
      </w:r>
      <w:r w:rsidR="004B03EB" w:rsidRPr="009201F1">
        <w:rPr>
          <w:rFonts w:eastAsia="Times New Roman"/>
        </w:rPr>
        <w:t xml:space="preserve"> </w:t>
      </w:r>
      <w:r w:rsidR="00A854A8" w:rsidRPr="009201F1">
        <w:rPr>
          <w:rFonts w:eastAsia="Times New Roman"/>
        </w:rPr>
        <w:t>M</w:t>
      </w:r>
      <w:r w:rsidR="00BC2098" w:rsidRPr="009201F1">
        <w:rPr>
          <w:rFonts w:eastAsia="Times New Roman"/>
        </w:rPr>
        <w:t>eeting participants</w:t>
      </w:r>
      <w:r w:rsidR="005B5F73" w:rsidRPr="009201F1">
        <w:rPr>
          <w:rFonts w:eastAsia="Times New Roman"/>
        </w:rPr>
        <w:t xml:space="preserve"> (tailor as appropriate)</w:t>
      </w:r>
      <w:r w:rsidR="00BC2098" w:rsidRPr="009201F1">
        <w:rPr>
          <w:rFonts w:eastAsia="Times New Roman"/>
        </w:rPr>
        <w:t>:</w:t>
      </w:r>
    </w:p>
    <w:p w14:paraId="59FAC9B0" w14:textId="77777777" w:rsidR="001C3F4E" w:rsidRPr="009201F1" w:rsidRDefault="00A131EA" w:rsidP="00977580">
      <w:pPr>
        <w:pStyle w:val="List4"/>
      </w:pPr>
      <w:r w:rsidRPr="009201F1">
        <w:rPr>
          <w:rFonts w:eastAsia="Times New Roman"/>
        </w:rPr>
        <w:t xml:space="preserve">(A) </w:t>
      </w:r>
      <w:r w:rsidR="00A854A8" w:rsidRPr="009201F1">
        <w:rPr>
          <w:rFonts w:eastAsia="Times New Roman"/>
        </w:rPr>
        <w:t>T</w:t>
      </w:r>
      <w:r w:rsidR="00BC2098" w:rsidRPr="009201F1">
        <w:rPr>
          <w:rFonts w:eastAsia="Times New Roman"/>
        </w:rPr>
        <w:t>he Government team (e.g., contracting officer, contract specialist, price analyst, program/project office personnel, to include engineers, DCMA, DCAA);</w:t>
      </w:r>
    </w:p>
    <w:p w14:paraId="1266A467" w14:textId="77777777" w:rsidR="001C3F4E" w:rsidRPr="009201F1" w:rsidRDefault="00A131EA" w:rsidP="00977580">
      <w:pPr>
        <w:pStyle w:val="List4"/>
      </w:pPr>
      <w:r w:rsidRPr="009201F1">
        <w:rPr>
          <w:rFonts w:eastAsia="Times New Roman"/>
        </w:rPr>
        <w:t xml:space="preserve">(B) </w:t>
      </w:r>
      <w:r w:rsidR="00A854A8" w:rsidRPr="009201F1">
        <w:rPr>
          <w:rFonts w:eastAsia="Times New Roman"/>
        </w:rPr>
        <w:t>T</w:t>
      </w:r>
      <w:r w:rsidR="00BC2098" w:rsidRPr="009201F1">
        <w:rPr>
          <w:rFonts w:eastAsia="Times New Roman"/>
        </w:rPr>
        <w:t>he prime contractor; and</w:t>
      </w:r>
    </w:p>
    <w:p w14:paraId="50CF48C3" w14:textId="77777777" w:rsidR="001C3F4E" w:rsidRPr="009201F1" w:rsidRDefault="00A131EA" w:rsidP="00977580">
      <w:pPr>
        <w:pStyle w:val="List4"/>
      </w:pPr>
      <w:r w:rsidRPr="009201F1">
        <w:rPr>
          <w:rFonts w:eastAsia="Times New Roman"/>
        </w:rPr>
        <w:lastRenderedPageBreak/>
        <w:t xml:space="preserve">(C) </w:t>
      </w:r>
      <w:r w:rsidR="00A854A8" w:rsidRPr="009201F1">
        <w:rPr>
          <w:rFonts w:eastAsia="Times New Roman"/>
        </w:rPr>
        <w:t>M</w:t>
      </w:r>
      <w:r w:rsidR="00BC2098" w:rsidRPr="009201F1">
        <w:rPr>
          <w:rFonts w:eastAsia="Times New Roman"/>
        </w:rPr>
        <w:t>ajor subcontractors having a significant role in the award/definitization (requires prime contractor’s agreement).</w:t>
      </w:r>
    </w:p>
    <w:p w14:paraId="0D85DFDE" w14:textId="77777777" w:rsidR="001C3F4E" w:rsidRPr="009201F1" w:rsidRDefault="001617AA" w:rsidP="00977580">
      <w:pPr>
        <w:pStyle w:val="List1"/>
        <w:rPr>
          <w:rStyle w:val="Hyperlink"/>
        </w:rPr>
      </w:pPr>
      <w:r w:rsidRPr="009201F1">
        <w:t xml:space="preserve">(b) See the </w:t>
      </w:r>
      <w:hyperlink r:id="rId12" w:history="1">
        <w:r w:rsidRPr="009201F1">
          <w:rPr>
            <w:rStyle w:val="Hyperlink"/>
          </w:rPr>
          <w:t>DoD Sole Source Streamlining Tool Box</w:t>
        </w:r>
      </w:hyperlink>
      <w:r w:rsidRPr="009201F1">
        <w:t xml:space="preserve"> for techniques to increase efficiency throughout the acquisition process.</w:t>
      </w:r>
      <w:bookmarkStart w:id="4" w:name="_AF_PGI_5315.404-3-90"/>
      <w:bookmarkEnd w:id="4"/>
    </w:p>
    <w:p w14:paraId="5A977D5A" w14:textId="77777777" w:rsidR="001C3F4E" w:rsidRPr="009201F1" w:rsidRDefault="002B5E94" w:rsidP="00977580">
      <w:pPr>
        <w:pStyle w:val="Heading3"/>
        <w:rPr>
          <w:rFonts w:eastAsia="Times New Roman"/>
          <w:b w:val="0"/>
        </w:rPr>
      </w:pPr>
      <w:r w:rsidRPr="009201F1">
        <w:rPr>
          <w:rFonts w:eastAsia="Times New Roman"/>
        </w:rPr>
        <w:t>AF PGI 5315.404</w:t>
      </w:r>
      <w:r w:rsidR="001A2761" w:rsidRPr="009201F1">
        <w:rPr>
          <w:rFonts w:eastAsia="Times New Roman"/>
        </w:rPr>
        <w:t>-3</w:t>
      </w:r>
      <w:r w:rsidR="009B4692" w:rsidRPr="009201F1">
        <w:rPr>
          <w:rFonts w:eastAsia="Times New Roman"/>
        </w:rPr>
        <w:t>-90</w:t>
      </w:r>
      <w:r w:rsidRPr="009201F1">
        <w:rPr>
          <w:rFonts w:eastAsia="Times New Roman"/>
        </w:rPr>
        <w:t xml:space="preserve"> </w:t>
      </w:r>
      <w:r w:rsidR="007B05B2" w:rsidRPr="009201F1">
        <w:rPr>
          <w:rFonts w:eastAsia="Times New Roman"/>
        </w:rPr>
        <w:t xml:space="preserve">  </w:t>
      </w:r>
      <w:r w:rsidRPr="009201F1">
        <w:rPr>
          <w:rFonts w:eastAsia="Times New Roman"/>
        </w:rPr>
        <w:t>Subcontract Pricing Considerations</w:t>
      </w:r>
    </w:p>
    <w:p w14:paraId="0692428E" w14:textId="77777777" w:rsidR="001C3F4E" w:rsidRPr="009201F1" w:rsidRDefault="001A2761" w:rsidP="00977580">
      <w:pPr>
        <w:pStyle w:val="List1"/>
      </w:pPr>
      <w:r w:rsidRPr="009201F1">
        <w:rPr>
          <w:rFonts w:eastAsia="Times New Roman"/>
          <w:sz w:val="22"/>
          <w:szCs w:val="22"/>
        </w:rPr>
        <w:t>(</w:t>
      </w:r>
      <w:r w:rsidR="009B4692" w:rsidRPr="009201F1">
        <w:rPr>
          <w:rFonts w:eastAsia="Times New Roman"/>
          <w:sz w:val="22"/>
          <w:szCs w:val="22"/>
        </w:rPr>
        <w:t>a</w:t>
      </w:r>
      <w:r w:rsidRPr="009201F1">
        <w:rPr>
          <w:rFonts w:eastAsia="Times New Roman"/>
          <w:sz w:val="22"/>
          <w:szCs w:val="22"/>
        </w:rPr>
        <w:t>)  When a contractor refuses to provide adequate supplier proposals and/or the results of their subcontract reviews/evaluations in accordance with FAR 15.404-3(b)</w:t>
      </w:r>
      <w:r w:rsidR="00A463C3" w:rsidRPr="009201F1">
        <w:rPr>
          <w:rFonts w:eastAsia="Times New Roman"/>
          <w:sz w:val="22"/>
          <w:szCs w:val="22"/>
        </w:rPr>
        <w:t xml:space="preserve">, or when the </w:t>
      </w:r>
      <w:r w:rsidR="00B54533" w:rsidRPr="009201F1">
        <w:rPr>
          <w:rFonts w:eastAsia="Times New Roman"/>
          <w:sz w:val="22"/>
          <w:szCs w:val="22"/>
        </w:rPr>
        <w:t>contracting officer</w:t>
      </w:r>
      <w:r w:rsidRPr="009201F1">
        <w:rPr>
          <w:rFonts w:eastAsia="Times New Roman"/>
          <w:sz w:val="22"/>
          <w:szCs w:val="22"/>
        </w:rPr>
        <w:t xml:space="preserve"> determines the supplier proposals and/or prime evaluations are so deficient as to preclude an adequate analysis and evaluation of the contractor’s p</w:t>
      </w:r>
      <w:r w:rsidR="00A463C3" w:rsidRPr="009201F1">
        <w:rPr>
          <w:rFonts w:eastAsia="Times New Roman"/>
          <w:sz w:val="22"/>
          <w:szCs w:val="22"/>
        </w:rPr>
        <w:t xml:space="preserve">roposal, the </w:t>
      </w:r>
      <w:r w:rsidR="00B54533" w:rsidRPr="009201F1">
        <w:rPr>
          <w:rFonts w:eastAsia="Times New Roman"/>
          <w:sz w:val="22"/>
          <w:szCs w:val="22"/>
        </w:rPr>
        <w:t>contracting officer</w:t>
      </w:r>
      <w:r w:rsidR="00A463C3" w:rsidRPr="009201F1">
        <w:rPr>
          <w:rFonts w:eastAsia="Times New Roman"/>
          <w:sz w:val="22"/>
          <w:szCs w:val="22"/>
        </w:rPr>
        <w:t xml:space="preserve"> </w:t>
      </w:r>
      <w:r w:rsidRPr="009201F1">
        <w:rPr>
          <w:rFonts w:eastAsia="Times New Roman"/>
          <w:sz w:val="22"/>
          <w:szCs w:val="22"/>
        </w:rPr>
        <w:t>should attempt to secure the subcontract proposals and review/evaluations and/or elicit corrective action. If the contractor persists in refusing to provide subcontract reviews and evalu</w:t>
      </w:r>
      <w:r w:rsidR="00A463C3" w:rsidRPr="009201F1">
        <w:rPr>
          <w:rFonts w:eastAsia="Times New Roman"/>
          <w:sz w:val="22"/>
          <w:szCs w:val="22"/>
        </w:rPr>
        <w:t xml:space="preserve">ations, the </w:t>
      </w:r>
      <w:r w:rsidR="00B54533" w:rsidRPr="009201F1">
        <w:rPr>
          <w:rFonts w:eastAsia="Times New Roman"/>
          <w:sz w:val="22"/>
          <w:szCs w:val="22"/>
        </w:rPr>
        <w:t>contracting officer</w:t>
      </w:r>
      <w:r w:rsidRPr="009201F1">
        <w:rPr>
          <w:rFonts w:eastAsia="Times New Roman"/>
          <w:sz w:val="22"/>
          <w:szCs w:val="22"/>
        </w:rPr>
        <w:t xml:space="preserve"> should withhold the award and elevate the matter to management for resolution.</w:t>
      </w:r>
    </w:p>
    <w:p w14:paraId="2044A4E2" w14:textId="77777777" w:rsidR="001C3F4E" w:rsidRPr="009201F1" w:rsidRDefault="001A2761" w:rsidP="00977580">
      <w:pPr>
        <w:pStyle w:val="List1"/>
      </w:pPr>
      <w:r w:rsidRPr="009201F1">
        <w:rPr>
          <w:rFonts w:eastAsia="Times New Roman"/>
          <w:sz w:val="22"/>
          <w:szCs w:val="22"/>
        </w:rPr>
        <w:t>(</w:t>
      </w:r>
      <w:r w:rsidR="009B4692" w:rsidRPr="009201F1">
        <w:rPr>
          <w:rFonts w:eastAsia="Times New Roman"/>
          <w:sz w:val="22"/>
          <w:szCs w:val="22"/>
        </w:rPr>
        <w:t>b</w:t>
      </w:r>
      <w:r w:rsidRPr="009201F1">
        <w:rPr>
          <w:rFonts w:eastAsia="Times New Roman"/>
          <w:sz w:val="22"/>
          <w:szCs w:val="22"/>
        </w:rPr>
        <w:t>)  If subcontract reviews and evaluations are not provided by the prime contractor, or are ina</w:t>
      </w:r>
      <w:r w:rsidR="00A463C3" w:rsidRPr="009201F1">
        <w:rPr>
          <w:rFonts w:eastAsia="Times New Roman"/>
          <w:sz w:val="22"/>
          <w:szCs w:val="22"/>
        </w:rPr>
        <w:t xml:space="preserve">dequate, the </w:t>
      </w:r>
      <w:r w:rsidR="00B54533" w:rsidRPr="009201F1">
        <w:rPr>
          <w:rFonts w:eastAsia="Times New Roman"/>
          <w:sz w:val="22"/>
          <w:szCs w:val="22"/>
        </w:rPr>
        <w:t>contracting officer</w:t>
      </w:r>
      <w:r w:rsidRPr="009201F1">
        <w:rPr>
          <w:rFonts w:eastAsia="Times New Roman"/>
          <w:sz w:val="22"/>
          <w:szCs w:val="22"/>
        </w:rPr>
        <w:t xml:space="preserve"> may assign below-normal values for management/cost control under the performance risk factor when using the weighted guidelines method (see DFARS 215.404-71-2(e)(3)(</w:t>
      </w:r>
      <w:proofErr w:type="spellStart"/>
      <w:r w:rsidRPr="009201F1">
        <w:rPr>
          <w:rFonts w:eastAsia="Times New Roman"/>
          <w:sz w:val="22"/>
          <w:szCs w:val="22"/>
        </w:rPr>
        <w:t>i</w:t>
      </w:r>
      <w:proofErr w:type="spellEnd"/>
      <w:r w:rsidRPr="009201F1">
        <w:rPr>
          <w:rFonts w:eastAsia="Times New Roman"/>
          <w:sz w:val="22"/>
          <w:szCs w:val="22"/>
        </w:rPr>
        <w:t>)(E)) to establish a profit</w:t>
      </w:r>
      <w:r w:rsidR="00A463C3" w:rsidRPr="009201F1">
        <w:rPr>
          <w:rFonts w:eastAsia="Times New Roman"/>
          <w:sz w:val="22"/>
          <w:szCs w:val="22"/>
        </w:rPr>
        <w:t xml:space="preserve"> objective. </w:t>
      </w:r>
      <w:r w:rsidR="00B54533" w:rsidRPr="009201F1">
        <w:rPr>
          <w:rFonts w:eastAsia="Times New Roman"/>
          <w:sz w:val="22"/>
          <w:szCs w:val="22"/>
        </w:rPr>
        <w:t>Contracting officers</w:t>
      </w:r>
      <w:r w:rsidRPr="009201F1">
        <w:rPr>
          <w:rFonts w:eastAsia="Times New Roman"/>
          <w:sz w:val="22"/>
          <w:szCs w:val="22"/>
        </w:rPr>
        <w:t xml:space="preserve"> should consider taking action described in DFARS 215.407-5 when a contractor consistently fails to provide adequate subcontract reviews and evaluations. </w:t>
      </w:r>
      <w:r w:rsidR="00496426" w:rsidRPr="009201F1">
        <w:rPr>
          <w:rFonts w:eastAsia="Times New Roman"/>
          <w:sz w:val="22"/>
          <w:szCs w:val="22"/>
        </w:rPr>
        <w:t xml:space="preserve"> </w:t>
      </w:r>
      <w:r w:rsidRPr="009201F1">
        <w:rPr>
          <w:rFonts w:eastAsia="Times New Roman"/>
          <w:sz w:val="22"/>
          <w:szCs w:val="22"/>
        </w:rPr>
        <w:t>If a subcontract represents a significant cost risk to the Gov</w:t>
      </w:r>
      <w:r w:rsidR="00A463C3" w:rsidRPr="009201F1">
        <w:rPr>
          <w:rFonts w:eastAsia="Times New Roman"/>
          <w:sz w:val="22"/>
          <w:szCs w:val="22"/>
        </w:rPr>
        <w:t xml:space="preserve">ernment, the </w:t>
      </w:r>
      <w:r w:rsidR="00B54533" w:rsidRPr="009201F1">
        <w:rPr>
          <w:rFonts w:eastAsia="Times New Roman"/>
          <w:sz w:val="22"/>
          <w:szCs w:val="22"/>
        </w:rPr>
        <w:t>contracting officer</w:t>
      </w:r>
      <w:r w:rsidRPr="009201F1">
        <w:rPr>
          <w:rFonts w:eastAsia="Times New Roman"/>
          <w:sz w:val="22"/>
          <w:szCs w:val="22"/>
        </w:rPr>
        <w:t xml:space="preserve"> should consider:</w:t>
      </w:r>
    </w:p>
    <w:p w14:paraId="3D8C6CD9" w14:textId="77777777" w:rsidR="001C3F4E" w:rsidRPr="009201F1" w:rsidRDefault="001A2761" w:rsidP="00977580">
      <w:pPr>
        <w:pStyle w:val="List2"/>
      </w:pPr>
      <w:r w:rsidRPr="009201F1">
        <w:rPr>
          <w:rFonts w:eastAsia="Times New Roman"/>
          <w:sz w:val="22"/>
        </w:rPr>
        <w:t>(</w:t>
      </w:r>
      <w:r w:rsidR="00B52F81" w:rsidRPr="009201F1">
        <w:rPr>
          <w:rFonts w:eastAsia="Times New Roman"/>
          <w:sz w:val="22"/>
        </w:rPr>
        <w:t>1</w:t>
      </w:r>
      <w:r w:rsidR="00A854A8" w:rsidRPr="009201F1">
        <w:rPr>
          <w:rFonts w:eastAsia="Times New Roman"/>
          <w:sz w:val="22"/>
        </w:rPr>
        <w:t>)  C</w:t>
      </w:r>
      <w:r w:rsidRPr="009201F1">
        <w:rPr>
          <w:rFonts w:eastAsia="Times New Roman"/>
          <w:sz w:val="22"/>
        </w:rPr>
        <w:t xml:space="preserve">onducting a joint Government/contractor team analysis of </w:t>
      </w:r>
      <w:r w:rsidR="00496426" w:rsidRPr="009201F1">
        <w:rPr>
          <w:rFonts w:eastAsia="Times New Roman"/>
          <w:sz w:val="22"/>
        </w:rPr>
        <w:t>the subcontract proposal, and/or</w:t>
      </w:r>
    </w:p>
    <w:p w14:paraId="36C31B1F" w14:textId="77777777" w:rsidR="001C3F4E" w:rsidRPr="009201F1" w:rsidRDefault="001A2761" w:rsidP="00977580">
      <w:pPr>
        <w:pStyle w:val="List2"/>
      </w:pPr>
      <w:r w:rsidRPr="009201F1">
        <w:rPr>
          <w:rFonts w:eastAsia="Times New Roman"/>
          <w:sz w:val="22"/>
        </w:rPr>
        <w:t>(</w:t>
      </w:r>
      <w:r w:rsidR="00B52F81" w:rsidRPr="009201F1">
        <w:rPr>
          <w:rFonts w:eastAsia="Times New Roman"/>
          <w:sz w:val="22"/>
        </w:rPr>
        <w:t>2</w:t>
      </w:r>
      <w:r w:rsidR="00A854A8" w:rsidRPr="009201F1">
        <w:rPr>
          <w:rFonts w:eastAsia="Times New Roman"/>
          <w:sz w:val="22"/>
        </w:rPr>
        <w:t>)  D</w:t>
      </w:r>
      <w:r w:rsidRPr="009201F1">
        <w:rPr>
          <w:rFonts w:eastAsia="Times New Roman"/>
          <w:sz w:val="22"/>
        </w:rPr>
        <w:t>irecting the contractor to definitize the subcontract prior to completion of prime contract negotiations once the Government has determined the prime contractor’s settlement position is fair and reasonable.</w:t>
      </w:r>
      <w:bookmarkStart w:id="5" w:name="_AF_PGI_5315.404-70-90"/>
      <w:bookmarkEnd w:id="5"/>
    </w:p>
    <w:p w14:paraId="1C8A5790" w14:textId="77777777" w:rsidR="001C3F4E" w:rsidRPr="009201F1" w:rsidRDefault="00B22C66" w:rsidP="00977580">
      <w:pPr>
        <w:pStyle w:val="Heading3"/>
        <w:rPr>
          <w:rFonts w:eastAsia="Times New Roman"/>
          <w:b w:val="0"/>
        </w:rPr>
      </w:pPr>
      <w:r w:rsidRPr="009201F1">
        <w:rPr>
          <w:rFonts w:eastAsia="Times New Roman"/>
          <w:color w:val="000000"/>
        </w:rPr>
        <w:t>AF PGI 5315.404-70-90</w:t>
      </w:r>
      <w:r w:rsidR="007B05B2" w:rsidRPr="009201F1">
        <w:rPr>
          <w:rFonts w:eastAsia="Times New Roman"/>
          <w:color w:val="000000"/>
        </w:rPr>
        <w:t xml:space="preserve">   </w:t>
      </w:r>
      <w:r w:rsidR="007B05B2" w:rsidRPr="009201F1">
        <w:t>DD Form 1547, Record of Weighted Guidelines Method Application, Report Control Symbol: DD-AT&amp;L(Q)1751</w:t>
      </w:r>
    </w:p>
    <w:p w14:paraId="5A6B7C2D" w14:textId="77777777" w:rsidR="001C3F4E" w:rsidRPr="009201F1" w:rsidRDefault="00EB2C5A" w:rsidP="00977580">
      <w:r w:rsidRPr="009201F1">
        <w:rPr>
          <w:rFonts w:eastAsia="Times New Roman"/>
          <w:color w:val="000000"/>
        </w:rPr>
        <w:t xml:space="preserve">See the </w:t>
      </w:r>
      <w:hyperlink r:id="rId13" w:history="1">
        <w:r w:rsidRPr="009201F1">
          <w:rPr>
            <w:rStyle w:val="Hyperlink"/>
            <w:rFonts w:eastAsia="Times New Roman"/>
          </w:rPr>
          <w:t>WGL User's Guide</w:t>
        </w:r>
      </w:hyperlink>
      <w:r w:rsidRPr="009201F1">
        <w:rPr>
          <w:rFonts w:eastAsia="Times New Roman"/>
          <w:color w:val="000000"/>
        </w:rPr>
        <w:t xml:space="preserve"> for additional information on how to analyze profit and prepare </w:t>
      </w:r>
      <w:r w:rsidR="00D90BF0" w:rsidRPr="009201F1">
        <w:rPr>
          <w:rFonts w:eastAsia="Times New Roman"/>
          <w:color w:val="000000"/>
        </w:rPr>
        <w:t xml:space="preserve">a </w:t>
      </w:r>
      <w:hyperlink r:id="rId14" w:history="1">
        <w:r w:rsidR="004322E0" w:rsidRPr="009201F1">
          <w:rPr>
            <w:rStyle w:val="Hyperlink"/>
            <w:rFonts w:eastAsia="Times New Roman"/>
          </w:rPr>
          <w:t>DD Form</w:t>
        </w:r>
        <w:r w:rsidR="004645DA" w:rsidRPr="009201F1">
          <w:rPr>
            <w:rStyle w:val="Hyperlink"/>
            <w:rFonts w:eastAsia="Times New Roman"/>
          </w:rPr>
          <w:t xml:space="preserve"> </w:t>
        </w:r>
        <w:r w:rsidRPr="009201F1">
          <w:rPr>
            <w:rStyle w:val="Hyperlink"/>
            <w:rFonts w:eastAsia="Times New Roman"/>
          </w:rPr>
          <w:t>1547</w:t>
        </w:r>
      </w:hyperlink>
      <w:r w:rsidRPr="009201F1">
        <w:rPr>
          <w:rFonts w:eastAsia="Times New Roman"/>
          <w:color w:val="000000"/>
        </w:rPr>
        <w:t>.</w:t>
      </w:r>
      <w:bookmarkStart w:id="6" w:name="_AF_PGI_5315.407-91"/>
      <w:bookmarkEnd w:id="6"/>
    </w:p>
    <w:p w14:paraId="3E83FF62" w14:textId="77777777" w:rsidR="001C3F4E" w:rsidRPr="009201F1" w:rsidRDefault="00565A69" w:rsidP="00977580">
      <w:pPr>
        <w:pStyle w:val="Heading3"/>
      </w:pPr>
      <w:r w:rsidRPr="009201F1">
        <w:rPr>
          <w:sz w:val="22"/>
          <w:szCs w:val="22"/>
        </w:rPr>
        <w:t>AF PGI 5315.407</w:t>
      </w:r>
      <w:r w:rsidR="00217F62" w:rsidRPr="009201F1">
        <w:rPr>
          <w:sz w:val="22"/>
          <w:szCs w:val="22"/>
        </w:rPr>
        <w:t>-91</w:t>
      </w:r>
      <w:r w:rsidRPr="009201F1">
        <w:rPr>
          <w:sz w:val="22"/>
          <w:szCs w:val="22"/>
        </w:rPr>
        <w:t xml:space="preserve"> </w:t>
      </w:r>
      <w:r w:rsidR="007B05B2" w:rsidRPr="009201F1">
        <w:rPr>
          <w:sz w:val="22"/>
          <w:szCs w:val="22"/>
        </w:rPr>
        <w:t xml:space="preserve">  </w:t>
      </w:r>
      <w:r w:rsidRPr="009201F1">
        <w:rPr>
          <w:sz w:val="22"/>
          <w:szCs w:val="22"/>
        </w:rPr>
        <w:t>Formula Pricing Agreements</w:t>
      </w:r>
      <w:r w:rsidR="00217F62" w:rsidRPr="009201F1">
        <w:rPr>
          <w:sz w:val="22"/>
          <w:szCs w:val="22"/>
        </w:rPr>
        <w:t xml:space="preserve"> (FPA)</w:t>
      </w:r>
    </w:p>
    <w:p w14:paraId="0C966374" w14:textId="77777777" w:rsidR="001C3F4E" w:rsidRPr="009201F1" w:rsidRDefault="00A131EA" w:rsidP="00977580">
      <w:pPr>
        <w:pStyle w:val="List1"/>
      </w:pPr>
      <w:r w:rsidRPr="009201F1">
        <w:rPr>
          <w:sz w:val="22"/>
          <w:szCs w:val="22"/>
        </w:rPr>
        <w:t>(a)</w:t>
      </w:r>
      <w:r w:rsidR="00565A69" w:rsidRPr="009201F1">
        <w:rPr>
          <w:sz w:val="22"/>
          <w:szCs w:val="22"/>
        </w:rPr>
        <w:t xml:space="preserve"> A</w:t>
      </w:r>
      <w:r w:rsidR="00217F62" w:rsidRPr="009201F1">
        <w:rPr>
          <w:sz w:val="22"/>
          <w:szCs w:val="22"/>
        </w:rPr>
        <w:t>n</w:t>
      </w:r>
      <w:r w:rsidR="00565A69" w:rsidRPr="009201F1">
        <w:rPr>
          <w:sz w:val="22"/>
          <w:szCs w:val="22"/>
        </w:rPr>
        <w:t xml:space="preserve"> FPA is any pricing agreement with a contractor that identifies the categories of purchases to be covered (e.g., F-l00 replenishment spares) and:</w:t>
      </w:r>
    </w:p>
    <w:p w14:paraId="24BFE7F8" w14:textId="77777777" w:rsidR="001C3F4E" w:rsidRPr="009201F1" w:rsidRDefault="00A131EA" w:rsidP="00977580">
      <w:pPr>
        <w:pStyle w:val="List2"/>
      </w:pPr>
      <w:r w:rsidRPr="009201F1">
        <w:rPr>
          <w:sz w:val="22"/>
        </w:rPr>
        <w:lastRenderedPageBreak/>
        <w:t>(1)</w:t>
      </w:r>
      <w:r w:rsidR="00565A69" w:rsidRPr="009201F1">
        <w:rPr>
          <w:sz w:val="22"/>
        </w:rPr>
        <w:t xml:space="preserve"> </w:t>
      </w:r>
      <w:r w:rsidR="00AE3E06" w:rsidRPr="009201F1">
        <w:rPr>
          <w:sz w:val="22"/>
        </w:rPr>
        <w:t>E</w:t>
      </w:r>
      <w:r w:rsidR="00565A69" w:rsidRPr="009201F1">
        <w:rPr>
          <w:sz w:val="22"/>
        </w:rPr>
        <w:t>stablishes the pricing methodology for more than one future contract action; and/or,</w:t>
      </w:r>
    </w:p>
    <w:p w14:paraId="42B14362" w14:textId="77777777" w:rsidR="001C3F4E" w:rsidRPr="009201F1" w:rsidRDefault="00A131EA" w:rsidP="00977580">
      <w:pPr>
        <w:pStyle w:val="List2"/>
      </w:pPr>
      <w:r w:rsidRPr="009201F1">
        <w:rPr>
          <w:sz w:val="22"/>
        </w:rPr>
        <w:t>(2)</w:t>
      </w:r>
      <w:r w:rsidR="00565A69" w:rsidRPr="009201F1">
        <w:rPr>
          <w:sz w:val="22"/>
        </w:rPr>
        <w:t xml:space="preserve"> </w:t>
      </w:r>
      <w:r w:rsidR="00AE3E06" w:rsidRPr="009201F1">
        <w:rPr>
          <w:sz w:val="22"/>
        </w:rPr>
        <w:t>E</w:t>
      </w:r>
      <w:r w:rsidR="00565A69" w:rsidRPr="009201F1">
        <w:rPr>
          <w:sz w:val="22"/>
        </w:rPr>
        <w:t>stablishes a pricing methodology for corporate contracts and strategic sourcing agreements; and/or,</w:t>
      </w:r>
    </w:p>
    <w:p w14:paraId="7B3E8B4E" w14:textId="77777777" w:rsidR="001C3F4E" w:rsidRPr="009201F1" w:rsidRDefault="00A131EA" w:rsidP="00977580">
      <w:pPr>
        <w:pStyle w:val="List2"/>
      </w:pPr>
      <w:r w:rsidRPr="009201F1">
        <w:rPr>
          <w:sz w:val="22"/>
        </w:rPr>
        <w:t>(3)</w:t>
      </w:r>
      <w:r w:rsidR="00565A69" w:rsidRPr="009201F1">
        <w:rPr>
          <w:sz w:val="22"/>
        </w:rPr>
        <w:t xml:space="preserve"> </w:t>
      </w:r>
      <w:r w:rsidR="00AE3E06" w:rsidRPr="009201F1">
        <w:rPr>
          <w:sz w:val="22"/>
        </w:rPr>
        <w:t>S</w:t>
      </w:r>
      <w:r w:rsidR="00565A69" w:rsidRPr="009201F1">
        <w:rPr>
          <w:sz w:val="22"/>
        </w:rPr>
        <w:t>pecifies the direct cost inputs and the rates and/or factors to be applied to ident</w:t>
      </w:r>
      <w:r w:rsidR="004322E0" w:rsidRPr="009201F1">
        <w:rPr>
          <w:sz w:val="22"/>
        </w:rPr>
        <w:t>ified bases plus profit or fee.</w:t>
      </w:r>
    </w:p>
    <w:p w14:paraId="289F4569" w14:textId="77777777" w:rsidR="001C3F4E" w:rsidRPr="009201F1" w:rsidRDefault="004322E0" w:rsidP="00977580">
      <w:pPr>
        <w:pStyle w:val="List2"/>
      </w:pPr>
      <w:r w:rsidRPr="009201F1">
        <w:rPr>
          <w:iCs/>
          <w:sz w:val="22"/>
        </w:rPr>
        <w:t xml:space="preserve">(4) </w:t>
      </w:r>
      <w:r w:rsidR="00565A69" w:rsidRPr="009201F1">
        <w:rPr>
          <w:iCs/>
          <w:sz w:val="22"/>
        </w:rPr>
        <w:t>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14:paraId="309AA30F" w14:textId="77777777" w:rsidR="001C3F4E" w:rsidRPr="009201F1" w:rsidRDefault="00A131EA" w:rsidP="00977580">
      <w:pPr>
        <w:pStyle w:val="List1"/>
      </w:pPr>
      <w:r w:rsidRPr="009201F1">
        <w:rPr>
          <w:sz w:val="22"/>
          <w:szCs w:val="22"/>
        </w:rPr>
        <w:t>(b)</w:t>
      </w:r>
      <w:r w:rsidR="00565A69" w:rsidRPr="009201F1">
        <w:rPr>
          <w:sz w:val="22"/>
          <w:szCs w:val="22"/>
        </w:rPr>
        <w:t xml:space="preserve"> A </w:t>
      </w:r>
      <w:r w:rsidR="00BA2809" w:rsidRPr="009201F1">
        <w:rPr>
          <w:sz w:val="22"/>
          <w:szCs w:val="22"/>
        </w:rPr>
        <w:t>c</w:t>
      </w:r>
      <w:r w:rsidR="00565A69" w:rsidRPr="009201F1">
        <w:rPr>
          <w:sz w:val="22"/>
          <w:szCs w:val="22"/>
        </w:rPr>
        <w:t xml:space="preserve">ontracting </w:t>
      </w:r>
      <w:r w:rsidR="00BA2809" w:rsidRPr="009201F1">
        <w:rPr>
          <w:sz w:val="22"/>
          <w:szCs w:val="22"/>
        </w:rPr>
        <w:t>o</w:t>
      </w:r>
      <w:r w:rsidR="00565A69" w:rsidRPr="009201F1">
        <w:rPr>
          <w:sz w:val="22"/>
          <w:szCs w:val="22"/>
        </w:rPr>
        <w:t>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w:t>
      </w:r>
      <w:r w:rsidR="005B5F73" w:rsidRPr="009201F1">
        <w:rPr>
          <w:sz w:val="22"/>
          <w:szCs w:val="22"/>
        </w:rPr>
        <w:t>ould</w:t>
      </w:r>
      <w:r w:rsidR="00565A69" w:rsidRPr="009201F1">
        <w:rPr>
          <w:sz w:val="22"/>
          <w:szCs w:val="22"/>
        </w:rPr>
        <w:t xml:space="preserve"> do so only if they have the staffing/capability to administer the FPA themselves. Use of an FPA does not exempt proposals from</w:t>
      </w:r>
      <w:r w:rsidR="00C569F8" w:rsidRPr="009201F1">
        <w:rPr>
          <w:sz w:val="22"/>
          <w:szCs w:val="22"/>
        </w:rPr>
        <w:t xml:space="preserve"> TINA</w:t>
      </w:r>
      <w:r w:rsidR="00565A69" w:rsidRPr="009201F1">
        <w:rPr>
          <w:sz w:val="22"/>
          <w:szCs w:val="22"/>
        </w:rPr>
        <w:t xml:space="preserve"> or other applicable laws or regulations.</w:t>
      </w:r>
    </w:p>
    <w:p w14:paraId="6E573D8D" w14:textId="77777777" w:rsidR="001C3F4E" w:rsidRPr="009201F1" w:rsidRDefault="00A131EA" w:rsidP="00977580">
      <w:pPr>
        <w:pStyle w:val="List1"/>
      </w:pPr>
      <w:r w:rsidRPr="009201F1">
        <w:rPr>
          <w:sz w:val="22"/>
          <w:szCs w:val="22"/>
        </w:rPr>
        <w:t>(c)</w:t>
      </w:r>
      <w:r w:rsidR="00565A69" w:rsidRPr="009201F1">
        <w:rPr>
          <w:sz w:val="22"/>
          <w:szCs w:val="22"/>
        </w:rPr>
        <w:t xml:space="preserve"> Content and Structure of FPAs.  All FPAs should:</w:t>
      </w:r>
    </w:p>
    <w:p w14:paraId="62EE0293" w14:textId="77777777" w:rsidR="001C3F4E" w:rsidRPr="009201F1" w:rsidRDefault="00A131EA" w:rsidP="00977580">
      <w:pPr>
        <w:pStyle w:val="List2"/>
      </w:pPr>
      <w:r w:rsidRPr="009201F1">
        <w:rPr>
          <w:sz w:val="22"/>
        </w:rPr>
        <w:lastRenderedPageBreak/>
        <w:t>(1)</w:t>
      </w:r>
      <w:r w:rsidR="00565A69" w:rsidRPr="009201F1">
        <w:rPr>
          <w:sz w:val="22"/>
        </w:rPr>
        <w:t xml:space="preserve"> </w:t>
      </w:r>
      <w:r w:rsidR="00A854A8" w:rsidRPr="009201F1">
        <w:rPr>
          <w:sz w:val="22"/>
        </w:rPr>
        <w:t>B</w:t>
      </w:r>
      <w:r w:rsidR="00565A69" w:rsidRPr="009201F1">
        <w:rPr>
          <w:sz w:val="22"/>
        </w:rPr>
        <w:t xml:space="preserve">e in writing and signed by the contracting officer and an authorized representative of the </w:t>
      </w:r>
      <w:r w:rsidR="0025432E" w:rsidRPr="009201F1">
        <w:rPr>
          <w:sz w:val="22"/>
        </w:rPr>
        <w:t>contractor;</w:t>
      </w:r>
    </w:p>
    <w:p w14:paraId="5C958CA5" w14:textId="77777777" w:rsidR="001C3F4E" w:rsidRPr="009201F1" w:rsidRDefault="00A131EA" w:rsidP="00977580">
      <w:pPr>
        <w:pStyle w:val="List2"/>
      </w:pPr>
      <w:r w:rsidRPr="009201F1">
        <w:rPr>
          <w:sz w:val="22"/>
        </w:rPr>
        <w:t>(2)</w:t>
      </w:r>
      <w:r w:rsidR="00565A69" w:rsidRPr="009201F1">
        <w:rPr>
          <w:sz w:val="22"/>
        </w:rPr>
        <w:t xml:space="preserve"> </w:t>
      </w:r>
      <w:r w:rsidR="00A854A8" w:rsidRPr="009201F1">
        <w:rPr>
          <w:sz w:val="22"/>
        </w:rPr>
        <w:t>C</w:t>
      </w:r>
      <w:r w:rsidR="00565A69" w:rsidRPr="009201F1">
        <w:rPr>
          <w:sz w:val="22"/>
        </w:rPr>
        <w:t>over no cost elements that would require d</w:t>
      </w:r>
      <w:r w:rsidR="0025432E" w:rsidRPr="009201F1">
        <w:rPr>
          <w:sz w:val="22"/>
        </w:rPr>
        <w:t>iscrete estimating and analysis;</w:t>
      </w:r>
    </w:p>
    <w:p w14:paraId="17E2B927" w14:textId="77777777" w:rsidR="001C3F4E" w:rsidRPr="009201F1" w:rsidRDefault="00A131EA" w:rsidP="00977580">
      <w:pPr>
        <w:pStyle w:val="List2"/>
      </w:pPr>
      <w:r w:rsidRPr="009201F1">
        <w:rPr>
          <w:sz w:val="22"/>
        </w:rPr>
        <w:t>(3)</w:t>
      </w:r>
      <w:r w:rsidR="00565A69" w:rsidRPr="009201F1">
        <w:rPr>
          <w:sz w:val="22"/>
        </w:rPr>
        <w:t xml:space="preserve"> </w:t>
      </w:r>
      <w:r w:rsidR="00A854A8" w:rsidRPr="009201F1">
        <w:rPr>
          <w:sz w:val="22"/>
        </w:rPr>
        <w:t>I</w:t>
      </w:r>
      <w:r w:rsidR="00565A69" w:rsidRPr="009201F1">
        <w:rPr>
          <w:sz w:val="22"/>
        </w:rPr>
        <w:t>dentify all rates and factors that are a part of the FPA. An FPA may reference FPRA(s), as long as it prescribes the effect and treatmen</w:t>
      </w:r>
      <w:r w:rsidR="0025432E" w:rsidRPr="009201F1">
        <w:rPr>
          <w:sz w:val="22"/>
        </w:rPr>
        <w:t>t of any changes in the FPRA(s);</w:t>
      </w:r>
    </w:p>
    <w:p w14:paraId="3DF4F619" w14:textId="77777777" w:rsidR="001C3F4E" w:rsidRPr="009201F1" w:rsidRDefault="00A131EA" w:rsidP="00977580">
      <w:pPr>
        <w:pStyle w:val="List2"/>
      </w:pPr>
      <w:r w:rsidRPr="009201F1">
        <w:rPr>
          <w:sz w:val="22"/>
        </w:rPr>
        <w:t>(4)</w:t>
      </w:r>
      <w:r w:rsidR="00565A69" w:rsidRPr="009201F1">
        <w:rPr>
          <w:sz w:val="22"/>
        </w:rPr>
        <w:t xml:space="preserve"> </w:t>
      </w:r>
      <w:r w:rsidR="00A854A8" w:rsidRPr="009201F1">
        <w:rPr>
          <w:sz w:val="22"/>
        </w:rPr>
        <w:t>E</w:t>
      </w:r>
      <w:r w:rsidR="00565A69" w:rsidRPr="009201F1">
        <w:rPr>
          <w:sz w:val="22"/>
        </w:rPr>
        <w:t>stablish terms and conditions covering application of the agreement, its expiration date, and any data requirements for systematic monitoring (e.g., provisions for review of actual cost data) to</w:t>
      </w:r>
      <w:r w:rsidR="0025432E" w:rsidRPr="009201F1">
        <w:rPr>
          <w:sz w:val="22"/>
        </w:rPr>
        <w:t xml:space="preserve"> ensure its continuing validity;</w:t>
      </w:r>
    </w:p>
    <w:p w14:paraId="2A256FFD" w14:textId="77777777" w:rsidR="001C3F4E" w:rsidRPr="009201F1" w:rsidRDefault="00A131EA" w:rsidP="00977580">
      <w:pPr>
        <w:pStyle w:val="List2"/>
      </w:pPr>
      <w:r w:rsidRPr="009201F1">
        <w:rPr>
          <w:sz w:val="22"/>
        </w:rPr>
        <w:t>(5)</w:t>
      </w:r>
      <w:r w:rsidR="00565A69" w:rsidRPr="009201F1">
        <w:rPr>
          <w:sz w:val="22"/>
        </w:rPr>
        <w:t xml:space="preserve"> </w:t>
      </w:r>
      <w:r w:rsidR="00A854A8" w:rsidRPr="009201F1">
        <w:rPr>
          <w:sz w:val="22"/>
        </w:rPr>
        <w:t>P</w:t>
      </w:r>
      <w:r w:rsidR="00565A69" w:rsidRPr="009201F1">
        <w:rPr>
          <w:sz w:val="22"/>
        </w:rPr>
        <w:t>rovide for cancellatio</w:t>
      </w:r>
      <w:r w:rsidR="0025432E" w:rsidRPr="009201F1">
        <w:rPr>
          <w:sz w:val="22"/>
        </w:rPr>
        <w:t>n at the option of either party;</w:t>
      </w:r>
    </w:p>
    <w:p w14:paraId="5EB97D97" w14:textId="77777777" w:rsidR="001C3F4E" w:rsidRPr="009201F1" w:rsidRDefault="00A131EA" w:rsidP="00977580">
      <w:pPr>
        <w:pStyle w:val="List2"/>
      </w:pPr>
      <w:r w:rsidRPr="009201F1">
        <w:rPr>
          <w:sz w:val="22"/>
        </w:rPr>
        <w:t>(6)</w:t>
      </w:r>
      <w:r w:rsidR="00565A69" w:rsidRPr="009201F1">
        <w:rPr>
          <w:sz w:val="22"/>
        </w:rPr>
        <w:t xml:space="preserve"> </w:t>
      </w:r>
      <w:r w:rsidR="00A854A8" w:rsidRPr="009201F1">
        <w:rPr>
          <w:sz w:val="22"/>
        </w:rPr>
        <w:t>R</w:t>
      </w:r>
      <w:r w:rsidR="00565A69" w:rsidRPr="009201F1">
        <w:rPr>
          <w:sz w:val="22"/>
        </w:rPr>
        <w:t>equire the contractor to notify the contracting officer and the cognizant contract auditor of any significant change in its estimating/accounting system or the cost or pricing data and</w:t>
      </w:r>
      <w:r w:rsidR="0025432E" w:rsidRPr="009201F1">
        <w:rPr>
          <w:sz w:val="22"/>
        </w:rPr>
        <w:t xml:space="preserve"> describe the impact on the FPA;</w:t>
      </w:r>
    </w:p>
    <w:p w14:paraId="7AC93C82" w14:textId="77777777" w:rsidR="001C3F4E" w:rsidRPr="009201F1" w:rsidRDefault="00A131EA" w:rsidP="00977580">
      <w:pPr>
        <w:pStyle w:val="List2"/>
      </w:pPr>
      <w:r w:rsidRPr="009201F1">
        <w:rPr>
          <w:sz w:val="22"/>
        </w:rPr>
        <w:t>(7)</w:t>
      </w:r>
      <w:r w:rsidR="00565A69" w:rsidRPr="009201F1">
        <w:rPr>
          <w:sz w:val="22"/>
        </w:rPr>
        <w:t xml:space="preserve"> </w:t>
      </w:r>
      <w:r w:rsidR="00AE3E06" w:rsidRPr="009201F1">
        <w:rPr>
          <w:sz w:val="22"/>
        </w:rPr>
        <w:t>R</w:t>
      </w:r>
      <w:r w:rsidR="00565A69" w:rsidRPr="009201F1">
        <w:rPr>
          <w:sz w:val="22"/>
        </w:rPr>
        <w:t>equire the contractor to identify in each specific pricing proposal where the agreement is used:</w:t>
      </w:r>
    </w:p>
    <w:p w14:paraId="0EB8EE7C" w14:textId="77777777" w:rsidR="001C3F4E" w:rsidRPr="009201F1" w:rsidRDefault="00565A69" w:rsidP="00977580">
      <w:pPr>
        <w:pStyle w:val="List3"/>
      </w:pPr>
      <w:r w:rsidRPr="009201F1">
        <w:rPr>
          <w:sz w:val="22"/>
        </w:rPr>
        <w:t>(</w:t>
      </w:r>
      <w:proofErr w:type="spellStart"/>
      <w:r w:rsidRPr="009201F1">
        <w:rPr>
          <w:sz w:val="22"/>
        </w:rPr>
        <w:t>i</w:t>
      </w:r>
      <w:proofErr w:type="spellEnd"/>
      <w:r w:rsidRPr="009201F1">
        <w:rPr>
          <w:sz w:val="22"/>
        </w:rPr>
        <w:t xml:space="preserve">) </w:t>
      </w:r>
      <w:r w:rsidR="00A854A8" w:rsidRPr="009201F1">
        <w:rPr>
          <w:sz w:val="22"/>
        </w:rPr>
        <w:t>T</w:t>
      </w:r>
      <w:r w:rsidRPr="009201F1">
        <w:rPr>
          <w:sz w:val="22"/>
        </w:rPr>
        <w:t>he FPA and the date of the latest certification of cost or pricing data supporting it; and</w:t>
      </w:r>
      <w:r w:rsidR="0025432E" w:rsidRPr="009201F1">
        <w:rPr>
          <w:sz w:val="22"/>
        </w:rPr>
        <w:t>,</w:t>
      </w:r>
    </w:p>
    <w:p w14:paraId="4DF552AD" w14:textId="77777777" w:rsidR="001C3F4E" w:rsidRPr="009201F1" w:rsidRDefault="00565A69" w:rsidP="00977580">
      <w:pPr>
        <w:pStyle w:val="List3"/>
      </w:pPr>
      <w:r w:rsidRPr="009201F1">
        <w:rPr>
          <w:sz w:val="22"/>
        </w:rPr>
        <w:t xml:space="preserve">(ii) </w:t>
      </w:r>
      <w:r w:rsidR="00A854A8" w:rsidRPr="009201F1">
        <w:rPr>
          <w:sz w:val="22"/>
        </w:rPr>
        <w:t>A</w:t>
      </w:r>
      <w:r w:rsidRPr="009201F1">
        <w:rPr>
          <w:sz w:val="22"/>
        </w:rPr>
        <w:t>ny items in the proposal that are</w:t>
      </w:r>
      <w:r w:rsidR="0025432E" w:rsidRPr="009201F1">
        <w:rPr>
          <w:sz w:val="22"/>
        </w:rPr>
        <w:t xml:space="preserve"> not priced under the agreement;</w:t>
      </w:r>
    </w:p>
    <w:p w14:paraId="7A9B9B5D" w14:textId="77777777" w:rsidR="001C3F4E" w:rsidRPr="009201F1" w:rsidRDefault="00A131EA" w:rsidP="00977580">
      <w:pPr>
        <w:pStyle w:val="List2"/>
      </w:pPr>
      <w:r w:rsidRPr="009201F1">
        <w:rPr>
          <w:sz w:val="22"/>
        </w:rPr>
        <w:t>(8)</w:t>
      </w:r>
      <w:r w:rsidR="00565A69" w:rsidRPr="009201F1">
        <w:rPr>
          <w:sz w:val="22"/>
        </w:rPr>
        <w:t xml:space="preserve"> </w:t>
      </w:r>
      <w:r w:rsidR="00A854A8" w:rsidRPr="009201F1">
        <w:rPr>
          <w:sz w:val="22"/>
        </w:rPr>
        <w:t>I</w:t>
      </w:r>
      <w:r w:rsidR="00565A69" w:rsidRPr="009201F1">
        <w:rPr>
          <w:sz w:val="22"/>
        </w:rPr>
        <w:t xml:space="preserve">ndicate that the FPA </w:t>
      </w:r>
      <w:r w:rsidR="00D329F2" w:rsidRPr="009201F1">
        <w:rPr>
          <w:sz w:val="22"/>
        </w:rPr>
        <w:t xml:space="preserve">should </w:t>
      </w:r>
      <w:r w:rsidR="00565A69" w:rsidRPr="009201F1">
        <w:rPr>
          <w:sz w:val="22"/>
        </w:rPr>
        <w:t>not be used if the contractor’s purchasing, estimating or accounting systems ar</w:t>
      </w:r>
      <w:r w:rsidR="0025432E" w:rsidRPr="009201F1">
        <w:rPr>
          <w:sz w:val="22"/>
        </w:rPr>
        <w:t>e disapproved by the Government;</w:t>
      </w:r>
    </w:p>
    <w:p w14:paraId="234B089E" w14:textId="77777777" w:rsidR="001C3F4E" w:rsidRPr="009201F1" w:rsidRDefault="00A131EA" w:rsidP="00977580">
      <w:pPr>
        <w:pStyle w:val="List2"/>
      </w:pPr>
      <w:r w:rsidRPr="009201F1">
        <w:rPr>
          <w:sz w:val="22"/>
        </w:rPr>
        <w:t>(9)</w:t>
      </w:r>
      <w:r w:rsidR="00565A69" w:rsidRPr="009201F1">
        <w:rPr>
          <w:sz w:val="22"/>
        </w:rPr>
        <w:t xml:space="preserve"> </w:t>
      </w:r>
      <w:r w:rsidR="00A854A8" w:rsidRPr="009201F1">
        <w:rPr>
          <w:sz w:val="22"/>
        </w:rPr>
        <w:t>A</w:t>
      </w:r>
      <w:r w:rsidR="00565A69" w:rsidRPr="009201F1">
        <w:rPr>
          <w:sz w:val="22"/>
        </w:rPr>
        <w:t>llow for the contracting officer, or designated representative, to perform detailed cost or price analysis on random samples of proposed items and/or items that have unit prices that are signific</w:t>
      </w:r>
      <w:r w:rsidR="0025432E" w:rsidRPr="009201F1">
        <w:rPr>
          <w:sz w:val="22"/>
        </w:rPr>
        <w:t>antly higher than previous buys;</w:t>
      </w:r>
    </w:p>
    <w:p w14:paraId="7954127D" w14:textId="77777777" w:rsidR="001C3F4E" w:rsidRPr="009201F1" w:rsidRDefault="00A131EA" w:rsidP="00977580">
      <w:pPr>
        <w:pStyle w:val="List2"/>
      </w:pPr>
      <w:r w:rsidRPr="009201F1">
        <w:rPr>
          <w:sz w:val="22"/>
        </w:rPr>
        <w:t>(10)</w:t>
      </w:r>
      <w:r w:rsidR="00565A69" w:rsidRPr="009201F1">
        <w:rPr>
          <w:sz w:val="22"/>
        </w:rPr>
        <w:t xml:space="preserve"> </w:t>
      </w:r>
      <w:r w:rsidR="00A854A8" w:rsidRPr="009201F1">
        <w:rPr>
          <w:sz w:val="22"/>
        </w:rPr>
        <w:t>B</w:t>
      </w:r>
      <w:r w:rsidR="00565A69" w:rsidRPr="009201F1">
        <w:rPr>
          <w:sz w:val="22"/>
        </w:rPr>
        <w:t xml:space="preserve">e supported by </w:t>
      </w:r>
      <w:r w:rsidR="005B5F73" w:rsidRPr="009201F1">
        <w:rPr>
          <w:sz w:val="22"/>
        </w:rPr>
        <w:t xml:space="preserve">certified </w:t>
      </w:r>
      <w:r w:rsidR="00565A69" w:rsidRPr="009201F1">
        <w:rPr>
          <w:sz w:val="22"/>
        </w:rPr>
        <w:t xml:space="preserve">cost or pricing data (see FAR 15.403-4) and a signed </w:t>
      </w:r>
      <w:r w:rsidR="005B5F73" w:rsidRPr="009201F1">
        <w:rPr>
          <w:sz w:val="22"/>
        </w:rPr>
        <w:t>C</w:t>
      </w:r>
      <w:r w:rsidR="00565A69" w:rsidRPr="009201F1">
        <w:rPr>
          <w:sz w:val="22"/>
        </w:rPr>
        <w:t xml:space="preserve">ertificate of </w:t>
      </w:r>
      <w:r w:rsidR="005B5F73" w:rsidRPr="009201F1">
        <w:rPr>
          <w:sz w:val="22"/>
        </w:rPr>
        <w:t>C</w:t>
      </w:r>
      <w:r w:rsidR="00565A69" w:rsidRPr="009201F1">
        <w:rPr>
          <w:sz w:val="22"/>
        </w:rPr>
        <w:t xml:space="preserve">urrent </w:t>
      </w:r>
      <w:r w:rsidR="005B5F73" w:rsidRPr="009201F1">
        <w:rPr>
          <w:sz w:val="22"/>
        </w:rPr>
        <w:t>C</w:t>
      </w:r>
      <w:r w:rsidR="00565A69" w:rsidRPr="009201F1">
        <w:rPr>
          <w:sz w:val="22"/>
        </w:rPr>
        <w:t xml:space="preserve">ost or </w:t>
      </w:r>
      <w:r w:rsidR="005B5F73" w:rsidRPr="009201F1">
        <w:rPr>
          <w:sz w:val="22"/>
        </w:rPr>
        <w:t>P</w:t>
      </w:r>
      <w:r w:rsidR="00565A69" w:rsidRPr="009201F1">
        <w:rPr>
          <w:sz w:val="22"/>
        </w:rPr>
        <w:t xml:space="preserve">ricing </w:t>
      </w:r>
      <w:r w:rsidR="005B5F73" w:rsidRPr="009201F1">
        <w:rPr>
          <w:sz w:val="22"/>
        </w:rPr>
        <w:t>D</w:t>
      </w:r>
      <w:r w:rsidR="00565A69" w:rsidRPr="009201F1">
        <w:rPr>
          <w:sz w:val="22"/>
        </w:rPr>
        <w:t>ata that is submitted when agreement on the FPA is re</w:t>
      </w:r>
      <w:r w:rsidR="0025432E" w:rsidRPr="009201F1">
        <w:rPr>
          <w:sz w:val="22"/>
        </w:rPr>
        <w:t>ached (and annually thereafter);</w:t>
      </w:r>
    </w:p>
    <w:p w14:paraId="0BED5659" w14:textId="77777777" w:rsidR="001C3F4E" w:rsidRPr="009201F1" w:rsidRDefault="00A131EA" w:rsidP="00977580">
      <w:pPr>
        <w:pStyle w:val="List2"/>
      </w:pPr>
      <w:r w:rsidRPr="009201F1">
        <w:rPr>
          <w:sz w:val="22"/>
        </w:rPr>
        <w:t>(11)</w:t>
      </w:r>
      <w:r w:rsidR="00565A69" w:rsidRPr="009201F1">
        <w:rPr>
          <w:sz w:val="22"/>
        </w:rPr>
        <w:t xml:space="preserve"> </w:t>
      </w:r>
      <w:r w:rsidR="00A854A8" w:rsidRPr="009201F1">
        <w:rPr>
          <w:sz w:val="22"/>
        </w:rPr>
        <w:t>P</w:t>
      </w:r>
      <w:r w:rsidR="00565A69" w:rsidRPr="009201F1">
        <w:rPr>
          <w:sz w:val="22"/>
        </w:rPr>
        <w:t>rovide that contractual documents for items priced using the FPA, include:</w:t>
      </w:r>
    </w:p>
    <w:p w14:paraId="7A0AA69A" w14:textId="77777777" w:rsidR="001C3F4E" w:rsidRPr="009201F1" w:rsidRDefault="00565A69" w:rsidP="00977580">
      <w:pPr>
        <w:pStyle w:val="List3"/>
      </w:pPr>
      <w:r w:rsidRPr="009201F1">
        <w:rPr>
          <w:sz w:val="22"/>
        </w:rPr>
        <w:t>(</w:t>
      </w:r>
      <w:proofErr w:type="spellStart"/>
      <w:r w:rsidRPr="009201F1">
        <w:rPr>
          <w:sz w:val="22"/>
        </w:rPr>
        <w:t>i</w:t>
      </w:r>
      <w:proofErr w:type="spellEnd"/>
      <w:r w:rsidRPr="009201F1">
        <w:rPr>
          <w:sz w:val="22"/>
        </w:rPr>
        <w:t xml:space="preserve">) </w:t>
      </w:r>
      <w:r w:rsidR="00A854A8" w:rsidRPr="009201F1">
        <w:rPr>
          <w:sz w:val="22"/>
        </w:rPr>
        <w:t>T</w:t>
      </w:r>
      <w:r w:rsidRPr="009201F1">
        <w:rPr>
          <w:sz w:val="22"/>
        </w:rPr>
        <w:t xml:space="preserve">he statement at FAR 52.215-10, Price Reduction for Defective </w:t>
      </w:r>
      <w:r w:rsidR="009F496E" w:rsidRPr="009201F1">
        <w:rPr>
          <w:sz w:val="22"/>
        </w:rPr>
        <w:t xml:space="preserve">Certified </w:t>
      </w:r>
      <w:r w:rsidRPr="009201F1">
        <w:rPr>
          <w:sz w:val="22"/>
        </w:rPr>
        <w:t>Cost or Pricing Data; and</w:t>
      </w:r>
      <w:r w:rsidR="0025432E" w:rsidRPr="009201F1">
        <w:rPr>
          <w:sz w:val="22"/>
        </w:rPr>
        <w:t>,</w:t>
      </w:r>
    </w:p>
    <w:p w14:paraId="5781B639" w14:textId="77777777" w:rsidR="001C3F4E" w:rsidRPr="009201F1" w:rsidRDefault="00565A69" w:rsidP="00977580">
      <w:pPr>
        <w:pStyle w:val="List3"/>
      </w:pPr>
      <w:r w:rsidRPr="009201F1">
        <w:rPr>
          <w:sz w:val="22"/>
        </w:rPr>
        <w:t xml:space="preserve">(ii) </w:t>
      </w:r>
      <w:r w:rsidR="00A854A8" w:rsidRPr="009201F1">
        <w:rPr>
          <w:sz w:val="22"/>
        </w:rPr>
        <w:t>A</w:t>
      </w:r>
      <w:r w:rsidRPr="009201F1">
        <w:rPr>
          <w:sz w:val="22"/>
        </w:rPr>
        <w:t xml:space="preserve"> clause inc</w:t>
      </w:r>
      <w:r w:rsidR="0025432E" w:rsidRPr="009201F1">
        <w:rPr>
          <w:sz w:val="22"/>
        </w:rPr>
        <w:t>orporating the FPA by reference.</w:t>
      </w:r>
    </w:p>
    <w:p w14:paraId="5443A22A" w14:textId="77777777" w:rsidR="001C3F4E" w:rsidRPr="009201F1" w:rsidRDefault="00A131EA" w:rsidP="00977580">
      <w:pPr>
        <w:pStyle w:val="List2"/>
      </w:pPr>
      <w:r w:rsidRPr="009201F1">
        <w:rPr>
          <w:sz w:val="22"/>
        </w:rPr>
        <w:t>(12)</w:t>
      </w:r>
      <w:r w:rsidR="00565A69" w:rsidRPr="009201F1">
        <w:rPr>
          <w:sz w:val="22"/>
        </w:rPr>
        <w:t xml:space="preserve"> </w:t>
      </w:r>
      <w:r w:rsidR="00A854A8" w:rsidRPr="009201F1">
        <w:rPr>
          <w:sz w:val="22"/>
        </w:rPr>
        <w:t>B</w:t>
      </w:r>
      <w:r w:rsidR="00565A69" w:rsidRPr="009201F1">
        <w:rPr>
          <w:sz w:val="22"/>
        </w:rPr>
        <w:t>e based on a pricing methodology that ensures that unit prices are in proportion to the item’s base cost (see FAR 15.404-1(f)) and that prices may be adjusted, if it is found that:</w:t>
      </w:r>
    </w:p>
    <w:p w14:paraId="6F5F1B7E" w14:textId="77777777" w:rsidR="001C3F4E" w:rsidRPr="009201F1" w:rsidRDefault="00565A69" w:rsidP="00977580">
      <w:pPr>
        <w:pStyle w:val="List3"/>
      </w:pPr>
      <w:r w:rsidRPr="009201F1">
        <w:rPr>
          <w:sz w:val="22"/>
        </w:rPr>
        <w:t>(</w:t>
      </w:r>
      <w:proofErr w:type="spellStart"/>
      <w:r w:rsidRPr="009201F1">
        <w:rPr>
          <w:sz w:val="22"/>
        </w:rPr>
        <w:t>i</w:t>
      </w:r>
      <w:proofErr w:type="spellEnd"/>
      <w:r w:rsidRPr="009201F1">
        <w:rPr>
          <w:sz w:val="22"/>
        </w:rPr>
        <w:t xml:space="preserve">) </w:t>
      </w:r>
      <w:r w:rsidR="00A854A8" w:rsidRPr="009201F1">
        <w:rPr>
          <w:sz w:val="22"/>
        </w:rPr>
        <w:t>C</w:t>
      </w:r>
      <w:r w:rsidRPr="009201F1">
        <w:rPr>
          <w:sz w:val="22"/>
        </w:rPr>
        <w:t>ost or pricing data supporting the FPA were not accurate, current or complete; or</w:t>
      </w:r>
      <w:r w:rsidR="0025432E" w:rsidRPr="009201F1">
        <w:rPr>
          <w:sz w:val="22"/>
        </w:rPr>
        <w:t>,</w:t>
      </w:r>
    </w:p>
    <w:p w14:paraId="70BC4AA2" w14:textId="77777777" w:rsidR="001C3F4E" w:rsidRPr="009201F1" w:rsidRDefault="00565A69" w:rsidP="00977580">
      <w:pPr>
        <w:pStyle w:val="List3"/>
      </w:pPr>
      <w:r w:rsidRPr="009201F1">
        <w:rPr>
          <w:sz w:val="22"/>
        </w:rPr>
        <w:t xml:space="preserve">(ii) </w:t>
      </w:r>
      <w:r w:rsidR="00A854A8" w:rsidRPr="009201F1">
        <w:rPr>
          <w:sz w:val="22"/>
        </w:rPr>
        <w:t>T</w:t>
      </w:r>
      <w:r w:rsidRPr="009201F1">
        <w:rPr>
          <w:sz w:val="22"/>
        </w:rPr>
        <w:t>he price was developed through i</w:t>
      </w:r>
      <w:r w:rsidR="0025432E" w:rsidRPr="009201F1">
        <w:rPr>
          <w:sz w:val="22"/>
        </w:rPr>
        <w:t>ncorrect application of the FPA.</w:t>
      </w:r>
    </w:p>
    <w:p w14:paraId="17B3D7AF" w14:textId="77777777" w:rsidR="001C3F4E" w:rsidRPr="009201F1" w:rsidRDefault="00A131EA" w:rsidP="00977580">
      <w:pPr>
        <w:pStyle w:val="List1"/>
      </w:pPr>
      <w:r w:rsidRPr="009201F1">
        <w:rPr>
          <w:sz w:val="22"/>
          <w:szCs w:val="22"/>
        </w:rPr>
        <w:t>(d)</w:t>
      </w:r>
      <w:r w:rsidR="00565A69" w:rsidRPr="009201F1">
        <w:rPr>
          <w:sz w:val="22"/>
          <w:szCs w:val="22"/>
        </w:rPr>
        <w:t xml:space="preserve"> Contracting </w:t>
      </w:r>
      <w:r w:rsidR="00D20C5B" w:rsidRPr="009201F1">
        <w:rPr>
          <w:sz w:val="22"/>
          <w:szCs w:val="22"/>
        </w:rPr>
        <w:t>o</w:t>
      </w:r>
      <w:r w:rsidR="00565A69" w:rsidRPr="009201F1">
        <w:rPr>
          <w:sz w:val="22"/>
          <w:szCs w:val="22"/>
        </w:rPr>
        <w:t xml:space="preserve">ffice </w:t>
      </w:r>
      <w:r w:rsidR="00D20C5B" w:rsidRPr="009201F1">
        <w:rPr>
          <w:sz w:val="22"/>
          <w:szCs w:val="22"/>
        </w:rPr>
        <w:t>r</w:t>
      </w:r>
      <w:r w:rsidR="00565A69" w:rsidRPr="009201F1">
        <w:rPr>
          <w:sz w:val="22"/>
          <w:szCs w:val="22"/>
        </w:rPr>
        <w:t>esponsibilities</w:t>
      </w:r>
      <w:r w:rsidR="003D19A2" w:rsidRPr="009201F1">
        <w:rPr>
          <w:sz w:val="22"/>
          <w:szCs w:val="22"/>
        </w:rPr>
        <w:t>,</w:t>
      </w:r>
      <w:r w:rsidR="00565A69" w:rsidRPr="009201F1">
        <w:rPr>
          <w:sz w:val="22"/>
          <w:szCs w:val="22"/>
        </w:rPr>
        <w:t xml:space="preserve"> as appropriate</w:t>
      </w:r>
      <w:r w:rsidR="003D19A2" w:rsidRPr="009201F1">
        <w:rPr>
          <w:sz w:val="22"/>
          <w:szCs w:val="22"/>
        </w:rPr>
        <w:t>:</w:t>
      </w:r>
      <w:r w:rsidR="00565A69" w:rsidRPr="009201F1">
        <w:rPr>
          <w:sz w:val="22"/>
          <w:szCs w:val="22"/>
        </w:rPr>
        <w:t xml:space="preserve"> </w:t>
      </w:r>
    </w:p>
    <w:p w14:paraId="32513758" w14:textId="77777777" w:rsidR="001C3F4E" w:rsidRPr="009201F1" w:rsidRDefault="00A131EA" w:rsidP="00977580">
      <w:pPr>
        <w:pStyle w:val="List2"/>
      </w:pPr>
      <w:r w:rsidRPr="009201F1">
        <w:rPr>
          <w:sz w:val="22"/>
        </w:rPr>
        <w:lastRenderedPageBreak/>
        <w:t>(1)</w:t>
      </w:r>
      <w:r w:rsidR="00565A69" w:rsidRPr="009201F1">
        <w:rPr>
          <w:sz w:val="22"/>
        </w:rPr>
        <w:t xml:space="preserve"> </w:t>
      </w:r>
      <w:r w:rsidR="00A854A8" w:rsidRPr="009201F1">
        <w:rPr>
          <w:sz w:val="22"/>
        </w:rPr>
        <w:t>E</w:t>
      </w:r>
      <w:r w:rsidR="00565A69" w:rsidRPr="009201F1">
        <w:rPr>
          <w:sz w:val="22"/>
        </w:rPr>
        <w:t>stablish appro</w:t>
      </w:r>
      <w:r w:rsidR="0025432E" w:rsidRPr="009201F1">
        <w:rPr>
          <w:sz w:val="22"/>
        </w:rPr>
        <w:t>priate approval levels for FPAs;</w:t>
      </w:r>
    </w:p>
    <w:p w14:paraId="1EEC3F9A" w14:textId="77777777" w:rsidR="001C3F4E" w:rsidRPr="009201F1" w:rsidRDefault="00A131EA" w:rsidP="00977580">
      <w:pPr>
        <w:pStyle w:val="List2"/>
      </w:pPr>
      <w:r w:rsidRPr="009201F1">
        <w:rPr>
          <w:sz w:val="22"/>
        </w:rPr>
        <w:t>(2)</w:t>
      </w:r>
      <w:r w:rsidR="00565A69" w:rsidRPr="009201F1">
        <w:rPr>
          <w:sz w:val="22"/>
        </w:rPr>
        <w:t xml:space="preserve"> </w:t>
      </w:r>
      <w:r w:rsidR="00A854A8" w:rsidRPr="009201F1">
        <w:rPr>
          <w:sz w:val="22"/>
        </w:rPr>
        <w:t>M</w:t>
      </w:r>
      <w:r w:rsidR="00565A69" w:rsidRPr="009201F1">
        <w:rPr>
          <w:sz w:val="22"/>
        </w:rPr>
        <w:t xml:space="preserve">aintain a list of FPAs that identifies each company and the group </w:t>
      </w:r>
      <w:r w:rsidR="0025432E" w:rsidRPr="009201F1">
        <w:rPr>
          <w:sz w:val="22"/>
        </w:rPr>
        <w:t>of items covered under each FPA;</w:t>
      </w:r>
    </w:p>
    <w:p w14:paraId="58BCF2A4" w14:textId="77777777" w:rsidR="00CD6B55" w:rsidRDefault="00A131EA" w:rsidP="00977580">
      <w:pPr>
        <w:pStyle w:val="List2"/>
        <w:rPr>
          <w:sz w:val="22"/>
        </w:rPr>
      </w:pPr>
      <w:r w:rsidRPr="009201F1">
        <w:rPr>
          <w:sz w:val="22"/>
        </w:rPr>
        <w:t>(3)</w:t>
      </w:r>
      <w:r w:rsidR="00565A69" w:rsidRPr="009201F1">
        <w:rPr>
          <w:sz w:val="22"/>
        </w:rPr>
        <w:t xml:space="preserve"> </w:t>
      </w:r>
      <w:r w:rsidR="00A854A8" w:rsidRPr="009201F1">
        <w:rPr>
          <w:sz w:val="22"/>
        </w:rPr>
        <w:t>C</w:t>
      </w:r>
      <w:r w:rsidR="00565A69" w:rsidRPr="009201F1">
        <w:rPr>
          <w:sz w:val="22"/>
        </w:rPr>
        <w:t>onduct periodic reviews of FPAs and con</w:t>
      </w:r>
      <w:r w:rsidR="0025432E" w:rsidRPr="009201F1">
        <w:rPr>
          <w:sz w:val="22"/>
        </w:rPr>
        <w:t>tract actions priced using FPAs;</w:t>
      </w:r>
      <w:r w:rsidR="00565A69" w:rsidRPr="009201F1">
        <w:rPr>
          <w:sz w:val="22"/>
        </w:rPr>
        <w:t xml:space="preserve"> </w:t>
      </w:r>
      <w:r w:rsidR="0025432E" w:rsidRPr="009201F1">
        <w:rPr>
          <w:sz w:val="22"/>
        </w:rPr>
        <w:t>and,</w:t>
      </w:r>
    </w:p>
    <w:p w14:paraId="509257C5" w14:textId="499E4B56" w:rsidR="001C3F4E" w:rsidRPr="009201F1" w:rsidRDefault="00A131EA" w:rsidP="00977580">
      <w:pPr>
        <w:pStyle w:val="List2"/>
      </w:pPr>
      <w:r w:rsidRPr="009201F1">
        <w:rPr>
          <w:sz w:val="22"/>
        </w:rPr>
        <w:t>(4)</w:t>
      </w:r>
      <w:r w:rsidR="00565A69" w:rsidRPr="009201F1">
        <w:rPr>
          <w:sz w:val="22"/>
        </w:rPr>
        <w:t xml:space="preserve"> </w:t>
      </w:r>
      <w:r w:rsidR="00A854A8" w:rsidRPr="009201F1">
        <w:rPr>
          <w:sz w:val="22"/>
        </w:rPr>
        <w:t>E</w:t>
      </w:r>
      <w:r w:rsidR="00565A69" w:rsidRPr="009201F1">
        <w:rPr>
          <w:sz w:val="22"/>
        </w:rPr>
        <w:t>stablish agreements with appropriate contract administration offices to provide field pricing support, negotiation support, and administr</w:t>
      </w:r>
      <w:r w:rsidR="0025432E" w:rsidRPr="009201F1">
        <w:rPr>
          <w:sz w:val="22"/>
        </w:rPr>
        <w:t>ative support of Air Force FPAs.</w:t>
      </w:r>
    </w:p>
    <w:p w14:paraId="65C2C7CC" w14:textId="77777777" w:rsidR="001C3F4E" w:rsidRPr="009201F1" w:rsidRDefault="00A131EA" w:rsidP="00977580">
      <w:pPr>
        <w:pStyle w:val="List1"/>
      </w:pPr>
      <w:r w:rsidRPr="009201F1">
        <w:rPr>
          <w:sz w:val="22"/>
          <w:szCs w:val="22"/>
        </w:rPr>
        <w:t>(e)</w:t>
      </w:r>
      <w:r w:rsidR="00565A69" w:rsidRPr="009201F1">
        <w:rPr>
          <w:sz w:val="22"/>
          <w:szCs w:val="22"/>
        </w:rPr>
        <w:t xml:space="preserve"> Contracting </w:t>
      </w:r>
      <w:r w:rsidR="00BA2809" w:rsidRPr="009201F1">
        <w:rPr>
          <w:sz w:val="22"/>
          <w:szCs w:val="22"/>
        </w:rPr>
        <w:t>o</w:t>
      </w:r>
      <w:r w:rsidR="00565A69" w:rsidRPr="009201F1">
        <w:rPr>
          <w:sz w:val="22"/>
          <w:szCs w:val="22"/>
        </w:rPr>
        <w:t xml:space="preserve">fficer </w:t>
      </w:r>
      <w:r w:rsidR="00D20C5B" w:rsidRPr="009201F1">
        <w:rPr>
          <w:sz w:val="22"/>
          <w:szCs w:val="22"/>
        </w:rPr>
        <w:t>r</w:t>
      </w:r>
      <w:r w:rsidR="00565A69" w:rsidRPr="009201F1">
        <w:rPr>
          <w:sz w:val="22"/>
          <w:szCs w:val="22"/>
        </w:rPr>
        <w:t>esponsibilities, as appropriate:</w:t>
      </w:r>
    </w:p>
    <w:p w14:paraId="3CEE7543" w14:textId="77777777" w:rsidR="001C3F4E" w:rsidRPr="009201F1" w:rsidRDefault="00A131EA" w:rsidP="00977580">
      <w:pPr>
        <w:pStyle w:val="List2"/>
      </w:pPr>
      <w:r w:rsidRPr="009201F1">
        <w:rPr>
          <w:sz w:val="22"/>
        </w:rPr>
        <w:t>(1)</w:t>
      </w:r>
      <w:r w:rsidR="00565A69" w:rsidRPr="009201F1">
        <w:rPr>
          <w:sz w:val="22"/>
        </w:rPr>
        <w:t xml:space="preserve"> </w:t>
      </w:r>
      <w:r w:rsidR="00AE3E06" w:rsidRPr="009201F1">
        <w:rPr>
          <w:sz w:val="22"/>
        </w:rPr>
        <w:t>O</w:t>
      </w:r>
      <w:r w:rsidR="00565A69" w:rsidRPr="009201F1">
        <w:rPr>
          <w:sz w:val="22"/>
        </w:rPr>
        <w:t>btain field pricing support, including contract audit and technical reviews, in the eva</w:t>
      </w:r>
      <w:r w:rsidR="0025432E" w:rsidRPr="009201F1">
        <w:rPr>
          <w:sz w:val="22"/>
        </w:rPr>
        <w:t>luation and negotiation of FPAs;</w:t>
      </w:r>
    </w:p>
    <w:p w14:paraId="3E6ABC45" w14:textId="77777777" w:rsidR="001C3F4E" w:rsidRPr="009201F1" w:rsidRDefault="00A131EA" w:rsidP="00977580">
      <w:pPr>
        <w:pStyle w:val="List2"/>
      </w:pPr>
      <w:r w:rsidRPr="009201F1">
        <w:rPr>
          <w:sz w:val="22"/>
        </w:rPr>
        <w:t>(2)</w:t>
      </w:r>
      <w:r w:rsidR="00565A69" w:rsidRPr="009201F1">
        <w:rPr>
          <w:sz w:val="22"/>
        </w:rPr>
        <w:t xml:space="preserve"> </w:t>
      </w:r>
      <w:r w:rsidR="00AE3E06" w:rsidRPr="009201F1">
        <w:rPr>
          <w:sz w:val="22"/>
        </w:rPr>
        <w:t>P</w:t>
      </w:r>
      <w:r w:rsidR="00565A69" w:rsidRPr="009201F1">
        <w:rPr>
          <w:sz w:val="22"/>
        </w:rPr>
        <w:t>repare a price negotiation memorandum covering the pricing factors used in each FPA</w:t>
      </w:r>
      <w:r w:rsidR="009F496E" w:rsidRPr="009201F1">
        <w:rPr>
          <w:sz w:val="22"/>
        </w:rPr>
        <w:t>, including</w:t>
      </w:r>
      <w:r w:rsidR="00565A69" w:rsidRPr="009201F1">
        <w:rPr>
          <w:sz w:val="22"/>
        </w:rPr>
        <w:t xml:space="preserve"> a discussion on how profit or fee was calculated [using </w:t>
      </w:r>
      <w:hyperlink r:id="rId15" w:history="1">
        <w:r w:rsidR="00565A69" w:rsidRPr="009201F1">
          <w:rPr>
            <w:rStyle w:val="Hyperlink"/>
            <w:sz w:val="22"/>
          </w:rPr>
          <w:t>Weighted Guidelines</w:t>
        </w:r>
      </w:hyperlink>
      <w:r w:rsidR="00565A69" w:rsidRPr="009201F1">
        <w:rPr>
          <w:sz w:val="22"/>
        </w:rPr>
        <w:t xml:space="preserve"> or an alternate structured approach]</w:t>
      </w:r>
      <w:r w:rsidR="0025432E" w:rsidRPr="009201F1">
        <w:rPr>
          <w:sz w:val="22"/>
        </w:rPr>
        <w:t>;</w:t>
      </w:r>
    </w:p>
    <w:p w14:paraId="6F93AFD7" w14:textId="77777777" w:rsidR="001C3F4E" w:rsidRPr="009201F1" w:rsidRDefault="00A131EA" w:rsidP="00977580">
      <w:pPr>
        <w:pStyle w:val="List2"/>
      </w:pPr>
      <w:r w:rsidRPr="009201F1">
        <w:rPr>
          <w:sz w:val="22"/>
        </w:rPr>
        <w:t>(3)</w:t>
      </w:r>
      <w:r w:rsidR="00565A69" w:rsidRPr="009201F1">
        <w:rPr>
          <w:sz w:val="22"/>
        </w:rPr>
        <w:t xml:space="preserve"> </w:t>
      </w:r>
      <w:r w:rsidR="00AE3E06" w:rsidRPr="009201F1">
        <w:rPr>
          <w:sz w:val="22"/>
        </w:rPr>
        <w:t>S</w:t>
      </w:r>
      <w:r w:rsidR="00565A69" w:rsidRPr="009201F1">
        <w:rPr>
          <w:sz w:val="22"/>
        </w:rPr>
        <w:t>emi-annually request (through the ACO) the DCAA resident auditor to determine if the contractor i</w:t>
      </w:r>
      <w:r w:rsidR="0025432E" w:rsidRPr="009201F1">
        <w:rPr>
          <w:sz w:val="22"/>
        </w:rPr>
        <w:t>s complying with FPA procedures;</w:t>
      </w:r>
    </w:p>
    <w:p w14:paraId="364D05EC" w14:textId="77777777" w:rsidR="001C3F4E" w:rsidRPr="009201F1" w:rsidRDefault="00A131EA" w:rsidP="00977580">
      <w:pPr>
        <w:pStyle w:val="List2"/>
      </w:pPr>
      <w:r w:rsidRPr="009201F1">
        <w:rPr>
          <w:sz w:val="22"/>
        </w:rPr>
        <w:t>(4)</w:t>
      </w:r>
      <w:r w:rsidR="00565A69" w:rsidRPr="009201F1">
        <w:rPr>
          <w:sz w:val="22"/>
        </w:rPr>
        <w:t xml:space="preserve"> </w:t>
      </w:r>
      <w:r w:rsidR="00AE3E06" w:rsidRPr="009201F1">
        <w:rPr>
          <w:sz w:val="22"/>
        </w:rPr>
        <w:t>A</w:t>
      </w:r>
      <w:r w:rsidR="00565A69" w:rsidRPr="009201F1">
        <w:rPr>
          <w:sz w:val="22"/>
        </w:rPr>
        <w:t>nnually review each FPA to determine its validity by evaluating recorded cost data, and ren</w:t>
      </w:r>
      <w:r w:rsidR="0025432E" w:rsidRPr="009201F1">
        <w:rPr>
          <w:sz w:val="22"/>
        </w:rPr>
        <w:t>egotiate the FPA if appropriate;</w:t>
      </w:r>
    </w:p>
    <w:p w14:paraId="6DE43625" w14:textId="77777777" w:rsidR="001C3F4E" w:rsidRPr="009201F1" w:rsidRDefault="00A131EA" w:rsidP="00977580">
      <w:pPr>
        <w:pStyle w:val="List2"/>
      </w:pPr>
      <w:r w:rsidRPr="009201F1">
        <w:rPr>
          <w:sz w:val="22"/>
        </w:rPr>
        <w:t>(5)</w:t>
      </w:r>
      <w:r w:rsidR="00565A69" w:rsidRPr="009201F1">
        <w:rPr>
          <w:sz w:val="22"/>
        </w:rPr>
        <w:t xml:space="preserve"> </w:t>
      </w:r>
      <w:r w:rsidR="00AE3E06" w:rsidRPr="009201F1">
        <w:rPr>
          <w:sz w:val="22"/>
        </w:rPr>
        <w:t>D</w:t>
      </w:r>
      <w:r w:rsidR="00565A69" w:rsidRPr="009201F1">
        <w:rPr>
          <w:sz w:val="22"/>
        </w:rPr>
        <w:t>etermine the effect changed conditions may have on the FPA’s validity. Cancel an FPA when appropriate an</w:t>
      </w:r>
      <w:r w:rsidR="0025432E" w:rsidRPr="009201F1">
        <w:rPr>
          <w:sz w:val="22"/>
        </w:rPr>
        <w:t>d notify all interested parties;</w:t>
      </w:r>
    </w:p>
    <w:p w14:paraId="588E1676" w14:textId="77777777" w:rsidR="00CD6B55" w:rsidRDefault="00A131EA" w:rsidP="00977580">
      <w:pPr>
        <w:pStyle w:val="List2"/>
        <w:rPr>
          <w:sz w:val="22"/>
        </w:rPr>
      </w:pPr>
      <w:r w:rsidRPr="009201F1">
        <w:rPr>
          <w:sz w:val="22"/>
        </w:rPr>
        <w:t>(6)</w:t>
      </w:r>
      <w:r w:rsidR="00565A69" w:rsidRPr="009201F1">
        <w:rPr>
          <w:sz w:val="22"/>
        </w:rPr>
        <w:t xml:space="preserve"> </w:t>
      </w:r>
      <w:r w:rsidR="00AE3E06" w:rsidRPr="009201F1">
        <w:rPr>
          <w:sz w:val="22"/>
        </w:rPr>
        <w:t>D</w:t>
      </w:r>
      <w:r w:rsidR="0025432E" w:rsidRPr="009201F1">
        <w:rPr>
          <w:sz w:val="22"/>
        </w:rPr>
        <w:t>o not use a cancelled FPA;</w:t>
      </w:r>
    </w:p>
    <w:p w14:paraId="6837D2C4" w14:textId="3E54DC24" w:rsidR="001C3F4E" w:rsidRPr="009201F1" w:rsidRDefault="00A131EA" w:rsidP="00977580">
      <w:pPr>
        <w:pStyle w:val="List2"/>
      </w:pPr>
      <w:r w:rsidRPr="009201F1">
        <w:rPr>
          <w:sz w:val="22"/>
        </w:rPr>
        <w:t>(7)</w:t>
      </w:r>
      <w:r w:rsidR="00565A69" w:rsidRPr="009201F1">
        <w:rPr>
          <w:sz w:val="22"/>
        </w:rPr>
        <w:t xml:space="preserve"> </w:t>
      </w:r>
      <w:r w:rsidR="00AE3E06" w:rsidRPr="009201F1">
        <w:rPr>
          <w:sz w:val="22"/>
        </w:rPr>
        <w:t>C</w:t>
      </w:r>
      <w:r w:rsidR="00565A69" w:rsidRPr="009201F1">
        <w:rPr>
          <w:sz w:val="22"/>
        </w:rPr>
        <w:t>onduct an evaluation of each proposal under an FPA in order to ensure that the FPA applies to the items and to determine the reasonableness of discrete cost inputs and any non-covered c</w:t>
      </w:r>
      <w:r w:rsidR="0025432E" w:rsidRPr="009201F1">
        <w:rPr>
          <w:sz w:val="22"/>
        </w:rPr>
        <w:t>osts (e.g., nonrecurring costs);</w:t>
      </w:r>
    </w:p>
    <w:p w14:paraId="125E6932" w14:textId="77777777" w:rsidR="001C3F4E" w:rsidRPr="009201F1" w:rsidRDefault="00565A69" w:rsidP="00977580">
      <w:pPr>
        <w:pStyle w:val="List3"/>
      </w:pPr>
      <w:r w:rsidRPr="009201F1">
        <w:rPr>
          <w:sz w:val="22"/>
        </w:rPr>
        <w:t>(</w:t>
      </w:r>
      <w:proofErr w:type="spellStart"/>
      <w:r w:rsidRPr="009201F1">
        <w:rPr>
          <w:sz w:val="22"/>
        </w:rPr>
        <w:t>i</w:t>
      </w:r>
      <w:proofErr w:type="spellEnd"/>
      <w:r w:rsidRPr="009201F1">
        <w:rPr>
          <w:sz w:val="22"/>
        </w:rPr>
        <w:t xml:space="preserve">) </w:t>
      </w:r>
      <w:r w:rsidR="00AE3E06" w:rsidRPr="009201F1">
        <w:rPr>
          <w:sz w:val="22"/>
        </w:rPr>
        <w:t>C</w:t>
      </w:r>
      <w:r w:rsidRPr="009201F1">
        <w:rPr>
          <w:sz w:val="22"/>
        </w:rPr>
        <w:t>ompare proposed prices with prior prices, Government estimates, and purchase request estimates to ensure reasonableness</w:t>
      </w:r>
      <w:r w:rsidR="009F496E" w:rsidRPr="009201F1">
        <w:rPr>
          <w:sz w:val="22"/>
        </w:rPr>
        <w:t>,</w:t>
      </w:r>
      <w:r w:rsidRPr="009201F1">
        <w:rPr>
          <w:sz w:val="22"/>
        </w:rPr>
        <w:t xml:space="preserve"> </w:t>
      </w:r>
      <w:r w:rsidR="009F496E" w:rsidRPr="009201F1">
        <w:rPr>
          <w:sz w:val="22"/>
        </w:rPr>
        <w:t xml:space="preserve">as use </w:t>
      </w:r>
      <w:r w:rsidRPr="009201F1">
        <w:rPr>
          <w:sz w:val="22"/>
        </w:rPr>
        <w:t xml:space="preserve">of an FPA does not relieve the </w:t>
      </w:r>
      <w:r w:rsidR="00D20C5B" w:rsidRPr="009201F1">
        <w:rPr>
          <w:sz w:val="22"/>
        </w:rPr>
        <w:t>CO</w:t>
      </w:r>
      <w:r w:rsidRPr="009201F1">
        <w:rPr>
          <w:sz w:val="22"/>
        </w:rPr>
        <w:t xml:space="preserve"> of the responsibility to ensure that the price is fair and reasonable;</w:t>
      </w:r>
    </w:p>
    <w:p w14:paraId="7E9C4B24" w14:textId="77777777" w:rsidR="001C3F4E" w:rsidRPr="009201F1" w:rsidRDefault="00565A69" w:rsidP="00977580">
      <w:pPr>
        <w:pStyle w:val="List3"/>
      </w:pPr>
      <w:r w:rsidRPr="009201F1">
        <w:rPr>
          <w:sz w:val="22"/>
        </w:rPr>
        <w:t xml:space="preserve">(ii) </w:t>
      </w:r>
      <w:r w:rsidR="00AE3E06" w:rsidRPr="009201F1">
        <w:rPr>
          <w:sz w:val="22"/>
        </w:rPr>
        <w:t>C</w:t>
      </w:r>
      <w:r w:rsidRPr="009201F1">
        <w:rPr>
          <w:sz w:val="22"/>
        </w:rPr>
        <w:t>onduct detailed cost analysis on random samples of proposed items and/or items that have unit prices that are significantly higher than previous buys; and</w:t>
      </w:r>
      <w:r w:rsidR="0025432E" w:rsidRPr="009201F1">
        <w:rPr>
          <w:sz w:val="22"/>
        </w:rPr>
        <w:t>,</w:t>
      </w:r>
      <w:r w:rsidRPr="009201F1">
        <w:rPr>
          <w:sz w:val="22"/>
        </w:rPr>
        <w:t xml:space="preserve"> </w:t>
      </w:r>
      <w:r w:rsidR="00977580" w:rsidRPr="009201F1">
        <w:rPr>
          <w:sz w:val="22"/>
        </w:rPr>
        <w:br/>
      </w:r>
      <w:r w:rsidRPr="009201F1">
        <w:rPr>
          <w:sz w:val="22"/>
        </w:rPr>
        <w:t xml:space="preserve">(iii) </w:t>
      </w:r>
      <w:r w:rsidR="00AE3E06" w:rsidRPr="009201F1">
        <w:rPr>
          <w:sz w:val="22"/>
        </w:rPr>
        <w:t>E</w:t>
      </w:r>
      <w:r w:rsidRPr="009201F1">
        <w:rPr>
          <w:sz w:val="22"/>
        </w:rPr>
        <w:t>nsure that individual contract actions priced using the FPA comply with the terms of the FPA.</w:t>
      </w:r>
    </w:p>
    <w:p w14:paraId="477CD1DA" w14:textId="4CFB955F" w:rsidR="00977580" w:rsidRPr="009201F1" w:rsidRDefault="00C569F8" w:rsidP="00977580">
      <w:pPr>
        <w:pStyle w:val="List1"/>
      </w:pPr>
      <w:r w:rsidRPr="009201F1">
        <w:rPr>
          <w:sz w:val="22"/>
          <w:szCs w:val="22"/>
        </w:rPr>
        <w:t>(f</w:t>
      </w:r>
      <w:r w:rsidR="004322E0" w:rsidRPr="009201F1">
        <w:rPr>
          <w:sz w:val="22"/>
          <w:szCs w:val="22"/>
        </w:rPr>
        <w:t xml:space="preserve">) </w:t>
      </w:r>
      <w:r w:rsidR="00565A69" w:rsidRPr="009201F1">
        <w:rPr>
          <w:sz w:val="22"/>
          <w:szCs w:val="22"/>
        </w:rPr>
        <w:t xml:space="preserve">Contractors could have FPAs, or similar agreements, with other Air Force activities and/or non-Air Force activities. </w:t>
      </w:r>
      <w:r w:rsidR="00D20C5B" w:rsidRPr="009201F1">
        <w:rPr>
          <w:sz w:val="22"/>
          <w:szCs w:val="22"/>
        </w:rPr>
        <w:t>COs</w:t>
      </w:r>
      <w:r w:rsidR="00565A69" w:rsidRPr="009201F1">
        <w:rPr>
          <w:sz w:val="22"/>
          <w:szCs w:val="22"/>
        </w:rPr>
        <w:t xml:space="preserve"> may consider using these agreements, but should take care to ensure that the FPA to be used addresses all aspects of their acquisition situation.</w:t>
      </w:r>
      <w:r w:rsidR="00977580" w:rsidRPr="009201F1">
        <w:rPr>
          <w:b/>
        </w:rPr>
        <w:br w:type="page"/>
      </w:r>
    </w:p>
    <w:p w14:paraId="7ED6FB0C" w14:textId="77777777" w:rsidR="001C3F4E" w:rsidRPr="009201F1" w:rsidRDefault="00977580" w:rsidP="00977580">
      <w:pPr>
        <w:pStyle w:val="Heading2"/>
        <w:rPr>
          <w:b w:val="0"/>
        </w:rPr>
      </w:pPr>
      <w:r w:rsidRPr="009201F1">
        <w:lastRenderedPageBreak/>
        <w:t>AFICC PGI 5315</w:t>
      </w:r>
      <w:r w:rsidRPr="009201F1">
        <w:rPr>
          <w:b w:val="0"/>
        </w:rPr>
        <w:br/>
      </w:r>
      <w:r w:rsidRPr="009201F1">
        <w:t>Contracting by Negotiation</w:t>
      </w:r>
      <w:bookmarkStart w:id="7" w:name="_AFICC_PGI_5315.403-1"/>
      <w:bookmarkEnd w:id="7"/>
    </w:p>
    <w:p w14:paraId="1F10A96E" w14:textId="77777777" w:rsidR="001C3F4E" w:rsidRPr="009201F1" w:rsidRDefault="0085265E" w:rsidP="00977580">
      <w:pPr>
        <w:pStyle w:val="Heading3"/>
        <w:rPr>
          <w:rFonts w:eastAsia="Times New Roman"/>
        </w:rPr>
      </w:pPr>
      <w:r w:rsidRPr="009201F1">
        <w:rPr>
          <w:rFonts w:eastAsia="Times New Roman"/>
        </w:rPr>
        <w:t>AFIC</w:t>
      </w:r>
      <w:r w:rsidR="00C35FC7" w:rsidRPr="009201F1">
        <w:rPr>
          <w:rFonts w:eastAsia="Times New Roman"/>
        </w:rPr>
        <w:t>C</w:t>
      </w:r>
      <w:r w:rsidRPr="009201F1">
        <w:rPr>
          <w:rFonts w:eastAsia="Times New Roman"/>
        </w:rPr>
        <w:t xml:space="preserve"> PGI 5315.403-1 </w:t>
      </w:r>
      <w:r w:rsidR="007B05B2" w:rsidRPr="009201F1">
        <w:rPr>
          <w:rFonts w:eastAsia="Times New Roman"/>
        </w:rPr>
        <w:t xml:space="preserve">  </w:t>
      </w:r>
      <w:r w:rsidRPr="009201F1">
        <w:rPr>
          <w:rFonts w:eastAsia="Times New Roman"/>
        </w:rPr>
        <w:t>Prohibition on Obtaining Certified Cost or Pricing Data (10 U.S.C. 2306a and 41 U.S.C. Chapter 35)</w:t>
      </w:r>
    </w:p>
    <w:p w14:paraId="7D49ABC8" w14:textId="77777777" w:rsidR="001C3F4E" w:rsidRPr="009201F1" w:rsidRDefault="0085265E" w:rsidP="00977580">
      <w:pPr>
        <w:pStyle w:val="List1"/>
        <w:rPr>
          <w:rFonts w:eastAsia="Times New Roman"/>
        </w:rPr>
      </w:pPr>
      <w:r w:rsidRPr="009201F1">
        <w:rPr>
          <w:rFonts w:eastAsia="Times New Roman"/>
        </w:rPr>
        <w:t>(c)(3)(B)</w:t>
      </w:r>
      <w:r w:rsidR="007814A8" w:rsidRPr="009201F1">
        <w:rPr>
          <w:rFonts w:eastAsia="Times New Roman"/>
          <w:i/>
        </w:rPr>
        <w:t>(1)</w:t>
      </w:r>
      <w:r w:rsidRPr="009201F1">
        <w:rPr>
          <w:rFonts w:eastAsia="Times New Roman"/>
        </w:rPr>
        <w:t xml:space="preserve"> </w:t>
      </w:r>
      <w:r w:rsidR="00C31B9D" w:rsidRPr="009201F1">
        <w:rPr>
          <w:rFonts w:eastAsia="Times New Roman"/>
          <w:lang w:val="en"/>
        </w:rPr>
        <w:t>Commercial Item Exceptions to TINA Requirements Report</w:t>
      </w:r>
      <w:r w:rsidR="00C31B9D" w:rsidRPr="009201F1">
        <w:rPr>
          <w:rFonts w:eastAsia="Times New Roman"/>
        </w:rPr>
        <w:t>.  The COCO will consolidate and submit the information as outlined in DFARS PGI 215.403-1(c)(3)(B)</w:t>
      </w:r>
      <w:r w:rsidR="00C31B9D" w:rsidRPr="009201F1">
        <w:rPr>
          <w:rFonts w:eastAsia="Times New Roman"/>
          <w:i/>
        </w:rPr>
        <w:t>(1)</w:t>
      </w:r>
      <w:r w:rsidR="00C31B9D" w:rsidRPr="009201F1">
        <w:rPr>
          <w:rFonts w:eastAsia="Times New Roman"/>
        </w:rPr>
        <w:t xml:space="preserve">, or submit a negative report for the organization, to the SCO for review and submission to </w:t>
      </w:r>
      <w:hyperlink r:id="rId16" w:history="1">
        <w:r w:rsidR="00C31B9D" w:rsidRPr="009201F1">
          <w:rPr>
            <w:rStyle w:val="Hyperlink"/>
            <w:rFonts w:eastAsia="Times New Roman"/>
          </w:rPr>
          <w:t>AFICC/KPF</w:t>
        </w:r>
      </w:hyperlink>
      <w:r w:rsidR="00C31B9D" w:rsidRPr="009201F1">
        <w:rPr>
          <w:rFonts w:eastAsia="Times New Roman"/>
        </w:rPr>
        <w:t xml:space="preserve"> no later than 7 October each year.</w:t>
      </w:r>
    </w:p>
    <w:p w14:paraId="5EA3F232" w14:textId="77777777" w:rsidR="001C3F4E" w:rsidRPr="009201F1" w:rsidRDefault="0085265E" w:rsidP="00977580">
      <w:pPr>
        <w:pStyle w:val="List1"/>
      </w:pPr>
      <w:r w:rsidRPr="009201F1">
        <w:rPr>
          <w:sz w:val="22"/>
          <w:szCs w:val="22"/>
        </w:rPr>
        <w:t xml:space="preserve">(c)(4)(B) </w:t>
      </w:r>
      <w:r w:rsidR="007B76E2" w:rsidRPr="009201F1">
        <w:rPr>
          <w:sz w:val="22"/>
          <w:szCs w:val="22"/>
        </w:rPr>
        <w:t xml:space="preserve"> Waiver of TINA Requirements Report.  The COCO will consolidate and submit the information as outlined in DFARS PGI 215.403-1(c)(4)(B), or submit a negative report for their organization to the SCO for review and submission to </w:t>
      </w:r>
      <w:hyperlink r:id="rId17" w:history="1">
        <w:r w:rsidR="007B76E2" w:rsidRPr="009201F1">
          <w:rPr>
            <w:rStyle w:val="Hyperlink"/>
            <w:sz w:val="22"/>
            <w:szCs w:val="22"/>
          </w:rPr>
          <w:t>AFICC/KPF</w:t>
        </w:r>
      </w:hyperlink>
      <w:r w:rsidR="007B76E2" w:rsidRPr="009201F1">
        <w:rPr>
          <w:sz w:val="22"/>
          <w:szCs w:val="22"/>
        </w:rPr>
        <w:t xml:space="preserve"> no</w:t>
      </w:r>
      <w:r w:rsidR="00DB0099" w:rsidRPr="009201F1">
        <w:rPr>
          <w:sz w:val="22"/>
          <w:szCs w:val="22"/>
        </w:rPr>
        <w:t xml:space="preserve"> later than 7 October each year.</w:t>
      </w:r>
      <w:bookmarkStart w:id="8" w:name="_AFICC_PGI_5315.404-1-90"/>
      <w:bookmarkEnd w:id="8"/>
    </w:p>
    <w:p w14:paraId="4E70DD90" w14:textId="77777777" w:rsidR="001C3F4E" w:rsidRPr="009201F1" w:rsidRDefault="0085265E" w:rsidP="00977580">
      <w:pPr>
        <w:pStyle w:val="Heading3"/>
      </w:pPr>
      <w:r w:rsidRPr="009201F1">
        <w:rPr>
          <w:sz w:val="22"/>
          <w:szCs w:val="22"/>
        </w:rPr>
        <w:t>AFIC</w:t>
      </w:r>
      <w:r w:rsidR="00C35FC7" w:rsidRPr="009201F1">
        <w:rPr>
          <w:sz w:val="22"/>
          <w:szCs w:val="22"/>
        </w:rPr>
        <w:t>C</w:t>
      </w:r>
      <w:r w:rsidRPr="009201F1">
        <w:rPr>
          <w:sz w:val="22"/>
          <w:szCs w:val="22"/>
        </w:rPr>
        <w:t xml:space="preserve"> PGI 5315.404-</w:t>
      </w:r>
      <w:r w:rsidR="00E47B9B" w:rsidRPr="009201F1">
        <w:rPr>
          <w:sz w:val="22"/>
          <w:szCs w:val="22"/>
        </w:rPr>
        <w:t>1</w:t>
      </w:r>
      <w:r w:rsidR="00D769ED" w:rsidRPr="009201F1">
        <w:rPr>
          <w:sz w:val="22"/>
          <w:szCs w:val="22"/>
        </w:rPr>
        <w:t>-</w:t>
      </w:r>
      <w:r w:rsidRPr="009201F1">
        <w:rPr>
          <w:sz w:val="22"/>
          <w:szCs w:val="22"/>
        </w:rPr>
        <w:t xml:space="preserve">90 </w:t>
      </w:r>
      <w:r w:rsidR="007B05B2" w:rsidRPr="009201F1">
        <w:rPr>
          <w:sz w:val="22"/>
          <w:szCs w:val="22"/>
        </w:rPr>
        <w:t xml:space="preserve">  </w:t>
      </w:r>
      <w:r w:rsidR="00811624" w:rsidRPr="009201F1">
        <w:rPr>
          <w:sz w:val="22"/>
          <w:szCs w:val="22"/>
        </w:rPr>
        <w:t>Pricing Assistance or Pricing Assistance Waiver</w:t>
      </w:r>
    </w:p>
    <w:p w14:paraId="7E2EC35B" w14:textId="77777777" w:rsidR="001C3F4E" w:rsidRPr="009201F1" w:rsidRDefault="00692C16" w:rsidP="00977580">
      <w:pPr>
        <w:pStyle w:val="List1"/>
        <w:rPr>
          <w:rFonts w:eastAsia="Times New Roman"/>
        </w:rPr>
      </w:pPr>
      <w:r w:rsidRPr="009201F1">
        <w:rPr>
          <w:rFonts w:eastAsia="Times New Roman"/>
        </w:rPr>
        <w:t xml:space="preserve">(a)  </w:t>
      </w:r>
      <w:r w:rsidR="007B76E2" w:rsidRPr="009201F1">
        <w:rPr>
          <w:rFonts w:eastAsia="Times New Roman"/>
        </w:rPr>
        <w:t xml:space="preserve">Pricing assistance is available from AFICC/KPF and may be available from the cognizant AFICC Operating Location.  Pricing support requested from AFICC/KPF will be provided at the discretion of AFICC/KPF using the </w:t>
      </w:r>
      <w:hyperlink r:id="rId18">
        <w:r w:rsidR="007B76E2" w:rsidRPr="009201F1">
          <w:rPr>
            <w:rStyle w:val="Hyperlink"/>
            <w:rFonts w:eastAsia="Times New Roman"/>
          </w:rPr>
          <w:t>AFICC/KPF Pricing Request Form</w:t>
        </w:r>
      </w:hyperlink>
      <w:r w:rsidR="007B76E2" w:rsidRPr="009201F1">
        <w:rPr>
          <w:rStyle w:val="Hyperlink"/>
          <w:rFonts w:eastAsia="Times New Roman"/>
        </w:rPr>
        <w:t>.</w:t>
      </w:r>
      <w:r w:rsidR="007B76E2" w:rsidRPr="009201F1">
        <w:rPr>
          <w:rFonts w:eastAsia="Times New Roman"/>
        </w:rPr>
        <w:t xml:space="preserve">  Pricing support is defined as: </w:t>
      </w:r>
    </w:p>
    <w:p w14:paraId="6A78B2FD" w14:textId="63098832" w:rsidR="007B76E2" w:rsidRPr="009201F1" w:rsidRDefault="00977580" w:rsidP="00977580">
      <w:pPr>
        <w:pStyle w:val="List2"/>
      </w:pPr>
      <w:r w:rsidRPr="009201F1">
        <w:rPr>
          <w:rFonts w:eastAsia="Times New Roman"/>
        </w:rPr>
        <w:t>(1)</w:t>
      </w:r>
      <w:r w:rsidRPr="009201F1">
        <w:rPr>
          <w:rFonts w:eastAsia="Times New Roman"/>
        </w:rPr>
        <w:tab/>
      </w:r>
      <w:r w:rsidR="007B76E2" w:rsidRPr="009201F1">
        <w:rPr>
          <w:rFonts w:eastAsia="Times New Roman"/>
        </w:rPr>
        <w:t>Level I—Full-Up Pricing Assistance</w:t>
      </w:r>
    </w:p>
    <w:p w14:paraId="337777F1" w14:textId="2E77C059" w:rsidR="007B76E2" w:rsidRPr="009201F1" w:rsidRDefault="00977580" w:rsidP="00977580">
      <w:pPr>
        <w:pStyle w:val="List2"/>
      </w:pPr>
      <w:r w:rsidRPr="009201F1">
        <w:rPr>
          <w:rFonts w:eastAsia="Times New Roman"/>
        </w:rPr>
        <w:t>(2)</w:t>
      </w:r>
      <w:r w:rsidRPr="009201F1">
        <w:rPr>
          <w:rFonts w:eastAsia="Times New Roman"/>
        </w:rPr>
        <w:tab/>
      </w:r>
      <w:r w:rsidR="007B76E2" w:rsidRPr="009201F1">
        <w:rPr>
          <w:rFonts w:eastAsia="Times New Roman"/>
        </w:rPr>
        <w:t>Level II—Review/Assist</w:t>
      </w:r>
    </w:p>
    <w:p w14:paraId="514ADF3B" w14:textId="77777777" w:rsidR="001C3F4E" w:rsidRPr="009201F1" w:rsidRDefault="00977580" w:rsidP="00977580">
      <w:pPr>
        <w:pStyle w:val="List2"/>
      </w:pPr>
      <w:r w:rsidRPr="009201F1">
        <w:t>(3)</w:t>
      </w:r>
      <w:r w:rsidRPr="009201F1">
        <w:tab/>
      </w:r>
      <w:r w:rsidR="007B76E2" w:rsidRPr="009201F1">
        <w:t>Level III—Respond to Questions</w:t>
      </w:r>
    </w:p>
    <w:p w14:paraId="2E87459E" w14:textId="77777777" w:rsidR="001C3F4E" w:rsidRPr="009201F1" w:rsidRDefault="008A22F7" w:rsidP="00977580">
      <w:pPr>
        <w:pStyle w:val="List1"/>
      </w:pPr>
      <w:r w:rsidRPr="009201F1">
        <w:rPr>
          <w:sz w:val="22"/>
          <w:szCs w:val="22"/>
        </w:rPr>
        <w:t xml:space="preserve">(b) </w:t>
      </w:r>
      <w:r w:rsidR="007B76E2" w:rsidRPr="009201F1">
        <w:rPr>
          <w:sz w:val="22"/>
          <w:szCs w:val="22"/>
        </w:rPr>
        <w:t>AFICC/KPF support includes but is not limited to: assistance from a dedicated price analyst in the development of Weighted Guidelines (</w:t>
      </w:r>
      <w:hyperlink r:id="rId19" w:history="1">
        <w:r w:rsidR="007B76E2" w:rsidRPr="009201F1">
          <w:rPr>
            <w:rStyle w:val="Hyperlink"/>
            <w:sz w:val="22"/>
            <w:szCs w:val="22"/>
          </w:rPr>
          <w:t>DD Form 1547</w:t>
        </w:r>
      </w:hyperlink>
      <w:r w:rsidR="007B76E2" w:rsidRPr="009201F1">
        <w:rPr>
          <w:sz w:val="22"/>
          <w:szCs w:val="22"/>
        </w:rP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bookmarkStart w:id="9" w:name="_AFICC_PGI_5315.407-90"/>
      <w:bookmarkEnd w:id="9"/>
    </w:p>
    <w:p w14:paraId="7C317FBD" w14:textId="77777777" w:rsidR="001C3F4E" w:rsidRPr="009201F1" w:rsidRDefault="0085265E" w:rsidP="00977580">
      <w:pPr>
        <w:pStyle w:val="Heading3"/>
      </w:pPr>
      <w:r w:rsidRPr="009201F1">
        <w:rPr>
          <w:sz w:val="22"/>
          <w:szCs w:val="22"/>
        </w:rPr>
        <w:t>AFIC</w:t>
      </w:r>
      <w:r w:rsidR="00C35FC7" w:rsidRPr="009201F1">
        <w:rPr>
          <w:sz w:val="22"/>
          <w:szCs w:val="22"/>
        </w:rPr>
        <w:t>C</w:t>
      </w:r>
      <w:r w:rsidRPr="009201F1">
        <w:rPr>
          <w:sz w:val="22"/>
          <w:szCs w:val="22"/>
        </w:rPr>
        <w:t xml:space="preserve"> PGI 5315.407-90   Contract Audit Follow-Up (CAFU)</w:t>
      </w:r>
    </w:p>
    <w:p w14:paraId="58E0CAE3" w14:textId="77777777" w:rsidR="001C3F4E" w:rsidRPr="009201F1" w:rsidRDefault="007B76E2" w:rsidP="0048421B">
      <w:pPr>
        <w:widowControl w:val="0"/>
        <w:autoSpaceDE w:val="0"/>
        <w:autoSpaceDN w:val="0"/>
        <w:spacing w:after="0"/>
        <w:ind w:right="362"/>
        <w:rPr>
          <w:rFonts w:eastAsia="Times New Roman"/>
        </w:rPr>
      </w:pPr>
      <w:r w:rsidRPr="009201F1">
        <w:rPr>
          <w:rFonts w:eastAsia="Times New Roman"/>
        </w:rPr>
        <w:t xml:space="preserve">AFICC OL SCOs should courtesy copy </w:t>
      </w:r>
      <w:hyperlink r:id="rId20" w:history="1">
        <w:r w:rsidRPr="009201F1">
          <w:rPr>
            <w:rFonts w:eastAsia="Times New Roman"/>
            <w:color w:val="0000FF"/>
            <w:u w:val="single"/>
          </w:rPr>
          <w:t>AFICC/KPF</w:t>
        </w:r>
      </w:hyperlink>
      <w:r w:rsidRPr="009201F1">
        <w:rPr>
          <w:rFonts w:eastAsia="Times New Roman"/>
        </w:rPr>
        <w:t xml:space="preserve"> when reporting.</w:t>
      </w:r>
    </w:p>
    <w:p w14:paraId="20BA3C2B" w14:textId="42D43930" w:rsidR="00977580" w:rsidRPr="009201F1" w:rsidRDefault="00977580" w:rsidP="00977580">
      <w:r w:rsidRPr="009201F1">
        <w:br w:type="page"/>
      </w:r>
    </w:p>
    <w:p w14:paraId="208C4453" w14:textId="77777777" w:rsidR="001C3F4E" w:rsidRPr="009201F1" w:rsidRDefault="00977580" w:rsidP="00977580">
      <w:pPr>
        <w:pStyle w:val="Heading2"/>
      </w:pPr>
      <w:r w:rsidRPr="009201F1">
        <w:lastRenderedPageBreak/>
        <w:t>AFMC PGI 5315</w:t>
      </w:r>
      <w:r w:rsidRPr="009201F1">
        <w:br/>
        <w:t>Contracting by Negotiation</w:t>
      </w:r>
      <w:bookmarkStart w:id="10" w:name="_AFMC_PGI_5315.207"/>
      <w:bookmarkEnd w:id="10"/>
    </w:p>
    <w:p w14:paraId="63392999" w14:textId="77777777" w:rsidR="001C3F4E" w:rsidRPr="009201F1" w:rsidRDefault="00381475" w:rsidP="00977580">
      <w:pPr>
        <w:pStyle w:val="Heading3"/>
      </w:pPr>
      <w:r w:rsidRPr="009201F1">
        <w:t>AFMC PGI 5315</w:t>
      </w:r>
      <w:r w:rsidR="00C55B5E" w:rsidRPr="009201F1">
        <w:t xml:space="preserve">.207 </w:t>
      </w:r>
      <w:r w:rsidR="007B05B2" w:rsidRPr="009201F1">
        <w:t xml:space="preserve">  </w:t>
      </w:r>
      <w:r w:rsidR="00C55B5E" w:rsidRPr="009201F1">
        <w:t>Handling Proposals and I</w:t>
      </w:r>
      <w:r w:rsidR="00AE3E06" w:rsidRPr="009201F1">
        <w:t>nformation</w:t>
      </w:r>
    </w:p>
    <w:p w14:paraId="6E36C7ED" w14:textId="77777777" w:rsidR="001C3F4E" w:rsidRPr="009201F1" w:rsidRDefault="00441C6E" w:rsidP="00977580">
      <w:pPr>
        <w:pStyle w:val="List1"/>
      </w:pPr>
      <w:r w:rsidRPr="009201F1">
        <w:t xml:space="preserve">(a)  </w:t>
      </w:r>
      <w:r w:rsidR="00381475" w:rsidRPr="009201F1">
        <w:t xml:space="preserve">If a package contains more than one proposal, the buyer or </w:t>
      </w:r>
      <w:r w:rsidR="004946A9" w:rsidRPr="009201F1">
        <w:t>contracting officer</w:t>
      </w:r>
      <w:r w:rsidR="00381475" w:rsidRPr="009201F1">
        <w:t xml:space="preserve"> should stamp each envelope with the time and date of delivery.  If a proposal is delivered to the wrong office, the recipient should stamp the time and date received, and then deliver the proposal to the intended office immediately.</w:t>
      </w:r>
      <w:bookmarkStart w:id="11" w:name="_AFMC_PGI_5315.3"/>
      <w:bookmarkEnd w:id="11"/>
    </w:p>
    <w:p w14:paraId="35BDBED8" w14:textId="77777777" w:rsidR="001C3F4E" w:rsidRPr="009201F1" w:rsidRDefault="000F4F3F" w:rsidP="00977580">
      <w:pPr>
        <w:pStyle w:val="Heading3"/>
      </w:pPr>
      <w:r w:rsidRPr="009201F1">
        <w:t>AFMC PGI 5315.3 (</w:t>
      </w:r>
      <w:r w:rsidR="00680358" w:rsidRPr="009201F1">
        <w:t>1.4.1.1</w:t>
      </w:r>
      <w:r w:rsidRPr="009201F1">
        <w:t xml:space="preserve">) </w:t>
      </w:r>
      <w:r w:rsidR="007B05B2" w:rsidRPr="009201F1">
        <w:t xml:space="preserve">  </w:t>
      </w:r>
      <w:r w:rsidR="00AE3E06" w:rsidRPr="009201F1">
        <w:t>SSA Appointment</w:t>
      </w:r>
    </w:p>
    <w:p w14:paraId="7DEAA033" w14:textId="77777777" w:rsidR="001C3F4E" w:rsidRPr="009201F1" w:rsidRDefault="0084318F" w:rsidP="00977580">
      <w:pPr>
        <w:pStyle w:val="List1"/>
      </w:pPr>
      <w:r w:rsidRPr="009201F1">
        <w:t xml:space="preserve">(a) </w:t>
      </w:r>
      <w:r w:rsidR="00680358" w:rsidRPr="009201F1">
        <w:t xml:space="preserve">AFMC/CA is the Source Selection Authority for AFPEO/CM </w:t>
      </w:r>
      <w:r w:rsidR="00961921" w:rsidRPr="009201F1">
        <w:t xml:space="preserve">services </w:t>
      </w:r>
      <w:r w:rsidR="00680358" w:rsidRPr="009201F1">
        <w:t xml:space="preserve">acquisitions &gt;$100M &lt; $1B, unless further delegated. </w:t>
      </w:r>
    </w:p>
    <w:p w14:paraId="7ED3D986" w14:textId="77777777" w:rsidR="001C3F4E" w:rsidRPr="009201F1" w:rsidRDefault="0084318F" w:rsidP="00977580">
      <w:pPr>
        <w:pStyle w:val="List1"/>
      </w:pPr>
      <w:r w:rsidRPr="009201F1">
        <w:t xml:space="preserve">(b) </w:t>
      </w:r>
      <w:r w:rsidR="00680358" w:rsidRPr="009201F1">
        <w:t>SSAs have been standardized as follows:</w:t>
      </w:r>
    </w:p>
    <w:p w14:paraId="41086318" w14:textId="204CEFBB" w:rsidR="00D328B2" w:rsidRPr="009201F1" w:rsidRDefault="00977580" w:rsidP="00977580">
      <w:pPr>
        <w:pStyle w:val="List2"/>
      </w:pPr>
      <w:r w:rsidRPr="009201F1">
        <w:rPr>
          <w:b/>
        </w:rPr>
        <w:t>(1)</w:t>
      </w:r>
      <w:r w:rsidRPr="009201F1">
        <w:rPr>
          <w:b/>
        </w:rPr>
        <w:tab/>
      </w:r>
      <w:r w:rsidR="00D328B2" w:rsidRPr="009201F1">
        <w:rPr>
          <w:b/>
        </w:rPr>
        <w:t>Air Force Life Cycle Management Center (AFLCMC) (</w:t>
      </w:r>
      <w:r w:rsidR="00D328B2" w:rsidRPr="009201F1">
        <w:rPr>
          <w:rFonts w:eastAsia="Times New Roman"/>
        </w:rPr>
        <w:t xml:space="preserve">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   </w:t>
      </w:r>
    </w:p>
    <w:tbl>
      <w:tblPr>
        <w:tblpPr w:leftFromText="180" w:rightFromText="180" w:vertAnchor="text" w:horzAnchor="margin" w:tblpY="265"/>
        <w:tblW w:w="0"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664"/>
        <w:gridCol w:w="2790"/>
        <w:gridCol w:w="2700"/>
        <w:gridCol w:w="2340"/>
      </w:tblGrid>
      <w:tr w:rsidR="00D328B2" w:rsidRPr="009201F1" w14:paraId="3FC7FC48" w14:textId="77777777" w:rsidTr="00D328B2">
        <w:trPr>
          <w:tblCellSpacing w:w="7" w:type="dxa"/>
        </w:trPr>
        <w:tc>
          <w:tcPr>
            <w:tcW w:w="9466" w:type="dxa"/>
            <w:gridSpan w:val="4"/>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E9546BF" w14:textId="79D7C583" w:rsidR="00D328B2" w:rsidRPr="009201F1" w:rsidRDefault="00D328B2" w:rsidP="00CE6070">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w:t>
            </w:r>
            <w:r w:rsidR="00961921" w:rsidRPr="009201F1">
              <w:rPr>
                <w:rFonts w:eastAsia="Times New Roman"/>
                <w:b/>
                <w:color w:val="000000"/>
                <w:sz w:val="20"/>
              </w:rPr>
              <w:t xml:space="preserve">for actions </w:t>
            </w:r>
            <w:r w:rsidRPr="009201F1">
              <w:rPr>
                <w:rFonts w:eastAsia="Times New Roman"/>
                <w:b/>
                <w:color w:val="000000"/>
                <w:sz w:val="20"/>
              </w:rPr>
              <w:t>not in AFPEO/CM’s portfolio</w:t>
            </w:r>
          </w:p>
        </w:tc>
      </w:tr>
      <w:tr w:rsidR="00D328B2" w:rsidRPr="009201F1" w14:paraId="5B62917A"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6262966" w14:textId="77777777" w:rsidR="00D328B2" w:rsidRPr="009201F1" w:rsidRDefault="00D328B2" w:rsidP="00D328B2">
            <w:pPr>
              <w:autoSpaceDN w:val="0"/>
              <w:spacing w:after="0"/>
              <w:jc w:val="center"/>
              <w:rPr>
                <w:rFonts w:eastAsia="Times New Roman"/>
                <w:b/>
                <w:color w:val="000000"/>
                <w:sz w:val="20"/>
              </w:rPr>
            </w:pPr>
            <w:r w:rsidRPr="009201F1">
              <w:rPr>
                <w:rFonts w:eastAsia="Times New Roman"/>
                <w:b/>
                <w:color w:val="000000"/>
                <w:sz w:val="20"/>
              </w:rPr>
              <w:t>Acquisition Value</w:t>
            </w: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10F26B1" w14:textId="7AB43999" w:rsidR="00D328B2" w:rsidRPr="009201F1" w:rsidRDefault="00961921"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5019"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D4C18DD"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D328B2" w:rsidRPr="009201F1" w14:paraId="1B6F9DE6"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F73E230" w14:textId="77777777" w:rsidR="00D328B2" w:rsidRPr="009201F1" w:rsidRDefault="00D328B2" w:rsidP="00D328B2">
            <w:pPr>
              <w:overflowPunct w:val="0"/>
              <w:autoSpaceDE w:val="0"/>
              <w:autoSpaceDN w:val="0"/>
              <w:adjustRightInd w:val="0"/>
              <w:rPr>
                <w:rFonts w:eastAsia="Times New Roman"/>
                <w:b/>
                <w:color w:val="000000"/>
                <w:sz w:val="20"/>
              </w:rPr>
            </w:pP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BB948B8"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All Locations  </w:t>
            </w:r>
          </w:p>
        </w:tc>
        <w:tc>
          <w:tcPr>
            <w:tcW w:w="268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27894C"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Wright-Patterson</w:t>
            </w:r>
          </w:p>
        </w:tc>
        <w:tc>
          <w:tcPr>
            <w:tcW w:w="231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DCAE2E7"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Hanscom</w:t>
            </w:r>
          </w:p>
        </w:tc>
      </w:tr>
      <w:tr w:rsidR="00D328B2" w:rsidRPr="009201F1" w14:paraId="5DE38BD1"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93C46"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A1A5B"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AFLCMC/CC/CA</w:t>
            </w:r>
            <w:r w:rsidRPr="009201F1">
              <w:rPr>
                <w:rFonts w:eastAsia="Times New Roman"/>
                <w:b/>
                <w:color w:val="000000"/>
                <w:sz w:val="20"/>
                <w:vertAlign w:val="superscript"/>
              </w:rPr>
              <w:t>1</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1CF21"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1</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3F60F"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Group Commander/Director</w:t>
            </w:r>
            <w:r w:rsidRPr="009201F1">
              <w:rPr>
                <w:rFonts w:eastAsia="Times New Roman"/>
                <w:b/>
                <w:color w:val="000000"/>
                <w:sz w:val="20"/>
                <w:vertAlign w:val="superscript"/>
              </w:rPr>
              <w:t>1</w:t>
            </w:r>
          </w:p>
        </w:tc>
      </w:tr>
      <w:tr w:rsidR="00D328B2" w:rsidRPr="009201F1" w14:paraId="1E94A2A4"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7C01E"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&gt; $10M &lt; $100M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22E04"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Directorate/GSU/DRU or 2 letter</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7C37AE"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0DB29"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Group Commander/Director</w:t>
            </w:r>
            <w:r w:rsidRPr="009201F1">
              <w:rPr>
                <w:rFonts w:eastAsia="Times New Roman"/>
                <w:b/>
                <w:color w:val="000000"/>
                <w:sz w:val="20"/>
                <w:vertAlign w:val="superscript"/>
              </w:rPr>
              <w:t>2</w:t>
            </w:r>
          </w:p>
        </w:tc>
      </w:tr>
    </w:tbl>
    <w:p w14:paraId="56C71D44" w14:textId="77777777" w:rsidR="001C3F4E" w:rsidRPr="009201F1" w:rsidRDefault="00BE01AF" w:rsidP="008F2C8B">
      <w:pPr>
        <w:keepNext/>
        <w:keepLines/>
        <w:spacing w:after="0"/>
      </w:pPr>
      <w:r w:rsidRPr="009201F1">
        <w:t xml:space="preserve"> </w:t>
      </w:r>
    </w:p>
    <w:p w14:paraId="3506F0F1" w14:textId="2FBA8D2D" w:rsidR="00D328B2" w:rsidRPr="009201F1" w:rsidRDefault="00D328B2" w:rsidP="00D328B2">
      <w:pPr>
        <w:autoSpaceDN w:val="0"/>
        <w:spacing w:after="0" w:line="276" w:lineRule="auto"/>
        <w:ind w:left="90" w:hanging="90"/>
        <w:rPr>
          <w:rFonts w:eastAsiaTheme="minorEastAsia"/>
        </w:rPr>
      </w:pPr>
      <w:r w:rsidRPr="009201F1">
        <w:rPr>
          <w:rFonts w:eastAsia="Times New Roman"/>
          <w:color w:val="000000"/>
          <w:vertAlign w:val="superscript"/>
        </w:rPr>
        <w:t xml:space="preserve">1 </w:t>
      </w:r>
      <w:r w:rsidR="00C45B1B" w:rsidRPr="009201F1">
        <w:rPr>
          <w:rFonts w:eastAsiaTheme="minorEastAsia"/>
        </w:rPr>
        <w:t xml:space="preserve">≥ $100M: </w:t>
      </w:r>
      <w:r w:rsidRPr="009201F1">
        <w:rPr>
          <w:rFonts w:eastAsiaTheme="minorEastAsia"/>
        </w:rPr>
        <w:t xml:space="preserve">delegable to no lower than one level above the </w:t>
      </w:r>
      <w:r w:rsidR="00381475" w:rsidRPr="009201F1">
        <w:rPr>
          <w:rFonts w:eastAsiaTheme="minorEastAsia"/>
        </w:rPr>
        <w:t>PCO</w:t>
      </w:r>
      <w:r w:rsidRPr="009201F1">
        <w:rPr>
          <w:rFonts w:eastAsiaTheme="minorEastAsia"/>
        </w:rPr>
        <w:t xml:space="preserve"> or equivalent or higher position within the requiring activity chain;</w:t>
      </w:r>
    </w:p>
    <w:p w14:paraId="347C2DD1" w14:textId="77777777" w:rsidR="001C3F4E" w:rsidRPr="009201F1" w:rsidRDefault="00D328B2" w:rsidP="00D328B2">
      <w:pPr>
        <w:autoSpaceDN w:val="0"/>
        <w:spacing w:after="0" w:line="276" w:lineRule="auto"/>
        <w:ind w:left="90" w:hanging="90"/>
        <w:rPr>
          <w:rFonts w:eastAsiaTheme="minorEastAsia"/>
        </w:rPr>
      </w:pPr>
      <w:r w:rsidRPr="009201F1">
        <w:rPr>
          <w:rFonts w:eastAsia="Times New Roman"/>
          <w:color w:val="000000"/>
          <w:vertAlign w:val="superscript"/>
        </w:rPr>
        <w:t xml:space="preserve">2 </w:t>
      </w:r>
      <w:r w:rsidR="00C45B1B" w:rsidRPr="009201F1">
        <w:rPr>
          <w:rFonts w:eastAsiaTheme="minorEastAsia"/>
        </w:rPr>
        <w:t xml:space="preserve">&gt;$10M &lt; $100M: </w:t>
      </w:r>
      <w:r w:rsidRPr="009201F1">
        <w:rPr>
          <w:rFonts w:eastAsiaTheme="minorEastAsia"/>
        </w:rPr>
        <w:t xml:space="preserve">delegable to no lower than the </w:t>
      </w:r>
      <w:r w:rsidR="00381475" w:rsidRPr="009201F1">
        <w:rPr>
          <w:rFonts w:eastAsiaTheme="minorEastAsia"/>
        </w:rPr>
        <w:t>PCO</w:t>
      </w:r>
      <w:r w:rsidRPr="009201F1">
        <w:rPr>
          <w:rFonts w:eastAsiaTheme="minorEastAsia"/>
        </w:rPr>
        <w:t xml:space="preserve"> or equivalent or higher position within the requiring activity chain.</w:t>
      </w:r>
    </w:p>
    <w:p w14:paraId="53D195A2" w14:textId="1AF669A5" w:rsidR="00D328B2" w:rsidRPr="009201F1" w:rsidRDefault="00977580" w:rsidP="00977580">
      <w:pPr>
        <w:pStyle w:val="List2"/>
      </w:pPr>
      <w:r w:rsidRPr="009201F1">
        <w:rPr>
          <w:b/>
          <w:color w:val="000000"/>
        </w:rPr>
        <w:t>(2)</w:t>
      </w:r>
      <w:r w:rsidRPr="009201F1">
        <w:rPr>
          <w:b/>
          <w:color w:val="000000"/>
        </w:rPr>
        <w:tab/>
      </w:r>
      <w:r w:rsidR="00D328B2" w:rsidRPr="009201F1">
        <w:rPr>
          <w:b/>
          <w:bCs/>
          <w:color w:val="000000"/>
        </w:rPr>
        <w:t>Air Force Nuclear Weapons Center (AFNWC) (</w:t>
      </w:r>
      <w:r w:rsidR="00D328B2" w:rsidRPr="009201F1">
        <w:rPr>
          <w:color w:val="000000"/>
        </w:rPr>
        <w:t>contracting organizations are located at Kirtland Air Force Base, Hill Air Force Base, Tinker Air Force Base, and Eglin Air Force Base):</w:t>
      </w:r>
    </w:p>
    <w:p w14:paraId="7A952BFA" w14:textId="35086CD0" w:rsidR="00D328B2" w:rsidRPr="009201F1" w:rsidRDefault="00D328B2" w:rsidP="00D328B2">
      <w:pPr>
        <w:autoSpaceDN w:val="0"/>
        <w:spacing w:after="0" w:line="276" w:lineRule="auto"/>
        <w:ind w:left="90" w:hanging="90"/>
        <w:rPr>
          <w:b/>
          <w:bCs/>
          <w:color w:val="000000"/>
        </w:rPr>
      </w:pPr>
    </w:p>
    <w:tbl>
      <w:tblPr>
        <w:tblpPr w:leftFromText="180" w:rightFromText="180" w:vertAnchor="text" w:horzAnchor="margin" w:tblpY="128"/>
        <w:tblW w:w="9224"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2242"/>
        <w:gridCol w:w="3960"/>
        <w:gridCol w:w="3022"/>
      </w:tblGrid>
      <w:tr w:rsidR="00D328B2" w:rsidRPr="009201F1" w14:paraId="63D162C0" w14:textId="77777777" w:rsidTr="008F2C8B">
        <w:trPr>
          <w:trHeight w:val="388"/>
          <w:tblCellSpacing w:w="7" w:type="dxa"/>
        </w:trPr>
        <w:tc>
          <w:tcPr>
            <w:tcW w:w="9196"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0DD45F4" w14:textId="064B9639"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 not in AFPEO/CM’s portfolio</w:t>
            </w:r>
          </w:p>
        </w:tc>
      </w:tr>
      <w:tr w:rsidR="00D328B2" w:rsidRPr="009201F1" w14:paraId="1095DB39"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C65A08" w14:textId="77777777" w:rsidR="00D328B2" w:rsidRPr="009201F1" w:rsidRDefault="00D328B2" w:rsidP="00D328B2">
            <w:pPr>
              <w:autoSpaceDN w:val="0"/>
              <w:spacing w:after="0"/>
              <w:jc w:val="center"/>
              <w:rPr>
                <w:rFonts w:eastAsia="Times New Roman"/>
                <w:b/>
                <w:color w:val="000000"/>
                <w:sz w:val="20"/>
              </w:rPr>
            </w:pPr>
            <w:r w:rsidRPr="009201F1">
              <w:rPr>
                <w:rFonts w:eastAsia="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E78CF88" w14:textId="6FC85509" w:rsidR="00D328B2" w:rsidRPr="009201F1" w:rsidRDefault="00961921"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00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BBE5A2A"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D328B2" w:rsidRPr="009201F1" w14:paraId="28623E68"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07C4A4"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lastRenderedPageBreak/>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0FA47E"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AFNWC/CC/CA</w:t>
            </w:r>
            <w:r w:rsidRPr="009201F1">
              <w:rPr>
                <w:rFonts w:eastAsia="Times New Roman"/>
                <w:b/>
                <w:color w:val="000000"/>
                <w:sz w:val="20"/>
                <w:vertAlign w:val="superscript"/>
              </w:rPr>
              <w:t>1</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26323D"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 xml:space="preserve">1 </w:t>
            </w:r>
            <w:r w:rsidRPr="009201F1">
              <w:rPr>
                <w:rFonts w:eastAsia="Times New Roman"/>
                <w:b/>
                <w:color w:val="000000"/>
                <w:sz w:val="20"/>
              </w:rPr>
              <w:t xml:space="preserve"> </w:t>
            </w:r>
          </w:p>
        </w:tc>
      </w:tr>
      <w:tr w:rsidR="00D328B2" w:rsidRPr="009201F1" w14:paraId="546A8207" w14:textId="77777777" w:rsidTr="008F2C8B">
        <w:trPr>
          <w:trHeight w:val="470"/>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0D301" w14:textId="0164FC6C" w:rsidR="00D328B2" w:rsidRPr="009201F1" w:rsidRDefault="00C02737"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  </w:t>
            </w:r>
            <w:r w:rsidR="00D328B2" w:rsidRPr="009201F1">
              <w:rPr>
                <w:rFonts w:eastAsia="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A22F"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9B03B"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68598A1A" w14:textId="77777777" w:rsidR="001C3F4E" w:rsidRPr="009201F1" w:rsidRDefault="001C3F4E" w:rsidP="00D328B2">
      <w:pPr>
        <w:autoSpaceDN w:val="0"/>
        <w:spacing w:after="0" w:line="276" w:lineRule="auto"/>
        <w:ind w:left="90" w:hanging="90"/>
        <w:rPr>
          <w:b/>
          <w:bCs/>
          <w:color w:val="000000"/>
        </w:rPr>
      </w:pPr>
    </w:p>
    <w:p w14:paraId="4EE42EF7" w14:textId="77777777" w:rsidR="001C3F4E" w:rsidRPr="009201F1" w:rsidRDefault="00C02737" w:rsidP="008F2C8B">
      <w:pPr>
        <w:autoSpaceDN w:val="0"/>
        <w:spacing w:after="0" w:line="276" w:lineRule="auto"/>
        <w:rPr>
          <w:rFonts w:eastAsiaTheme="minorEastAsia"/>
          <w:vertAlign w:val="superscript"/>
        </w:rPr>
      </w:pPr>
      <w:r w:rsidRPr="009201F1">
        <w:rPr>
          <w:rFonts w:eastAsiaTheme="minorEastAsia"/>
          <w:vertAlign w:val="superscript"/>
        </w:rPr>
        <w:t xml:space="preserve"> </w:t>
      </w:r>
    </w:p>
    <w:p w14:paraId="48661607" w14:textId="22EAAB06" w:rsidR="00D328B2" w:rsidRPr="009201F1" w:rsidRDefault="00D328B2" w:rsidP="008F2C8B">
      <w:pPr>
        <w:autoSpaceDN w:val="0"/>
        <w:spacing w:after="0" w:line="276" w:lineRule="auto"/>
        <w:rPr>
          <w:rFonts w:eastAsiaTheme="minorEastAsia"/>
        </w:rPr>
      </w:pPr>
      <w:r w:rsidRPr="009201F1">
        <w:rPr>
          <w:rFonts w:eastAsiaTheme="minorEastAsia"/>
          <w:vertAlign w:val="superscript"/>
        </w:rPr>
        <w:t xml:space="preserve">1 </w:t>
      </w:r>
      <w:r w:rsidR="00C45B1B" w:rsidRPr="009201F1">
        <w:rPr>
          <w:rFonts w:eastAsiaTheme="minorEastAsia"/>
        </w:rPr>
        <w:t xml:space="preserve">≥ $100M: </w:t>
      </w:r>
      <w:r w:rsidRPr="009201F1">
        <w:rPr>
          <w:rFonts w:eastAsiaTheme="minorEastAsia"/>
        </w:rPr>
        <w:t xml:space="preserve">delegable to no lower than one level above the </w:t>
      </w:r>
      <w:r w:rsidR="00381475" w:rsidRPr="009201F1">
        <w:rPr>
          <w:rFonts w:eastAsiaTheme="minorEastAsia"/>
        </w:rPr>
        <w:t>PCO</w:t>
      </w:r>
      <w:r w:rsidRPr="009201F1">
        <w:rPr>
          <w:rFonts w:eastAsiaTheme="minorEastAsia"/>
        </w:rPr>
        <w:t xml:space="preserve"> or equivalent or higher position within the requiring activity chain;</w:t>
      </w:r>
    </w:p>
    <w:p w14:paraId="091DD964" w14:textId="77777777" w:rsidR="001C3F4E" w:rsidRPr="009201F1" w:rsidRDefault="00D328B2" w:rsidP="00D328B2">
      <w:pPr>
        <w:autoSpaceDN w:val="0"/>
        <w:spacing w:after="0" w:line="276" w:lineRule="auto"/>
        <w:ind w:left="90" w:hanging="90"/>
        <w:rPr>
          <w:rFonts w:eastAsiaTheme="minorEastAsia"/>
        </w:rPr>
      </w:pPr>
      <w:r w:rsidRPr="009201F1">
        <w:rPr>
          <w:rFonts w:eastAsiaTheme="minorEastAsia"/>
          <w:vertAlign w:val="superscript"/>
        </w:rPr>
        <w:t>2</w:t>
      </w:r>
      <w:r w:rsidRPr="009201F1">
        <w:rPr>
          <w:rFonts w:eastAsiaTheme="minorEastAsia"/>
        </w:rPr>
        <w:t xml:space="preserve"> </w:t>
      </w:r>
      <w:r w:rsidR="00C45B1B" w:rsidRPr="009201F1">
        <w:rPr>
          <w:rFonts w:eastAsia="Times New Roman"/>
        </w:rPr>
        <w:t xml:space="preserve">&gt;$10M &lt; $100M: </w:t>
      </w:r>
      <w:r w:rsidR="00C45B1B" w:rsidRPr="009201F1">
        <w:rPr>
          <w:rFonts w:eastAsiaTheme="minorEastAsia"/>
        </w:rPr>
        <w:t>d</w:t>
      </w:r>
      <w:r w:rsidRPr="009201F1">
        <w:rPr>
          <w:rFonts w:eastAsiaTheme="minorEastAsia"/>
        </w:rPr>
        <w:t xml:space="preserve">elegable to no lower than the </w:t>
      </w:r>
      <w:r w:rsidR="00381475" w:rsidRPr="009201F1">
        <w:rPr>
          <w:rFonts w:eastAsiaTheme="minorEastAsia"/>
        </w:rPr>
        <w:t>PCO</w:t>
      </w:r>
      <w:r w:rsidRPr="009201F1">
        <w:rPr>
          <w:rFonts w:eastAsiaTheme="minorEastAsia"/>
        </w:rPr>
        <w:t xml:space="preserve"> or equivalent or higher position within the requiring activity chain.</w:t>
      </w:r>
    </w:p>
    <w:p w14:paraId="75D491FF" w14:textId="592998E2" w:rsidR="00D328B2" w:rsidRPr="009201F1" w:rsidRDefault="00977580" w:rsidP="00977580">
      <w:pPr>
        <w:pStyle w:val="List2"/>
      </w:pPr>
      <w:r w:rsidRPr="009201F1">
        <w:rPr>
          <w:b/>
        </w:rPr>
        <w:t>(3)</w:t>
      </w:r>
      <w:r w:rsidRPr="009201F1">
        <w:rPr>
          <w:b/>
        </w:rPr>
        <w:tab/>
      </w:r>
      <w:r w:rsidR="00D328B2" w:rsidRPr="009201F1">
        <w:rPr>
          <w:b/>
          <w:bCs/>
          <w:color w:val="000000"/>
        </w:rPr>
        <w:t>Air Force Research Laboratory (AFRL):</w:t>
      </w:r>
    </w:p>
    <w:p w14:paraId="658A7CE3" w14:textId="6510206E" w:rsidR="00D328B2" w:rsidRPr="009201F1" w:rsidRDefault="00D328B2" w:rsidP="00977580">
      <w:pPr>
        <w:pStyle w:val="List1"/>
      </w:pP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48"/>
        <w:gridCol w:w="4050"/>
        <w:gridCol w:w="3518"/>
      </w:tblGrid>
      <w:tr w:rsidR="00B4492A" w:rsidRPr="009201F1" w14:paraId="02C2090E"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56798F8" w14:textId="77777777" w:rsidR="00B4492A" w:rsidRPr="009201F1" w:rsidRDefault="00B4492A" w:rsidP="00B4492A">
            <w:pPr>
              <w:overflowPunct w:val="0"/>
              <w:autoSpaceDE w:val="0"/>
              <w:autoSpaceDN w:val="0"/>
              <w:adjustRightInd w:val="0"/>
              <w:rPr>
                <w:rFonts w:eastAsia="Times New Roman"/>
                <w:sz w:val="20"/>
              </w:rPr>
            </w:pPr>
          </w:p>
        </w:tc>
        <w:tc>
          <w:tcPr>
            <w:tcW w:w="7547"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640934" w14:textId="4E84A922" w:rsidR="00B4492A" w:rsidRPr="009201F1" w:rsidRDefault="00B4492A" w:rsidP="00CE6070">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w:t>
            </w:r>
          </w:p>
        </w:tc>
      </w:tr>
      <w:tr w:rsidR="00B4492A" w:rsidRPr="009201F1" w14:paraId="5BECCE1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8E2069F" w14:textId="77777777" w:rsidR="00B4492A" w:rsidRPr="009201F1" w:rsidRDefault="00B4492A" w:rsidP="00B4492A">
            <w:pPr>
              <w:keepNext/>
              <w:keepLines/>
              <w:overflowPunct w:val="0"/>
              <w:autoSpaceDE w:val="0"/>
              <w:autoSpaceDN w:val="0"/>
              <w:adjustRightInd w:val="0"/>
              <w:spacing w:after="0"/>
              <w:jc w:val="center"/>
              <w:rPr>
                <w:rFonts w:eastAsia="Times New Roman"/>
                <w:b/>
                <w:color w:val="000000"/>
                <w:sz w:val="20"/>
              </w:rPr>
            </w:pPr>
            <w:r w:rsidRPr="009201F1">
              <w:rPr>
                <w:rFonts w:eastAsia="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224E5DE" w14:textId="29E62DFB" w:rsidR="00B4492A" w:rsidRPr="009201F1" w:rsidRDefault="00961921"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49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C9359E8"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B4492A" w:rsidRPr="009201F1" w14:paraId="1398ABB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BDD3"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DFD3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AFRL/CC/CA</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86F0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AFRL/CC/CA</w:t>
            </w:r>
          </w:p>
        </w:tc>
      </w:tr>
      <w:tr w:rsidR="00B4492A" w:rsidRPr="009201F1" w14:paraId="6EB562C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00B0EC"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u w:val="single"/>
              </w:rPr>
              <w:t>&gt;</w:t>
            </w:r>
            <w:r w:rsidRPr="009201F1">
              <w:rPr>
                <w:rFonts w:eastAsia="Times New Roman"/>
                <w:b/>
                <w:color w:val="000000"/>
                <w:sz w:val="20"/>
              </w:rPr>
              <w:t xml:space="preserve"> $50M &lt;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029F9"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Director</w:t>
            </w:r>
            <w:r w:rsidRPr="009201F1">
              <w:rPr>
                <w:rFonts w:eastAsia="Times New Roman"/>
                <w:b/>
                <w:color w:val="000000"/>
                <w:sz w:val="20"/>
                <w:vertAlign w:val="superscript"/>
              </w:rPr>
              <w:t>1</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A6FFF0"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Director</w:t>
            </w:r>
            <w:r w:rsidRPr="009201F1">
              <w:rPr>
                <w:rFonts w:eastAsia="Times New Roman"/>
                <w:b/>
                <w:color w:val="000000"/>
                <w:sz w:val="20"/>
                <w:vertAlign w:val="superscript"/>
              </w:rPr>
              <w:t>1</w:t>
            </w:r>
          </w:p>
        </w:tc>
      </w:tr>
      <w:tr w:rsidR="00B4492A" w:rsidRPr="009201F1" w14:paraId="3C055A8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BDFF6"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&gt; $10M &lt; $50M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BAE84"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Division Chief</w:t>
            </w:r>
            <w:r w:rsidRPr="009201F1">
              <w:rPr>
                <w:rFonts w:eastAsia="Times New Roman"/>
                <w:b/>
                <w:color w:val="000000"/>
                <w:sz w:val="20"/>
                <w:vertAlign w:val="superscript"/>
              </w:rPr>
              <w:t>2</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92E91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Division Chief</w:t>
            </w:r>
            <w:r w:rsidRPr="009201F1">
              <w:rPr>
                <w:rFonts w:eastAsia="Times New Roman"/>
                <w:b/>
                <w:color w:val="000000"/>
                <w:sz w:val="20"/>
                <w:vertAlign w:val="superscript"/>
              </w:rPr>
              <w:t>2</w:t>
            </w:r>
          </w:p>
        </w:tc>
      </w:tr>
    </w:tbl>
    <w:p w14:paraId="072AC1D3" w14:textId="52F7C647" w:rsidR="0025432E" w:rsidRPr="009201F1" w:rsidRDefault="00B4492A" w:rsidP="0025432E">
      <w:pPr>
        <w:keepNext/>
        <w:keepLines/>
        <w:overflowPunct w:val="0"/>
        <w:autoSpaceDE w:val="0"/>
        <w:autoSpaceDN w:val="0"/>
        <w:adjustRightInd w:val="0"/>
        <w:spacing w:after="0"/>
        <w:rPr>
          <w:rFonts w:eastAsia="Times New Roman"/>
        </w:rPr>
      </w:pPr>
      <w:r w:rsidRPr="009201F1">
        <w:rPr>
          <w:rFonts w:eastAsia="Times New Roman"/>
          <w:vertAlign w:val="superscript"/>
        </w:rPr>
        <w:t xml:space="preserve">   1 </w:t>
      </w:r>
      <w:r w:rsidR="00C45B1B" w:rsidRPr="009201F1">
        <w:rPr>
          <w:rFonts w:eastAsia="Times New Roman"/>
        </w:rPr>
        <w:t xml:space="preserve">≥ $100M: </w:t>
      </w:r>
      <w:r w:rsidRPr="009201F1">
        <w:rPr>
          <w:rFonts w:eastAsia="Times New Roman"/>
        </w:rPr>
        <w:t xml:space="preserve">delegable to no lower than one level above the </w:t>
      </w:r>
      <w:r w:rsidR="00381475" w:rsidRPr="009201F1">
        <w:rPr>
          <w:rFonts w:eastAsia="Times New Roman"/>
        </w:rPr>
        <w:t>PCO</w:t>
      </w:r>
      <w:r w:rsidRPr="009201F1">
        <w:rPr>
          <w:rFonts w:eastAsia="Times New Roman"/>
        </w:rPr>
        <w:t xml:space="preserve"> or equivalent or higher position with</w:t>
      </w:r>
      <w:r w:rsidR="0025432E" w:rsidRPr="009201F1">
        <w:rPr>
          <w:rFonts w:eastAsia="Times New Roman"/>
        </w:rPr>
        <w:t>in the Technical Director chain.</w:t>
      </w:r>
    </w:p>
    <w:p w14:paraId="60CA13C4" w14:textId="77881886" w:rsidR="001C3F4E" w:rsidRPr="009201F1" w:rsidRDefault="00B4492A" w:rsidP="008F2C8B">
      <w:pPr>
        <w:overflowPunct w:val="0"/>
        <w:autoSpaceDE w:val="0"/>
        <w:autoSpaceDN w:val="0"/>
        <w:adjustRightInd w:val="0"/>
        <w:spacing w:after="0"/>
        <w:rPr>
          <w:rFonts w:eastAsia="Times New Roman"/>
        </w:rPr>
      </w:pPr>
      <w:r w:rsidRPr="009201F1">
        <w:rPr>
          <w:rFonts w:eastAsia="Times New Roman"/>
          <w:vertAlign w:val="superscript"/>
        </w:rPr>
        <w:t xml:space="preserve">    2</w:t>
      </w:r>
      <w:r w:rsidR="00C45B1B" w:rsidRPr="009201F1">
        <w:rPr>
          <w:rFonts w:eastAsia="Times New Roman"/>
        </w:rPr>
        <w:t xml:space="preserve"> &gt;$10M &lt; $100M: </w:t>
      </w:r>
      <w:r w:rsidRPr="009201F1">
        <w:rPr>
          <w:rFonts w:eastAsia="Times New Roman"/>
        </w:rPr>
        <w:t xml:space="preserve">delegable to no lower than the </w:t>
      </w:r>
      <w:r w:rsidR="00381475" w:rsidRPr="009201F1">
        <w:rPr>
          <w:rFonts w:eastAsia="Times New Roman"/>
        </w:rPr>
        <w:t>PCO</w:t>
      </w:r>
      <w:r w:rsidRPr="009201F1">
        <w:rPr>
          <w:rFonts w:eastAsia="Times New Roman"/>
        </w:rPr>
        <w:t xml:space="preserve"> or equivalent or higher position within the Technical Director chain.</w:t>
      </w:r>
    </w:p>
    <w:p w14:paraId="174B9FBB" w14:textId="43653AA4" w:rsidR="00B4492A" w:rsidRPr="009201F1" w:rsidRDefault="00977580" w:rsidP="00977580">
      <w:pPr>
        <w:pStyle w:val="List2"/>
      </w:pPr>
      <w:r w:rsidRPr="009201F1">
        <w:rPr>
          <w:b/>
          <w:color w:val="000000"/>
        </w:rPr>
        <w:t>(4)</w:t>
      </w:r>
      <w:r w:rsidRPr="009201F1">
        <w:rPr>
          <w:b/>
          <w:color w:val="000000"/>
        </w:rPr>
        <w:tab/>
      </w:r>
      <w:r w:rsidR="00B4492A" w:rsidRPr="009201F1">
        <w:rPr>
          <w:b/>
          <w:bCs/>
          <w:caps/>
          <w:color w:val="000000"/>
        </w:rPr>
        <w:t xml:space="preserve">Air Force Sustainment Center </w:t>
      </w:r>
      <w:r w:rsidR="00B4492A" w:rsidRPr="009201F1">
        <w:rPr>
          <w:bCs/>
          <w:caps/>
          <w:color w:val="000000"/>
        </w:rPr>
        <w:t>(</w:t>
      </w:r>
      <w:r w:rsidR="00B4492A" w:rsidRPr="009201F1">
        <w:rPr>
          <w:rFonts w:eastAsia="Times New Roman"/>
          <w:color w:val="000000"/>
        </w:rPr>
        <w:t xml:space="preserve">contracting organizations are located at Tinker Air Force Base, Hill Air Force Base, and Robins Air Force Base):  </w:t>
      </w:r>
    </w:p>
    <w:p w14:paraId="569FD9FD" w14:textId="77777777" w:rsidR="00B4492A" w:rsidRPr="009201F1" w:rsidRDefault="00B4492A" w:rsidP="00B4492A">
      <w:pPr>
        <w:spacing w:after="0"/>
        <w:rPr>
          <w:rFonts w:eastAsia="Times New Roman"/>
          <w:color w:val="000000"/>
        </w:rPr>
      </w:pPr>
      <w:r w:rsidRPr="009201F1">
        <w:rPr>
          <w:rFonts w:eastAsia="Times New Roman"/>
          <w:color w:val="000000"/>
        </w:rPr>
        <w:t xml:space="preserve"> </w:t>
      </w:r>
    </w:p>
    <w:tbl>
      <w:tblPr>
        <w:tblW w:w="945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3960"/>
        <w:gridCol w:w="3600"/>
      </w:tblGrid>
      <w:tr w:rsidR="00B4492A" w:rsidRPr="009201F1" w14:paraId="7567D6B8" w14:textId="77777777" w:rsidTr="008F2C8B">
        <w:trPr>
          <w:trHeight w:val="388"/>
          <w:tblCellSpacing w:w="7" w:type="dxa"/>
        </w:trPr>
        <w:tc>
          <w:tcPr>
            <w:tcW w:w="942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D7AA70F" w14:textId="7E0B7105" w:rsidR="00B4492A" w:rsidRPr="009201F1" w:rsidRDefault="00B4492A" w:rsidP="00CE6070">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w:t>
            </w:r>
            <w:r w:rsidRPr="009201F1">
              <w:rPr>
                <w:rFonts w:eastAsia="Times New Roman"/>
                <w:b/>
                <w:color w:val="000000"/>
                <w:sz w:val="20"/>
              </w:rPr>
              <w:t xml:space="preserve"> not in AFPEO/CM’s portfolio</w:t>
            </w:r>
          </w:p>
        </w:tc>
      </w:tr>
      <w:tr w:rsidR="00B4492A" w:rsidRPr="009201F1" w14:paraId="36D44A09" w14:textId="77777777" w:rsidTr="00B4492A">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BA53CBE" w14:textId="77777777" w:rsidR="00B4492A" w:rsidRPr="009201F1" w:rsidRDefault="00B4492A" w:rsidP="00B4492A">
            <w:pPr>
              <w:autoSpaceDN w:val="0"/>
              <w:spacing w:after="0"/>
              <w:jc w:val="center"/>
              <w:rPr>
                <w:rFonts w:eastAsia="Times New Roman"/>
                <w:b/>
                <w:color w:val="000000"/>
                <w:sz w:val="20"/>
              </w:rPr>
            </w:pPr>
            <w:r w:rsidRPr="009201F1">
              <w:rPr>
                <w:rFonts w:eastAsia="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D180E13" w14:textId="6C375A91" w:rsidR="00B4492A" w:rsidRPr="009201F1" w:rsidRDefault="00961921"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E0F2EE"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B4492A" w:rsidRPr="009201F1" w14:paraId="7C2C27F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29103E"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0CD41"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AFSC/CC/CA</w:t>
            </w:r>
            <w:r w:rsidRPr="009201F1">
              <w:rPr>
                <w:rFonts w:eastAsia="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EE8F8"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1</w:t>
            </w:r>
            <w:r w:rsidRPr="009201F1">
              <w:rPr>
                <w:rFonts w:eastAsia="Times New Roman"/>
                <w:b/>
                <w:color w:val="000000"/>
                <w:sz w:val="20"/>
              </w:rPr>
              <w:t xml:space="preserve">  </w:t>
            </w:r>
          </w:p>
        </w:tc>
      </w:tr>
      <w:tr w:rsidR="00B4492A" w:rsidRPr="009201F1" w14:paraId="1F64787C" w14:textId="77777777" w:rsidTr="008F2C8B">
        <w:trPr>
          <w:trHeight w:val="31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61F93"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61329"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49CDAE"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34144352" w14:textId="3F5851D4" w:rsidR="002E3E46" w:rsidRPr="009201F1" w:rsidRDefault="002E3E46" w:rsidP="002E3E46">
      <w:pPr>
        <w:autoSpaceDN w:val="0"/>
        <w:spacing w:after="0" w:line="276" w:lineRule="auto"/>
      </w:pPr>
      <w:r w:rsidRPr="009201F1">
        <w:rPr>
          <w:vertAlign w:val="superscript"/>
        </w:rPr>
        <w:t xml:space="preserve">           1</w:t>
      </w:r>
      <w:r w:rsidR="00C45B1B" w:rsidRPr="009201F1">
        <w:t xml:space="preserve"> ≥ $100M: </w:t>
      </w:r>
      <w:r w:rsidRPr="009201F1">
        <w:t xml:space="preserve">delegable to no lower than one level above the </w:t>
      </w:r>
      <w:r w:rsidR="00381475" w:rsidRPr="009201F1">
        <w:t>PCO</w:t>
      </w:r>
      <w:r w:rsidRPr="009201F1">
        <w:t xml:space="preserve"> or equivalent or higher position within the requiring activity chain;</w:t>
      </w:r>
    </w:p>
    <w:p w14:paraId="5FEE9FB8" w14:textId="7860EE54" w:rsidR="002E3E46" w:rsidRPr="009201F1" w:rsidRDefault="002E3E46" w:rsidP="002E3E46">
      <w:pPr>
        <w:autoSpaceDN w:val="0"/>
        <w:spacing w:after="0" w:line="276" w:lineRule="auto"/>
      </w:pPr>
      <w:r w:rsidRPr="009201F1">
        <w:rPr>
          <w:vertAlign w:val="superscript"/>
        </w:rPr>
        <w:t xml:space="preserve">           2 </w:t>
      </w:r>
      <w:r w:rsidR="00C45B1B" w:rsidRPr="009201F1">
        <w:t xml:space="preserve">&gt;$10M &lt; $100M: </w:t>
      </w:r>
      <w:r w:rsidRPr="009201F1">
        <w:t xml:space="preserve">delegable to no lower than the </w:t>
      </w:r>
      <w:r w:rsidR="00381475" w:rsidRPr="009201F1">
        <w:t>PCO</w:t>
      </w:r>
      <w:r w:rsidRPr="009201F1">
        <w:t xml:space="preserve"> or equivalent or higher position within </w:t>
      </w:r>
    </w:p>
    <w:p w14:paraId="15B28CC0" w14:textId="77777777" w:rsidR="001C3F4E" w:rsidRPr="009201F1" w:rsidRDefault="002E3E46" w:rsidP="002E3E46">
      <w:pPr>
        <w:autoSpaceDN w:val="0"/>
        <w:spacing w:after="0" w:line="276" w:lineRule="auto"/>
      </w:pPr>
      <w:r w:rsidRPr="009201F1">
        <w:t xml:space="preserve">         </w:t>
      </w:r>
      <w:proofErr w:type="gramStart"/>
      <w:r w:rsidRPr="009201F1">
        <w:t>the</w:t>
      </w:r>
      <w:proofErr w:type="gramEnd"/>
      <w:r w:rsidRPr="009201F1">
        <w:t xml:space="preserve"> requiring activity chain.</w:t>
      </w:r>
    </w:p>
    <w:p w14:paraId="2AF30389" w14:textId="7DCE5AD8" w:rsidR="002E3E46" w:rsidRPr="009201F1" w:rsidRDefault="00977580" w:rsidP="00977580">
      <w:pPr>
        <w:pStyle w:val="List2"/>
      </w:pPr>
      <w:r w:rsidRPr="009201F1">
        <w:rPr>
          <w:b/>
          <w:color w:val="000000"/>
        </w:rPr>
        <w:lastRenderedPageBreak/>
        <w:t>(5)</w:t>
      </w:r>
      <w:r w:rsidRPr="009201F1">
        <w:rPr>
          <w:b/>
          <w:color w:val="000000"/>
        </w:rPr>
        <w:tab/>
      </w:r>
      <w:r w:rsidR="002E3E46" w:rsidRPr="009201F1">
        <w:rPr>
          <w:b/>
          <w:bCs/>
          <w:caps/>
          <w:color w:val="000000"/>
        </w:rPr>
        <w:t xml:space="preserve">Air Force Test Center (AFTC) </w:t>
      </w:r>
      <w:r w:rsidR="002E3E46" w:rsidRPr="009201F1">
        <w:rPr>
          <w:bCs/>
          <w:caps/>
          <w:color w:val="000000"/>
        </w:rPr>
        <w:t>(</w:t>
      </w:r>
      <w:r w:rsidR="002E3E46" w:rsidRPr="009201F1">
        <w:rPr>
          <w:rFonts w:eastAsia="Times New Roman"/>
          <w:color w:val="000000"/>
        </w:rPr>
        <w:t xml:space="preserve">contracting organizations are located at Edwards Air Force Base, Arnold Air Force Base, and Eglin Air Force Base, and Hill Air Force Base): </w:t>
      </w:r>
    </w:p>
    <w:p w14:paraId="55F2670F" w14:textId="4A3345B1" w:rsidR="002E3E46" w:rsidRPr="009201F1" w:rsidRDefault="002E3E46" w:rsidP="008F2C8B">
      <w:pPr>
        <w:spacing w:after="120"/>
        <w:rPr>
          <w:rFonts w:eastAsia="Times New Roman"/>
          <w:color w:val="000000"/>
        </w:rPr>
      </w:pPr>
    </w:p>
    <w:tbl>
      <w:tblPr>
        <w:tblW w:w="954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4050"/>
        <w:gridCol w:w="3600"/>
      </w:tblGrid>
      <w:tr w:rsidR="002E3E46" w:rsidRPr="009201F1" w14:paraId="231229DF" w14:textId="77777777" w:rsidTr="008F2C8B">
        <w:trPr>
          <w:trHeight w:val="304"/>
          <w:tblCellSpacing w:w="7" w:type="dxa"/>
        </w:trPr>
        <w:tc>
          <w:tcPr>
            <w:tcW w:w="951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75C82C9" w14:textId="5CFE0858" w:rsidR="002E3E46" w:rsidRPr="009201F1" w:rsidRDefault="002E3E46" w:rsidP="00CE6070">
            <w:pPr>
              <w:keepNext/>
              <w:keepLines/>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w:t>
            </w:r>
            <w:r w:rsidRPr="009201F1">
              <w:rPr>
                <w:rFonts w:eastAsia="Times New Roman"/>
                <w:b/>
                <w:color w:val="000000"/>
                <w:sz w:val="20"/>
              </w:rPr>
              <w:t xml:space="preserve"> not in AFPEO/CM’s portfolio</w:t>
            </w:r>
          </w:p>
        </w:tc>
      </w:tr>
      <w:tr w:rsidR="002E3E46" w:rsidRPr="009201F1" w14:paraId="62C1640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ADD031E"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5BCD44BA" w14:textId="02023A7E" w:rsidR="002E3E46" w:rsidRPr="009201F1" w:rsidRDefault="00961921"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CD28190"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Operational</w:t>
            </w:r>
          </w:p>
        </w:tc>
      </w:tr>
      <w:tr w:rsidR="002E3E46" w:rsidRPr="009201F1" w14:paraId="41A2F952" w14:textId="77777777" w:rsidTr="002E3E46">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73DFB"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18D10"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AFTC/CC/CA</w:t>
            </w:r>
            <w:r w:rsidRPr="009201F1">
              <w:rPr>
                <w:rFonts w:eastAsia="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D9892"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Test Wing Commander/Director</w:t>
            </w:r>
            <w:r w:rsidRPr="009201F1">
              <w:rPr>
                <w:rFonts w:eastAsia="Times New Roman"/>
                <w:b/>
                <w:color w:val="000000"/>
                <w:sz w:val="20"/>
                <w:vertAlign w:val="superscript"/>
              </w:rPr>
              <w:t>1</w:t>
            </w:r>
            <w:r w:rsidRPr="009201F1">
              <w:rPr>
                <w:rFonts w:eastAsia="Times New Roman"/>
                <w:b/>
                <w:color w:val="000000"/>
                <w:sz w:val="20"/>
              </w:rPr>
              <w:t xml:space="preserve">  </w:t>
            </w:r>
          </w:p>
        </w:tc>
      </w:tr>
      <w:tr w:rsidR="002E3E46" w:rsidRPr="009201F1" w14:paraId="64BD791F" w14:textId="77777777" w:rsidTr="002E3E46">
        <w:trPr>
          <w:trHeight w:val="287"/>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3A84A" w14:textId="77777777" w:rsidR="002E3E46" w:rsidRPr="009201F1" w:rsidRDefault="002E3E46" w:rsidP="002E3E46">
            <w:pPr>
              <w:overflowPunct w:val="0"/>
              <w:autoSpaceDE w:val="0"/>
              <w:autoSpaceDN w:val="0"/>
              <w:adjustRightInd w:val="0"/>
              <w:jc w:val="center"/>
              <w:rPr>
                <w:rFonts w:eastAsia="Times New Roman"/>
                <w:b/>
                <w:color w:val="000000"/>
                <w:sz w:val="20"/>
              </w:rPr>
            </w:pPr>
            <w:r w:rsidRPr="009201F1">
              <w:rPr>
                <w:rFonts w:eastAsia="Times New Roman"/>
                <w:b/>
                <w:color w:val="000000"/>
                <w:sz w:val="20"/>
              </w:rPr>
              <w:t>&gt; $10M  &lt;$100M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BEF21" w14:textId="77777777" w:rsidR="002E3E46" w:rsidRPr="009201F1" w:rsidRDefault="002E3E46" w:rsidP="002E3E46">
            <w:pPr>
              <w:overflowPunct w:val="0"/>
              <w:autoSpaceDE w:val="0"/>
              <w:autoSpaceDN w:val="0"/>
              <w:adjustRightInd w:val="0"/>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31B36F" w14:textId="77777777" w:rsidR="002E3E46" w:rsidRPr="009201F1" w:rsidRDefault="002E3E46" w:rsidP="002E3E46">
            <w:pPr>
              <w:overflowPunct w:val="0"/>
              <w:autoSpaceDE w:val="0"/>
              <w:autoSpaceDN w:val="0"/>
              <w:adjustRightInd w:val="0"/>
              <w:jc w:val="center"/>
              <w:rPr>
                <w:rFonts w:eastAsia="Times New Roman"/>
                <w:b/>
                <w:color w:val="000000"/>
                <w:sz w:val="20"/>
              </w:rPr>
            </w:pPr>
            <w:r w:rsidRPr="009201F1">
              <w:rPr>
                <w:rFonts w:eastAsia="Times New Roman"/>
                <w:b/>
                <w:color w:val="000000"/>
                <w:sz w:val="20"/>
              </w:rPr>
              <w:t>Test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1892A939" w14:textId="77777777" w:rsidR="00DE4AC2" w:rsidRPr="009201F1" w:rsidRDefault="002E3E46" w:rsidP="000C6672">
      <w:pPr>
        <w:overflowPunct w:val="0"/>
        <w:autoSpaceDE w:val="0"/>
        <w:autoSpaceDN w:val="0"/>
        <w:adjustRightInd w:val="0"/>
        <w:spacing w:after="0"/>
        <w:ind w:left="86" w:hanging="86"/>
        <w:rPr>
          <w:rFonts w:eastAsia="Times New Roman"/>
        </w:rPr>
      </w:pPr>
      <w:r w:rsidRPr="009201F1">
        <w:rPr>
          <w:rFonts w:eastAsia="Times New Roman"/>
          <w:vertAlign w:val="superscript"/>
        </w:rPr>
        <w:t xml:space="preserve">    </w:t>
      </w:r>
      <w:r w:rsidR="00905590" w:rsidRPr="009201F1">
        <w:rPr>
          <w:rFonts w:eastAsia="Times New Roman"/>
          <w:vertAlign w:val="superscript"/>
        </w:rPr>
        <w:t xml:space="preserve">    </w:t>
      </w:r>
      <w:r w:rsidRPr="009201F1">
        <w:rPr>
          <w:rFonts w:eastAsia="Times New Roman"/>
          <w:vertAlign w:val="superscript"/>
        </w:rPr>
        <w:t xml:space="preserve">   1 </w:t>
      </w:r>
      <w:r w:rsidR="00C45B1B" w:rsidRPr="009201F1">
        <w:rPr>
          <w:rFonts w:eastAsia="Times New Roman"/>
        </w:rPr>
        <w:t xml:space="preserve">≥ $100M: </w:t>
      </w:r>
      <w:r w:rsidRPr="009201F1">
        <w:rPr>
          <w:rFonts w:eastAsia="Times New Roman"/>
        </w:rPr>
        <w:t xml:space="preserve">delegable to no lower than one level above the </w:t>
      </w:r>
      <w:r w:rsidR="00381475" w:rsidRPr="009201F1">
        <w:rPr>
          <w:rFonts w:eastAsia="Times New Roman"/>
        </w:rPr>
        <w:t>PCO</w:t>
      </w:r>
      <w:r w:rsidRPr="009201F1">
        <w:rPr>
          <w:rFonts w:eastAsia="Times New Roman"/>
        </w:rPr>
        <w:t xml:space="preserve"> or equivalent or higher position within the </w:t>
      </w:r>
      <w:r w:rsidR="00905590" w:rsidRPr="009201F1">
        <w:rPr>
          <w:rFonts w:eastAsia="Times New Roman"/>
        </w:rPr>
        <w:t xml:space="preserve">   </w:t>
      </w:r>
      <w:r w:rsidRPr="009201F1">
        <w:rPr>
          <w:rFonts w:eastAsia="Times New Roman"/>
        </w:rPr>
        <w:t>requiring activity chain;</w:t>
      </w:r>
    </w:p>
    <w:p w14:paraId="6DBA9B8F" w14:textId="77777777" w:rsidR="001C3F4E" w:rsidRPr="009201F1" w:rsidRDefault="002E3E46" w:rsidP="000C6672">
      <w:pPr>
        <w:overflowPunct w:val="0"/>
        <w:autoSpaceDE w:val="0"/>
        <w:autoSpaceDN w:val="0"/>
        <w:adjustRightInd w:val="0"/>
        <w:spacing w:after="0"/>
        <w:ind w:left="86" w:hanging="86"/>
        <w:rPr>
          <w:rFonts w:eastAsia="Times New Roman"/>
        </w:rPr>
      </w:pPr>
      <w:r w:rsidRPr="009201F1">
        <w:rPr>
          <w:rFonts w:eastAsia="Times New Roman"/>
          <w:vertAlign w:val="superscript"/>
        </w:rPr>
        <w:t xml:space="preserve">   </w:t>
      </w:r>
      <w:r w:rsidR="00905590" w:rsidRPr="009201F1">
        <w:rPr>
          <w:rFonts w:eastAsia="Times New Roman"/>
          <w:vertAlign w:val="superscript"/>
        </w:rPr>
        <w:t xml:space="preserve">     </w:t>
      </w:r>
      <w:r w:rsidRPr="009201F1">
        <w:rPr>
          <w:rFonts w:eastAsia="Times New Roman"/>
          <w:vertAlign w:val="superscript"/>
        </w:rPr>
        <w:t xml:space="preserve">  2</w:t>
      </w:r>
      <w:r w:rsidR="00C45B1B" w:rsidRPr="009201F1">
        <w:rPr>
          <w:rFonts w:eastAsia="Times New Roman"/>
        </w:rPr>
        <w:t xml:space="preserve"> &gt;$10M &lt; $100M: </w:t>
      </w:r>
      <w:r w:rsidRPr="009201F1">
        <w:rPr>
          <w:rFonts w:eastAsia="Times New Roman"/>
        </w:rPr>
        <w:t xml:space="preserve">delegable to no lower than the </w:t>
      </w:r>
      <w:r w:rsidR="00381475" w:rsidRPr="009201F1">
        <w:rPr>
          <w:rFonts w:eastAsia="Times New Roman"/>
        </w:rPr>
        <w:t>PCO</w:t>
      </w:r>
      <w:r w:rsidRPr="009201F1">
        <w:rPr>
          <w:rFonts w:eastAsia="Times New Roman"/>
        </w:rPr>
        <w:t xml:space="preserve"> or equivalent or higher position within the requiring activity chain.</w:t>
      </w:r>
    </w:p>
    <w:p w14:paraId="37532149" w14:textId="77777777" w:rsidR="001C3F4E" w:rsidRPr="009201F1" w:rsidRDefault="004946A9" w:rsidP="00977580">
      <w:pPr>
        <w:pStyle w:val="List1"/>
      </w:pPr>
      <w:r w:rsidRPr="009201F1">
        <w:t>(c)</w:t>
      </w:r>
      <w:r w:rsidR="00F956F4" w:rsidRPr="009201F1">
        <w:t xml:space="preserve"> Many source selection teams request and document delegation of SSA in the Acquisition Strategy Panel charts, and/or Acquisition Plan/LCMP, which eliminates the need to process a separate delegation memo.  When using a separate delegation memo, </w:t>
      </w:r>
      <w:r w:rsidR="006E6EB4" w:rsidRPr="009201F1">
        <w:t>PCOs</w:t>
      </w:r>
      <w:r w:rsidR="00F956F4" w:rsidRPr="009201F1">
        <w:t xml:space="preserve"> may use the templates below:</w:t>
      </w:r>
    </w:p>
    <w:p w14:paraId="6EA6E1DB" w14:textId="0B30AE1C" w:rsidR="00F956F4" w:rsidRPr="009201F1" w:rsidRDefault="000D4C22" w:rsidP="006E15E0">
      <w:pPr>
        <w:spacing w:after="0"/>
        <w:ind w:firstLine="720"/>
      </w:pPr>
      <w:hyperlink r:id="rId21" w:history="1">
        <w:r w:rsidR="00F956F4" w:rsidRPr="009201F1">
          <w:rPr>
            <w:rStyle w:val="Hyperlink"/>
          </w:rPr>
          <w:t>Delegation of Source Selection Authority Staff Summary Sheet Template</w:t>
        </w:r>
      </w:hyperlink>
      <w:r w:rsidR="00F956F4" w:rsidRPr="009201F1">
        <w:t xml:space="preserve"> </w:t>
      </w:r>
    </w:p>
    <w:p w14:paraId="63219174" w14:textId="77777777" w:rsidR="001C3F4E" w:rsidRPr="009201F1" w:rsidRDefault="00F956F4" w:rsidP="006E15E0">
      <w:pPr>
        <w:pStyle w:val="Header"/>
        <w:spacing w:before="120"/>
      </w:pPr>
      <w:r w:rsidRPr="009201F1">
        <w:t xml:space="preserve">             </w:t>
      </w:r>
      <w:hyperlink r:id="rId22" w:history="1">
        <w:r w:rsidRPr="009201F1">
          <w:rPr>
            <w:rStyle w:val="Hyperlink"/>
          </w:rPr>
          <w:t>Delegation of Source Selection Authority Memo Template</w:t>
        </w:r>
      </w:hyperlink>
      <w:bookmarkStart w:id="12" w:name="_AFMC_PGI_5315.3_1"/>
      <w:bookmarkEnd w:id="12"/>
    </w:p>
    <w:p w14:paraId="02AE7C2B" w14:textId="19D60D3F" w:rsidR="003C2D0F" w:rsidRPr="009201F1" w:rsidRDefault="00905590" w:rsidP="00977580">
      <w:pPr>
        <w:pStyle w:val="Heading3"/>
      </w:pPr>
      <w:r w:rsidRPr="009201F1">
        <w:t>AFMC PGI 5315.3 (1.4.2.2.3)</w:t>
      </w:r>
    </w:p>
    <w:p w14:paraId="75ABAF35" w14:textId="77777777" w:rsidR="001C3F4E" w:rsidRPr="009201F1" w:rsidRDefault="00905590" w:rsidP="008F2C8B">
      <w:pPr>
        <w:spacing w:after="0"/>
      </w:pPr>
      <w:r w:rsidRPr="009201F1">
        <w:t>All source selection teams should consider use of the “</w:t>
      </w:r>
      <w:hyperlink r:id="rId23" w:history="1">
        <w:r w:rsidRPr="009201F1">
          <w:rPr>
            <w:rStyle w:val="Hyperlink"/>
          </w:rPr>
          <w:t>Verification of Correspondence Going to Offeror</w:t>
        </w:r>
      </w:hyperlink>
      <w:r w:rsidRPr="009201F1">
        <w:t>” checklist for correspondence going to offerors, whether in hard copy or electronic format, and for information being posted to a website accessible by offerors.</w:t>
      </w:r>
      <w:bookmarkStart w:id="13" w:name="_AFMC_PGI_5315.3_2"/>
      <w:bookmarkEnd w:id="13"/>
    </w:p>
    <w:p w14:paraId="0AC0A729" w14:textId="566D782B" w:rsidR="00381475" w:rsidRPr="009201F1" w:rsidRDefault="00381475" w:rsidP="00977580">
      <w:pPr>
        <w:pStyle w:val="Heading3"/>
      </w:pPr>
      <w:r w:rsidRPr="009201F1">
        <w:t xml:space="preserve">AFMC PGI 5315.3 (1.4.6.1) </w:t>
      </w:r>
      <w:r w:rsidR="007B05B2" w:rsidRPr="009201F1">
        <w:t xml:space="preserve">  </w:t>
      </w:r>
      <w:r w:rsidRPr="009201F1">
        <w:t>Government A</w:t>
      </w:r>
      <w:r w:rsidR="00956588" w:rsidRPr="009201F1">
        <w:t>dvisors</w:t>
      </w:r>
    </w:p>
    <w:p w14:paraId="456ADCE8" w14:textId="77777777" w:rsidR="001C3F4E" w:rsidRPr="009201F1" w:rsidRDefault="00381475" w:rsidP="008F2C8B">
      <w:pPr>
        <w:spacing w:after="0"/>
      </w:pPr>
      <w:r w:rsidRPr="009201F1">
        <w:t xml:space="preserve">Some Operating Locations/Centers assign a Source Selection Support Advisor from the local Acquisition Center of Excellence </w:t>
      </w:r>
      <w:r w:rsidR="00905590" w:rsidRPr="009201F1">
        <w:t xml:space="preserve">(ACE) </w:t>
      </w:r>
      <w:r w:rsidRPr="009201F1">
        <w:t>and/or local Clearance and Program Support Office</w:t>
      </w:r>
      <w:r w:rsidRPr="009201F1" w:rsidDel="00C41E96">
        <w:t xml:space="preserve"> </w:t>
      </w:r>
      <w:r w:rsidRPr="009201F1">
        <w:t xml:space="preserve">to serve in an advisory capacity to the SSA and the Source Selection Team (SST).  When a Source Selection Support Advisor is not assigned or not available, teams should refer to the </w:t>
      </w:r>
      <w:hyperlink r:id="rId24" w:history="1">
        <w:r w:rsidRPr="009201F1">
          <w:rPr>
            <w:rStyle w:val="Hyperlink"/>
          </w:rPr>
          <w:t>AFFARS Library Part 5315</w:t>
        </w:r>
      </w:hyperlink>
      <w:r w:rsidRPr="009201F1">
        <w:t>, for examples, templates, forms and useful guidance.</w:t>
      </w:r>
      <w:bookmarkStart w:id="14" w:name="_AFMC_PGI_5315.3_3"/>
      <w:bookmarkEnd w:id="14"/>
    </w:p>
    <w:p w14:paraId="1455FCF4" w14:textId="2FA97C09" w:rsidR="00381475" w:rsidRPr="009201F1" w:rsidRDefault="00381475" w:rsidP="00A15F40">
      <w:pPr>
        <w:pStyle w:val="Heading3"/>
      </w:pPr>
      <w:r w:rsidRPr="009201F1">
        <w:lastRenderedPageBreak/>
        <w:t xml:space="preserve">AFMC PGI 5315.3 (1.4.7.2) </w:t>
      </w:r>
    </w:p>
    <w:p w14:paraId="4728DCBC" w14:textId="35AFCF0B" w:rsidR="00381475" w:rsidRPr="009201F1" w:rsidRDefault="002B0BCE" w:rsidP="00977580">
      <w:pPr>
        <w:pStyle w:val="List1"/>
      </w:pPr>
      <w:r w:rsidRPr="009201F1">
        <w:t>(a)</w:t>
      </w:r>
      <w:r w:rsidR="008644A0" w:rsidRPr="009201F1">
        <w:t xml:space="preserve"> </w:t>
      </w:r>
      <w:r w:rsidR="00381475" w:rsidRPr="009201F1">
        <w:t>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14:paraId="1D9261A3" w14:textId="77777777" w:rsidR="001C3F4E" w:rsidRPr="009201F1" w:rsidRDefault="002B0BCE" w:rsidP="00977580">
      <w:pPr>
        <w:pStyle w:val="List1"/>
      </w:pPr>
      <w:r w:rsidRPr="009201F1">
        <w:t>(b)</w:t>
      </w:r>
      <w:r w:rsidR="008644A0" w:rsidRPr="009201F1">
        <w:t xml:space="preserve"> </w:t>
      </w:r>
      <w:r w:rsidR="00381475" w:rsidRPr="009201F1">
        <w:rPr>
          <w:u w:val="single"/>
        </w:rPr>
        <w:t>Notification to SSF</w:t>
      </w:r>
      <w:r w:rsidR="00381475" w:rsidRPr="009201F1">
        <w:t>.  At Operating Locations or Centers that have a SSF, program offices should notify the SSF of forthcoming source selections to be held in the SSF as soon as the potential for the source selection action has bee</w:t>
      </w:r>
      <w:r w:rsidR="00BA2295" w:rsidRPr="009201F1">
        <w:t>n identified.  Notification</w:t>
      </w:r>
      <w:r w:rsidR="00381475" w:rsidRPr="009201F1">
        <w:t xml:space="preserve"> include</w:t>
      </w:r>
      <w:r w:rsidR="00BA2295" w:rsidRPr="009201F1">
        <w:t>s</w:t>
      </w:r>
      <w:r w:rsidR="00381475" w:rsidRPr="009201F1">
        <w:t>: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bookmarkStart w:id="15" w:name="_AFMC_PGI_5315.3_4"/>
      <w:bookmarkEnd w:id="15"/>
    </w:p>
    <w:p w14:paraId="3CF286CB" w14:textId="13B8754C" w:rsidR="00574003" w:rsidRPr="009201F1" w:rsidRDefault="000F4F3F" w:rsidP="00977580">
      <w:pPr>
        <w:pStyle w:val="Heading3"/>
      </w:pPr>
      <w:r w:rsidRPr="009201F1">
        <w:t>AFMC PGI 5315.3 (</w:t>
      </w:r>
      <w:r w:rsidR="00574003" w:rsidRPr="009201F1">
        <w:t>2.1.2.3</w:t>
      </w:r>
      <w:r w:rsidRPr="009201F1">
        <w:t>)</w:t>
      </w:r>
      <w:r w:rsidR="00574003" w:rsidRPr="009201F1">
        <w:t xml:space="preserve"> </w:t>
      </w:r>
      <w:r w:rsidR="007B05B2" w:rsidRPr="009201F1">
        <w:t xml:space="preserve">  </w:t>
      </w:r>
      <w:r w:rsidR="00574003" w:rsidRPr="009201F1">
        <w:t>Dr</w:t>
      </w:r>
      <w:r w:rsidR="00956588" w:rsidRPr="009201F1">
        <w:t>aft Request for Proposals (RFP)</w:t>
      </w:r>
    </w:p>
    <w:p w14:paraId="36140483" w14:textId="77777777" w:rsidR="001C3F4E" w:rsidRPr="009201F1" w:rsidRDefault="00574003" w:rsidP="008F2C8B">
      <w:pPr>
        <w:spacing w:after="0"/>
        <w:rPr>
          <w:b/>
        </w:rPr>
      </w:pPr>
      <w:r w:rsidRPr="009201F1">
        <w:t xml:space="preserve">The </w:t>
      </w:r>
      <w:r w:rsidR="00381475" w:rsidRPr="009201F1">
        <w:t>PCO</w:t>
      </w:r>
      <w:r w:rsidRPr="009201F1">
        <w:t xml:space="preserve"> provide</w:t>
      </w:r>
      <w:r w:rsidR="00EC5A75" w:rsidRPr="009201F1">
        <w:t>s</w:t>
      </w:r>
      <w:r w:rsidRPr="009201F1">
        <w:t xml:space="preserve"> clear and timely response</w:t>
      </w:r>
      <w:r w:rsidR="00EC5A75" w:rsidRPr="009201F1">
        <w:t>s</w:t>
      </w:r>
      <w:r w:rsidRPr="009201F1">
        <w:t xml:space="preserve"> to draft RFP comments to ensure potential offerors are as fully informed as possible.  These responses include the </w:t>
      </w:r>
      <w:r w:rsidR="007F5B7F" w:rsidRPr="009201F1">
        <w:t>G</w:t>
      </w:r>
      <w:r w:rsidRPr="009201F1">
        <w:t>overnment’s rationale when not accepting industry recommended changes to the RFP.  In doing so, acquisition teams will continue to benefit from open communication with industry beyond the early requirements definition phase.</w:t>
      </w:r>
      <w:r w:rsidR="00993B8C" w:rsidRPr="009201F1">
        <w:t xml:space="preserve"> </w:t>
      </w:r>
      <w:bookmarkStart w:id="16" w:name="_AFMC_PGI_5315.3_5"/>
      <w:bookmarkEnd w:id="16"/>
    </w:p>
    <w:p w14:paraId="62FB08D6" w14:textId="77777777" w:rsidR="001C3F4E" w:rsidRPr="009201F1" w:rsidRDefault="00993B8C" w:rsidP="00977580">
      <w:pPr>
        <w:pStyle w:val="Heading3"/>
      </w:pPr>
      <w:r w:rsidRPr="009201F1">
        <w:t>AFMC PGI 5315.3 (2.3.1</w:t>
      </w:r>
      <w:r w:rsidR="00966ED2" w:rsidRPr="009201F1">
        <w:t xml:space="preserve">) </w:t>
      </w:r>
      <w:r w:rsidR="007B05B2" w:rsidRPr="009201F1">
        <w:t xml:space="preserve">  </w:t>
      </w:r>
      <w:r w:rsidR="00966ED2" w:rsidRPr="009201F1">
        <w:t>Evaluation Factors/Subfactors</w:t>
      </w:r>
      <w:r w:rsidRPr="009201F1">
        <w:t xml:space="preserve"> </w:t>
      </w:r>
    </w:p>
    <w:p w14:paraId="719FDA70" w14:textId="77777777" w:rsidR="001C3F4E" w:rsidRPr="009201F1" w:rsidRDefault="00993B8C" w:rsidP="00680358">
      <w:pPr>
        <w:spacing w:after="0"/>
      </w:pPr>
      <w:r w:rsidRPr="009201F1">
        <w:t>For all AFRL Sites: consider the following technical and cost factors and/or subfactors:</w:t>
      </w:r>
    </w:p>
    <w:p w14:paraId="33C101EE" w14:textId="77777777" w:rsidR="001C3F4E" w:rsidRPr="009201F1" w:rsidRDefault="002B0BCE" w:rsidP="00977580">
      <w:pPr>
        <w:pStyle w:val="List1"/>
      </w:pPr>
      <w:r w:rsidRPr="009201F1">
        <w:t>(a)</w:t>
      </w:r>
      <w:r w:rsidR="00993B8C" w:rsidRPr="009201F1">
        <w:t xml:space="preserve">  Cost is a substantial factor in Science and Technology (S&amp;T) source selections, but it is significantly less important than all other factors combined in determining the basis for award. </w:t>
      </w:r>
    </w:p>
    <w:p w14:paraId="3F575F89" w14:textId="0E73CD5F" w:rsidR="00993B8C" w:rsidRPr="009201F1" w:rsidRDefault="002B0BCE" w:rsidP="00164BA5">
      <w:pPr>
        <w:pStyle w:val="List1"/>
      </w:pPr>
      <w:r w:rsidRPr="009201F1">
        <w:t>(b)</w:t>
      </w:r>
      <w:r w:rsidR="00993B8C" w:rsidRPr="009201F1">
        <w:t xml:space="preserve">  Technical</w:t>
      </w:r>
      <w:r w:rsidR="00966ED2" w:rsidRPr="009201F1">
        <w:t>:</w:t>
      </w:r>
    </w:p>
    <w:p w14:paraId="31957169" w14:textId="77777777" w:rsidR="001C3F4E" w:rsidRPr="009201F1" w:rsidRDefault="002B0BCE" w:rsidP="00977580">
      <w:pPr>
        <w:pStyle w:val="List2"/>
      </w:pPr>
      <w:r w:rsidRPr="009201F1">
        <w:t>(1</w:t>
      </w:r>
      <w:r w:rsidR="008644A0" w:rsidRPr="009201F1">
        <w:t>)  Technical approach:</w:t>
      </w:r>
      <w:r w:rsidR="00993B8C" w:rsidRPr="009201F1">
        <w:t xml:space="preserve">  The soundness of the offeror's technical approach, including the offeror's demonstrated understanding of the technical requirement.</w:t>
      </w:r>
    </w:p>
    <w:p w14:paraId="152598D1" w14:textId="77777777" w:rsidR="001C3F4E" w:rsidRPr="009201F1" w:rsidRDefault="002B0BCE" w:rsidP="00977580">
      <w:pPr>
        <w:pStyle w:val="List2"/>
      </w:pPr>
      <w:r w:rsidRPr="009201F1">
        <w:t>(2</w:t>
      </w:r>
      <w:r w:rsidR="008644A0" w:rsidRPr="009201F1">
        <w:t>)  Qualification:</w:t>
      </w:r>
      <w:r w:rsidR="00993B8C" w:rsidRPr="009201F1">
        <w:t xml:space="preserve">  The quantity and quality of experience and qualifications of the proposed personnel relevant to the proposed task.  The quantity and quality of the offeror's corporate experience relevant to the proposed task.</w:t>
      </w:r>
    </w:p>
    <w:p w14:paraId="0F020E66" w14:textId="77777777" w:rsidR="001C3F4E" w:rsidRPr="009201F1" w:rsidRDefault="002B0BCE" w:rsidP="00977580">
      <w:pPr>
        <w:pStyle w:val="List2"/>
      </w:pPr>
      <w:r w:rsidRPr="009201F1">
        <w:t>(3</w:t>
      </w:r>
      <w:r w:rsidR="008644A0" w:rsidRPr="009201F1">
        <w:t>)  Management:</w:t>
      </w:r>
      <w:r w:rsidR="00993B8C" w:rsidRPr="009201F1">
        <w:t xml:space="preserve">  The degree to which the offeror demonstrates the ability to effectively and efficiently manage and administer the program to a successful conclusion. </w:t>
      </w:r>
    </w:p>
    <w:p w14:paraId="6F049DA1" w14:textId="77777777" w:rsidR="001C3F4E" w:rsidRPr="009201F1" w:rsidRDefault="008644A0" w:rsidP="00977580">
      <w:pPr>
        <w:pStyle w:val="List2"/>
      </w:pPr>
      <w:r w:rsidRPr="009201F1">
        <w:t>(</w:t>
      </w:r>
      <w:r w:rsidR="002B0BCE" w:rsidRPr="009201F1">
        <w:t>4</w:t>
      </w:r>
      <w:r w:rsidR="00993B8C" w:rsidRPr="009201F1">
        <w:t>)  Facil</w:t>
      </w:r>
      <w:r w:rsidRPr="009201F1">
        <w:t>ities:</w:t>
      </w:r>
      <w:r w:rsidR="00993B8C" w:rsidRPr="009201F1">
        <w:t xml:space="preserve">  The degree to which the proposed facilities enable accomplishment of the proposed effort.</w:t>
      </w:r>
    </w:p>
    <w:p w14:paraId="4008892B" w14:textId="77777777" w:rsidR="001C3F4E" w:rsidRPr="009201F1" w:rsidRDefault="002B0BCE" w:rsidP="00977580">
      <w:pPr>
        <w:pStyle w:val="List1"/>
      </w:pPr>
      <w:r w:rsidRPr="009201F1">
        <w:t>(c)</w:t>
      </w:r>
      <w:r w:rsidR="00993B8C" w:rsidRPr="009201F1">
        <w:t xml:space="preserve"> </w:t>
      </w:r>
      <w:r w:rsidR="008644A0" w:rsidRPr="009201F1">
        <w:t xml:space="preserve"> </w:t>
      </w:r>
      <w:r w:rsidR="00993B8C" w:rsidRPr="009201F1">
        <w:t>Past</w:t>
      </w:r>
      <w:r w:rsidR="00966ED2" w:rsidRPr="009201F1">
        <w:t xml:space="preserve"> Performance Information (PPI)</w:t>
      </w:r>
      <w:r w:rsidR="00DE4AC2" w:rsidRPr="009201F1">
        <w:t>:</w:t>
      </w:r>
    </w:p>
    <w:p w14:paraId="23CE358A" w14:textId="77777777" w:rsidR="001C3F4E" w:rsidRPr="009201F1" w:rsidRDefault="00977580" w:rsidP="00977580">
      <w:pPr>
        <w:pStyle w:val="List2"/>
      </w:pPr>
      <w:r w:rsidRPr="009201F1">
        <w:lastRenderedPageBreak/>
        <w:t>(1)</w:t>
      </w:r>
      <w:r w:rsidRPr="009201F1">
        <w:tab/>
      </w:r>
      <w:r w:rsidR="00993B8C" w:rsidRPr="009201F1">
        <w:t>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35.002).  Due to the trial and error nature of the S&amp;T environment, many problems and failures are routine and expected.  Therefore, PPI may not be a significant discriminator in S&amp;T source selection decisions.</w:t>
      </w:r>
    </w:p>
    <w:p w14:paraId="7CF43F39" w14:textId="77777777" w:rsidR="001C3F4E" w:rsidRPr="009201F1" w:rsidRDefault="00977580" w:rsidP="00977580">
      <w:pPr>
        <w:pStyle w:val="List2"/>
      </w:pPr>
      <w:r w:rsidRPr="009201F1">
        <w:t>(2)</w:t>
      </w:r>
      <w:r w:rsidRPr="009201F1">
        <w:tab/>
      </w:r>
      <w:r w:rsidR="00993B8C" w:rsidRPr="009201F1">
        <w:t>When PPI is used in S&amp;T source selections, tailor the type of past performance data to be collected and the manner in which it is to be evaluated to the specific acquisition.  Evaluation of ad hoc past performance information should either be incorporated in other evaluation</w:t>
      </w:r>
      <w:r w:rsidR="00905590" w:rsidRPr="009201F1">
        <w:t xml:space="preserve"> factors and/or subfactors (e.g</w:t>
      </w:r>
      <w:r w:rsidR="00993B8C" w:rsidRPr="009201F1">
        <w:t>.</w:t>
      </w:r>
      <w:r w:rsidR="00905590" w:rsidRPr="009201F1">
        <w:t>,</w:t>
      </w:r>
      <w:r w:rsidR="00993B8C" w:rsidRPr="009201F1">
        <w:t xml:space="preserve"> technical approach, qualification, management, facilities) or used as a stand-alone factor or subfactor as appropriate.  </w:t>
      </w:r>
      <w:r w:rsidR="00A463C3" w:rsidRPr="009201F1">
        <w:t>P</w:t>
      </w:r>
      <w:r w:rsidR="00993B8C" w:rsidRPr="009201F1">
        <w:t>C</w:t>
      </w:r>
      <w:r w:rsidR="00961921" w:rsidRPr="009201F1">
        <w:t>O</w:t>
      </w:r>
      <w:r w:rsidR="00993B8C" w:rsidRPr="009201F1">
        <w:t xml:space="preserve">s should review </w:t>
      </w:r>
      <w:r w:rsidR="007D51CC" w:rsidRPr="009201F1">
        <w:t>“</w:t>
      </w:r>
      <w:r w:rsidR="00D8081A" w:rsidRPr="009201F1">
        <w:t xml:space="preserve">Guidance for the Contractor </w:t>
      </w:r>
      <w:r w:rsidR="00993B8C" w:rsidRPr="009201F1">
        <w:t>Performance Assessment Reporting System (</w:t>
      </w:r>
      <w:hyperlink r:id="rId25" w:history="1">
        <w:r w:rsidR="00993B8C" w:rsidRPr="009201F1">
          <w:rPr>
            <w:rStyle w:val="Hyperlink"/>
          </w:rPr>
          <w:t>CPARS</w:t>
        </w:r>
      </w:hyperlink>
      <w:r w:rsidR="00D8081A" w:rsidRPr="009201F1">
        <w:t>)</w:t>
      </w:r>
      <w:r w:rsidR="007D51CC" w:rsidRPr="009201F1">
        <w:t>”</w:t>
      </w:r>
      <w:r w:rsidR="00D8081A" w:rsidRPr="009201F1">
        <w:t xml:space="preserve">, </w:t>
      </w:r>
      <w:r w:rsidR="00993B8C" w:rsidRPr="009201F1">
        <w:t xml:space="preserve">for additional guidance on S&amp;T acquisitions. </w:t>
      </w:r>
      <w:bookmarkStart w:id="17" w:name="_AFMC_PGI_5315.402-90"/>
      <w:bookmarkEnd w:id="17"/>
    </w:p>
    <w:p w14:paraId="3C42B703" w14:textId="412A7720" w:rsidR="00DC5674" w:rsidRPr="009201F1" w:rsidRDefault="00DC5674" w:rsidP="00164BA5">
      <w:pPr>
        <w:pStyle w:val="Heading3"/>
      </w:pPr>
      <w:r w:rsidRPr="009201F1">
        <w:t>AFMC PGI 5315.4</w:t>
      </w:r>
      <w:r w:rsidR="00966ED2" w:rsidRPr="009201F1">
        <w:t>02-90</w:t>
      </w:r>
      <w:r w:rsidRPr="009201F1">
        <w:t xml:space="preserve"> </w:t>
      </w:r>
      <w:r w:rsidR="007B05B2" w:rsidRPr="009201F1">
        <w:t xml:space="preserve">  </w:t>
      </w:r>
      <w:r w:rsidR="00AC607E" w:rsidRPr="009201F1">
        <w:t>Pricing</w:t>
      </w:r>
      <w:r w:rsidR="00966ED2" w:rsidRPr="009201F1">
        <w:t xml:space="preserve"> Policy</w:t>
      </w:r>
    </w:p>
    <w:p w14:paraId="03AFBCCA" w14:textId="4CDBDACE" w:rsidR="00DC5674" w:rsidRPr="009201F1" w:rsidRDefault="007D51CC" w:rsidP="00977580">
      <w:pPr>
        <w:pStyle w:val="List1"/>
      </w:pPr>
      <w:r w:rsidRPr="009201F1">
        <w:t>(a)</w:t>
      </w:r>
      <w:r w:rsidR="008A53DB" w:rsidRPr="009201F1">
        <w:t xml:space="preserve"> </w:t>
      </w:r>
      <w:r w:rsidR="00DC5674" w:rsidRPr="009201F1">
        <w:t xml:space="preserve">To facilitate timely award of sole source contract actions, </w:t>
      </w:r>
      <w:r w:rsidR="004946A9" w:rsidRPr="009201F1">
        <w:t>contracting officer</w:t>
      </w:r>
      <w:r w:rsidR="00961921" w:rsidRPr="009201F1">
        <w:t>s</w:t>
      </w:r>
      <w:r w:rsidR="00DC5674" w:rsidRPr="009201F1">
        <w:t xml:space="preserve"> are </w:t>
      </w:r>
      <w:r w:rsidR="00BC37CB" w:rsidRPr="009201F1">
        <w:t xml:space="preserve">strongly encouraged </w:t>
      </w:r>
      <w:r w:rsidR="00DC5674" w:rsidRPr="009201F1">
        <w:t>to conduct proposal kickoff and proposal walk through meetings</w:t>
      </w:r>
      <w:r w:rsidR="00AC607E" w:rsidRPr="009201F1">
        <w:t xml:space="preserve"> (see </w:t>
      </w:r>
      <w:hyperlink w:anchor="af_402_90" w:history="1">
        <w:r w:rsidR="00AC607E" w:rsidRPr="009201F1">
          <w:rPr>
            <w:rStyle w:val="Hyperlink"/>
          </w:rPr>
          <w:t>AF PGI 5315.4</w:t>
        </w:r>
        <w:r w:rsidR="00966ED2" w:rsidRPr="009201F1">
          <w:rPr>
            <w:rStyle w:val="Hyperlink"/>
          </w:rPr>
          <w:t>02-90</w:t>
        </w:r>
      </w:hyperlink>
      <w:r w:rsidR="00AC607E" w:rsidRPr="009201F1">
        <w:t>)</w:t>
      </w:r>
      <w:r w:rsidR="00F47273" w:rsidRPr="009201F1">
        <w:t>.</w:t>
      </w:r>
      <w:r w:rsidR="00DC5674" w:rsidRPr="009201F1">
        <w:t xml:space="preserve">  To ensure these meetings are successful, preparation is important.  </w:t>
      </w:r>
      <w:r w:rsidR="00BC37CB" w:rsidRPr="009201F1">
        <w:t>T</w:t>
      </w:r>
      <w:r w:rsidR="00DC5674" w:rsidRPr="009201F1">
        <w:t xml:space="preserve">he following </w:t>
      </w:r>
      <w:r w:rsidR="00BC37CB" w:rsidRPr="009201F1">
        <w:t xml:space="preserve">tailorable </w:t>
      </w:r>
      <w:r w:rsidR="00DC5674" w:rsidRPr="009201F1">
        <w:t xml:space="preserve">Meeting Checklists which cover important topics regarding prime and supplier proposal adequacy </w:t>
      </w:r>
      <w:r w:rsidR="00BC37CB" w:rsidRPr="009201F1">
        <w:t xml:space="preserve">are provided </w:t>
      </w:r>
      <w:r w:rsidR="00DC5674" w:rsidRPr="009201F1">
        <w:t>to guide these meetings. C</w:t>
      </w:r>
      <w:r w:rsidR="004946A9" w:rsidRPr="009201F1">
        <w:t>ontracting officers</w:t>
      </w:r>
      <w:r w:rsidR="00DC5674" w:rsidRPr="009201F1">
        <w:t xml:space="preserve"> </w:t>
      </w:r>
      <w:r w:rsidR="003C77B3" w:rsidRPr="009201F1">
        <w:t xml:space="preserve">should </w:t>
      </w:r>
      <w:r w:rsidR="00DC5674" w:rsidRPr="009201F1">
        <w:t>recommend</w:t>
      </w:r>
      <w:r w:rsidR="003C77B3" w:rsidRPr="009201F1">
        <w:t xml:space="preserve"> that</w:t>
      </w:r>
      <w:r w:rsidR="00DC5674" w:rsidRPr="009201F1">
        <w:t xml:space="preserve"> the Prime Contractor also conduct these meetings with their subcontractors and tailor these checklists for this purpose.  It is a common best practice in industry to host supplier kickoff meetings and training sessions for subcontractors that may have difficulty su</w:t>
      </w:r>
      <w:r w:rsidR="001F6A2D" w:rsidRPr="009201F1">
        <w:t>pplying adequate proposals.</w:t>
      </w:r>
    </w:p>
    <w:p w14:paraId="25B0E3B7" w14:textId="77777777" w:rsidR="001C3F4E" w:rsidRPr="009201F1" w:rsidRDefault="00966ED2" w:rsidP="00164BA5">
      <w:pPr>
        <w:pStyle w:val="List2"/>
      </w:pPr>
      <w:r w:rsidRPr="009201F1">
        <w:t xml:space="preserve">(1)  </w:t>
      </w:r>
      <w:hyperlink r:id="rId26" w:history="1">
        <w:r w:rsidR="00DC5674" w:rsidRPr="009201F1">
          <w:rPr>
            <w:rStyle w:val="Hyperlink"/>
          </w:rPr>
          <w:t>Proposal Ki</w:t>
        </w:r>
        <w:r w:rsidR="001F6A2D" w:rsidRPr="009201F1">
          <w:rPr>
            <w:rStyle w:val="Hyperlink"/>
          </w:rPr>
          <w:t>ckoff Meeting Checklist</w:t>
        </w:r>
      </w:hyperlink>
    </w:p>
    <w:p w14:paraId="25334164" w14:textId="77777777" w:rsidR="001C3F4E" w:rsidRPr="009201F1" w:rsidRDefault="00966ED2" w:rsidP="00164BA5">
      <w:pPr>
        <w:pStyle w:val="List2"/>
        <w:rPr>
          <w:u w:val="single"/>
        </w:rPr>
      </w:pPr>
      <w:r w:rsidRPr="009201F1">
        <w:t xml:space="preserve">(2)  </w:t>
      </w:r>
      <w:hyperlink r:id="rId27" w:history="1">
        <w:r w:rsidR="00F163A7" w:rsidRPr="009201F1">
          <w:rPr>
            <w:rStyle w:val="Hyperlink"/>
          </w:rPr>
          <w:t>Proposal Walk-</w:t>
        </w:r>
        <w:r w:rsidR="001F6A2D" w:rsidRPr="009201F1">
          <w:rPr>
            <w:rStyle w:val="Hyperlink"/>
          </w:rPr>
          <w:t>Through Meeting Checklist</w:t>
        </w:r>
      </w:hyperlink>
    </w:p>
    <w:p w14:paraId="4BC9018A" w14:textId="77777777" w:rsidR="001C3F4E" w:rsidRPr="009201F1" w:rsidRDefault="007D51CC" w:rsidP="00977580">
      <w:pPr>
        <w:pStyle w:val="List1"/>
      </w:pPr>
      <w:r w:rsidRPr="009201F1">
        <w:t>(b)</w:t>
      </w:r>
      <w:r w:rsidR="008A53DB" w:rsidRPr="009201F1">
        <w:t xml:space="preserve"> </w:t>
      </w:r>
      <w:r w:rsidR="00DC5674" w:rsidRPr="009201F1">
        <w:t>To foster both a timely and effective proposal evaluation and a quality business deal for t</w:t>
      </w:r>
      <w:r w:rsidR="004946A9" w:rsidRPr="009201F1">
        <w:t>he government, price analysts, contracting officer</w:t>
      </w:r>
      <w:r w:rsidR="00961921" w:rsidRPr="009201F1">
        <w:t>s</w:t>
      </w:r>
      <w:r w:rsidR="004946A9" w:rsidRPr="009201F1">
        <w:t xml:space="preserve"> and contract n</w:t>
      </w:r>
      <w:r w:rsidR="00DC5674" w:rsidRPr="009201F1">
        <w:t>egotiators for major acquisitions subject to Peer Review in accordance with DFARS 201.170 should consider employing selected techniques from the “</w:t>
      </w:r>
      <w:hyperlink r:id="rId28" w:history="1">
        <w:r w:rsidR="00DC5674" w:rsidRPr="009201F1">
          <w:rPr>
            <w:rStyle w:val="Hyperlink"/>
          </w:rPr>
          <w:t>DoD Sole Source Streamlining Toolbox</w:t>
        </w:r>
      </w:hyperlink>
      <w:r w:rsidR="00DC5674" w:rsidRPr="009201F1">
        <w:t xml:space="preserve">”.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  </w:t>
      </w:r>
      <w:bookmarkStart w:id="18" w:name="_AFMC_PGI_5315.403-1"/>
      <w:bookmarkEnd w:id="18"/>
    </w:p>
    <w:p w14:paraId="687349C6" w14:textId="77777777" w:rsidR="001C3F4E" w:rsidRPr="009201F1" w:rsidRDefault="00CD1930" w:rsidP="00977580">
      <w:pPr>
        <w:pStyle w:val="Heading3"/>
      </w:pPr>
      <w:r w:rsidRPr="009201F1">
        <w:t xml:space="preserve">AFMC PGI 5315.403-1  </w:t>
      </w:r>
      <w:r w:rsidR="007B05B2" w:rsidRPr="009201F1">
        <w:t xml:space="preserve"> </w:t>
      </w:r>
      <w:r w:rsidRPr="009201F1">
        <w:t>Prohibition on Obtaining Certified Cost or Pricing Data (10 U.S.C. 2</w:t>
      </w:r>
      <w:r w:rsidR="004479CC" w:rsidRPr="009201F1">
        <w:t>306a and 41 U.S.C., Chapter 35)</w:t>
      </w:r>
    </w:p>
    <w:p w14:paraId="118AE3A0" w14:textId="77777777" w:rsidR="001C3F4E" w:rsidRPr="009201F1" w:rsidRDefault="003C77B3" w:rsidP="00977580">
      <w:pPr>
        <w:pStyle w:val="List1"/>
      </w:pPr>
      <w:r w:rsidRPr="009201F1">
        <w:t xml:space="preserve">(c)(4)(A)  Submit </w:t>
      </w:r>
      <w:r w:rsidR="00CD1930" w:rsidRPr="009201F1">
        <w:t>the formal request for exceptional</w:t>
      </w:r>
      <w:r w:rsidRPr="009201F1">
        <w:t xml:space="preserve"> case TINA waiver to SAF/AQC</w:t>
      </w:r>
      <w:r w:rsidR="00AE08F2" w:rsidRPr="009201F1">
        <w:t xml:space="preserve"> (with a courtesy copy to HQ AFMC/PKF)</w:t>
      </w:r>
      <w:r w:rsidR="00CD1930" w:rsidRPr="009201F1">
        <w:t xml:space="preserve"> via the </w:t>
      </w:r>
      <w:hyperlink r:id="rId29" w:history="1">
        <w:r w:rsidR="00CD1930" w:rsidRPr="009201F1">
          <w:rPr>
            <w:color w:val="0000FF"/>
            <w:u w:val="single"/>
          </w:rPr>
          <w:t>HQ AFMC/PK Workflow</w:t>
        </w:r>
      </w:hyperlink>
      <w:r w:rsidRPr="009201F1">
        <w:t xml:space="preserve"> email account.  It is a good practice for t</w:t>
      </w:r>
      <w:r w:rsidR="00CD1930" w:rsidRPr="009201F1">
        <w:t>he local Pricing office</w:t>
      </w:r>
      <w:r w:rsidRPr="009201F1">
        <w:t xml:space="preserve"> to review </w:t>
      </w:r>
      <w:r w:rsidR="00CD1930" w:rsidRPr="009201F1">
        <w:t xml:space="preserve">the formal request for an exceptional case TINA waiver before the request is submitted to SAF/AQC.   </w:t>
      </w:r>
      <w:bookmarkStart w:id="19" w:name="_AFMC_PGI_5315.404-1-90"/>
      <w:bookmarkEnd w:id="19"/>
    </w:p>
    <w:p w14:paraId="770A3C18" w14:textId="77777777" w:rsidR="001C3F4E" w:rsidRPr="009201F1" w:rsidRDefault="00811624" w:rsidP="00977580">
      <w:pPr>
        <w:pStyle w:val="Heading3"/>
        <w:rPr>
          <w:b w:val="0"/>
        </w:rPr>
      </w:pPr>
      <w:r w:rsidRPr="009201F1">
        <w:rPr>
          <w:sz w:val="22"/>
          <w:szCs w:val="22"/>
        </w:rPr>
        <w:lastRenderedPageBreak/>
        <w:t>AFMC PGI 5315.404-1-90   Pricing Assistance or Pricing Assistance Waiver</w:t>
      </w:r>
    </w:p>
    <w:p w14:paraId="6FBB006F" w14:textId="77777777" w:rsidR="001C3F4E" w:rsidRPr="009201F1" w:rsidRDefault="00977580" w:rsidP="00977580">
      <w:pPr>
        <w:pStyle w:val="List1"/>
      </w:pPr>
      <w:r w:rsidRPr="009201F1">
        <w:rPr>
          <w:sz w:val="22"/>
          <w:szCs w:val="22"/>
        </w:rPr>
        <w:t>(a)</w:t>
      </w:r>
      <w:r w:rsidRPr="009201F1">
        <w:rPr>
          <w:sz w:val="22"/>
          <w:szCs w:val="22"/>
        </w:rPr>
        <w:tab/>
      </w:r>
      <w:r w:rsidR="00811624" w:rsidRPr="009201F1">
        <w:rPr>
          <w:sz w:val="22"/>
          <w:szCs w:val="22"/>
        </w:rPr>
        <w:t>For LCMC (Wright-Patterson AFB), source selection pricing assistance may be provided for structuring instructions to offerors and evaluation criteria, as needed de</w:t>
      </w:r>
      <w:r w:rsidR="004946A9" w:rsidRPr="009201F1">
        <w:rPr>
          <w:sz w:val="22"/>
          <w:szCs w:val="22"/>
        </w:rPr>
        <w:t>pending on resource constraints. F</w:t>
      </w:r>
      <w:r w:rsidR="00811624" w:rsidRPr="009201F1">
        <w:rPr>
          <w:sz w:val="22"/>
          <w:szCs w:val="22"/>
        </w:rPr>
        <w:t>ull-time pricing assistance during source selection is not required.</w:t>
      </w:r>
      <w:bookmarkStart w:id="20" w:name="_AFMC_PGI_5315.404-2-90"/>
      <w:bookmarkEnd w:id="20"/>
    </w:p>
    <w:p w14:paraId="028D23BE" w14:textId="77777777" w:rsidR="001C3F4E" w:rsidRPr="009201F1" w:rsidRDefault="003F0D46" w:rsidP="00977580">
      <w:pPr>
        <w:pStyle w:val="Heading3"/>
        <w:rPr>
          <w:rFonts w:eastAsia="Times New Roman"/>
          <w:b w:val="0"/>
        </w:rPr>
      </w:pPr>
      <w:r w:rsidRPr="009201F1">
        <w:rPr>
          <w:rFonts w:eastAsia="Times New Roman"/>
          <w:color w:val="000000"/>
        </w:rPr>
        <w:t>AFMC PGI 5315.404-2</w:t>
      </w:r>
      <w:r w:rsidR="00A63BFB" w:rsidRPr="009201F1">
        <w:rPr>
          <w:rFonts w:eastAsia="Times New Roman"/>
          <w:color w:val="000000"/>
        </w:rPr>
        <w:t>-90</w:t>
      </w:r>
      <w:r w:rsidRPr="009201F1">
        <w:rPr>
          <w:rFonts w:eastAsia="Times New Roman"/>
          <w:color w:val="000000"/>
        </w:rPr>
        <w:t xml:space="preserve"> </w:t>
      </w:r>
      <w:r w:rsidR="007B05B2" w:rsidRPr="009201F1">
        <w:rPr>
          <w:rFonts w:eastAsia="Times New Roman"/>
          <w:color w:val="000000"/>
        </w:rPr>
        <w:t xml:space="preserve">  </w:t>
      </w:r>
      <w:r w:rsidRPr="009201F1">
        <w:rPr>
          <w:rFonts w:eastAsia="Times New Roman"/>
          <w:color w:val="000000"/>
        </w:rPr>
        <w:t>Data to Support Proposal A</w:t>
      </w:r>
      <w:r w:rsidR="006F654B" w:rsidRPr="009201F1">
        <w:rPr>
          <w:rFonts w:eastAsia="Times New Roman"/>
          <w:color w:val="000000"/>
        </w:rPr>
        <w:t>nalysis</w:t>
      </w:r>
    </w:p>
    <w:p w14:paraId="0C04D0A9" w14:textId="77777777" w:rsidR="001C3F4E" w:rsidRPr="009201F1" w:rsidRDefault="002B0BCE" w:rsidP="00977580">
      <w:pPr>
        <w:pStyle w:val="List1"/>
        <w:rPr>
          <w:rFonts w:eastAsia="Times New Roman"/>
        </w:rPr>
      </w:pPr>
      <w:r w:rsidRPr="009201F1">
        <w:rPr>
          <w:rFonts w:eastAsia="Times New Roman"/>
          <w:bCs/>
          <w:iCs/>
        </w:rPr>
        <w:t>(a)</w:t>
      </w:r>
      <w:r w:rsidR="00E91E2A" w:rsidRPr="009201F1">
        <w:rPr>
          <w:rFonts w:eastAsia="Times New Roman"/>
          <w:bCs/>
          <w:iCs/>
        </w:rPr>
        <w:t xml:space="preserve"> </w:t>
      </w:r>
      <w:r w:rsidR="006F654B" w:rsidRPr="009201F1">
        <w:rPr>
          <w:rFonts w:eastAsia="Times New Roman"/>
          <w:bCs/>
          <w:iCs/>
        </w:rPr>
        <w:t>Field Pricing Support</w:t>
      </w:r>
      <w:r w:rsidR="00DE4AC2" w:rsidRPr="009201F1">
        <w:rPr>
          <w:rFonts w:eastAsia="Times New Roman"/>
          <w:bCs/>
          <w:iCs/>
        </w:rPr>
        <w:t>:</w:t>
      </w:r>
      <w:r w:rsidR="006F654B" w:rsidRPr="009201F1">
        <w:rPr>
          <w:rFonts w:eastAsia="Times New Roman"/>
          <w:bCs/>
          <w:iCs/>
        </w:rPr>
        <w:t xml:space="preserve"> </w:t>
      </w:r>
      <w:r w:rsidR="00FB18BD" w:rsidRPr="009201F1">
        <w:rPr>
          <w:rFonts w:eastAsia="Times New Roman"/>
          <w:color w:val="000000"/>
        </w:rPr>
        <w:t xml:space="preserve"> </w:t>
      </w:r>
    </w:p>
    <w:p w14:paraId="013C808A" w14:textId="77777777" w:rsidR="001C3F4E" w:rsidRPr="009201F1" w:rsidRDefault="00977580" w:rsidP="00977580">
      <w:pPr>
        <w:pStyle w:val="List2"/>
      </w:pPr>
      <w:r w:rsidRPr="009201F1">
        <w:rPr>
          <w:rFonts w:eastAsia="Times New Roman"/>
          <w:color w:val="000000"/>
        </w:rPr>
        <w:t>(1)</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The AFNT, led by the </w:t>
      </w:r>
      <w:r w:rsidR="004946A9" w:rsidRPr="009201F1">
        <w:rPr>
          <w:rFonts w:eastAsia="Times New Roman"/>
          <w:color w:val="000000"/>
        </w:rPr>
        <w:t>contracting officer</w:t>
      </w:r>
      <w:r w:rsidR="006F654B" w:rsidRPr="009201F1">
        <w:rPr>
          <w:rFonts w:eastAsia="Times New Roman"/>
          <w:color w:val="000000"/>
        </w:rPr>
        <w:t xml:space="preserve">, </w:t>
      </w:r>
      <w:r w:rsidR="00AC607E" w:rsidRPr="009201F1">
        <w:rPr>
          <w:rFonts w:eastAsia="Times New Roman"/>
          <w:color w:val="000000"/>
        </w:rPr>
        <w:t>will</w:t>
      </w:r>
      <w:r w:rsidR="006F654B" w:rsidRPr="009201F1">
        <w:rPr>
          <w:rFonts w:eastAsia="Times New Roman"/>
          <w:color w:val="000000"/>
        </w:rPr>
        <w:t xml:space="preserve"> </w:t>
      </w:r>
      <w:r w:rsidR="00323139" w:rsidRPr="009201F1">
        <w:rPr>
          <w:rFonts w:eastAsia="Times New Roman"/>
          <w:color w:val="000000"/>
        </w:rPr>
        <w:t>decide</w:t>
      </w:r>
      <w:r w:rsidR="006F654B" w:rsidRPr="009201F1">
        <w:rPr>
          <w:rFonts w:eastAsia="Times New Roman"/>
          <w:color w:val="000000"/>
        </w:rPr>
        <w:t xml:space="preserve"> the level of field support required from the cognizant DCMA and/or DCAA early in the acquisition.</w:t>
      </w:r>
    </w:p>
    <w:p w14:paraId="77A4D5FE" w14:textId="77777777" w:rsidR="001C3F4E" w:rsidRPr="009201F1" w:rsidRDefault="00977580" w:rsidP="00977580">
      <w:pPr>
        <w:pStyle w:val="List2"/>
      </w:pPr>
      <w:r w:rsidRPr="009201F1">
        <w:rPr>
          <w:rFonts w:eastAsia="Times New Roman"/>
          <w:color w:val="000000"/>
        </w:rPr>
        <w:t>(2)</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Informal discussions with these two organizations are </w:t>
      </w:r>
      <w:r w:rsidR="00D83442" w:rsidRPr="009201F1">
        <w:rPr>
          <w:rFonts w:eastAsia="Times New Roman"/>
          <w:color w:val="000000"/>
        </w:rPr>
        <w:t>strong</w:t>
      </w:r>
      <w:r w:rsidR="006F654B" w:rsidRPr="009201F1">
        <w:rPr>
          <w:rFonts w:eastAsia="Times New Roman"/>
          <w:color w:val="000000"/>
        </w:rPr>
        <w:t xml:space="preserve">ly encouraged. Ultimately, however, the </w:t>
      </w:r>
      <w:r w:rsidR="004946A9" w:rsidRPr="009201F1">
        <w:rPr>
          <w:rFonts w:eastAsia="Times New Roman"/>
          <w:color w:val="000000"/>
        </w:rPr>
        <w:t>contracting officer</w:t>
      </w:r>
      <w:r w:rsidR="006F654B" w:rsidRPr="009201F1">
        <w:rPr>
          <w:rFonts w:eastAsia="Times New Roman"/>
          <w:color w:val="000000"/>
        </w:rPr>
        <w:t xml:space="preserve"> will officially request their support and identify specific areas where pricing assistance is requested (e.g.</w:t>
      </w:r>
      <w:r w:rsidR="00BC37CB" w:rsidRPr="009201F1">
        <w:rPr>
          <w:rFonts w:eastAsia="Times New Roman"/>
          <w:color w:val="000000"/>
        </w:rPr>
        <w:t>,</w:t>
      </w:r>
      <w:r w:rsidR="006F654B" w:rsidRPr="009201F1">
        <w:rPr>
          <w:rFonts w:eastAsia="Times New Roman"/>
          <w:color w:val="000000"/>
        </w:rPr>
        <w:t xml:space="preserve"> vendor decrements, direct and indirect rates, pricing history, disclosure statement status, etc.).</w:t>
      </w:r>
    </w:p>
    <w:p w14:paraId="5CEB832B" w14:textId="09B27AB2" w:rsidR="006F654B" w:rsidRPr="009201F1" w:rsidRDefault="00977580" w:rsidP="00977580">
      <w:pPr>
        <w:pStyle w:val="List2"/>
      </w:pPr>
      <w:r w:rsidRPr="009201F1">
        <w:rPr>
          <w:rFonts w:eastAsia="Times New Roman"/>
          <w:color w:val="000000"/>
        </w:rPr>
        <w:t>(3)</w:t>
      </w:r>
      <w:r w:rsidRPr="009201F1">
        <w:rPr>
          <w:rFonts w:eastAsia="Times New Roman"/>
          <w:color w:val="000000"/>
        </w:rPr>
        <w:tab/>
      </w:r>
      <w:r w:rsidR="00961921" w:rsidRPr="009201F1">
        <w:rPr>
          <w:rFonts w:eastAsia="Times New Roman"/>
          <w:color w:val="000000"/>
        </w:rPr>
        <w:t xml:space="preserve"> </w:t>
      </w:r>
      <w:r w:rsidR="006F654B" w:rsidRPr="009201F1">
        <w:rPr>
          <w:rFonts w:eastAsia="Times New Roman"/>
          <w:color w:val="000000"/>
        </w:rPr>
        <w:t>Copies of relevant acquisition documents (e.g.</w:t>
      </w:r>
      <w:r w:rsidR="00AC607E" w:rsidRPr="009201F1">
        <w:rPr>
          <w:rFonts w:eastAsia="Times New Roman"/>
          <w:color w:val="000000"/>
        </w:rPr>
        <w:t>,</w:t>
      </w:r>
      <w:r w:rsidR="006F654B" w:rsidRPr="009201F1">
        <w:rPr>
          <w:rFonts w:eastAsia="Times New Roman"/>
          <w:color w:val="000000"/>
        </w:rPr>
        <w:t xml:space="preserve"> RFP) </w:t>
      </w:r>
      <w:r w:rsidR="00AC607E" w:rsidRPr="009201F1">
        <w:rPr>
          <w:rFonts w:eastAsia="Times New Roman"/>
          <w:color w:val="000000"/>
        </w:rPr>
        <w:t xml:space="preserve">should </w:t>
      </w:r>
      <w:r w:rsidR="006F654B" w:rsidRPr="009201F1">
        <w:rPr>
          <w:rFonts w:eastAsia="Times New Roman"/>
          <w:color w:val="000000"/>
        </w:rPr>
        <w:t>be furnished to the cognizant DCMA</w:t>
      </w:r>
      <w:r w:rsidR="005B6507" w:rsidRPr="009201F1">
        <w:rPr>
          <w:rFonts w:eastAsia="Times New Roman"/>
          <w:color w:val="000000"/>
        </w:rPr>
        <w:t xml:space="preserve"> </w:t>
      </w:r>
      <w:r w:rsidR="006F654B" w:rsidRPr="009201F1">
        <w:rPr>
          <w:rFonts w:eastAsia="Times New Roman"/>
          <w:color w:val="000000"/>
        </w:rPr>
        <w:t xml:space="preserve">office with a courtesy copy to the cognizant DCAA office whenever possible, electronically if possible. </w:t>
      </w:r>
    </w:p>
    <w:p w14:paraId="68CB2417" w14:textId="77777777" w:rsidR="001C3F4E" w:rsidRPr="009201F1" w:rsidRDefault="00412916" w:rsidP="006F654B">
      <w:pPr>
        <w:tabs>
          <w:tab w:val="left" w:pos="270"/>
          <w:tab w:val="left" w:pos="630"/>
          <w:tab w:val="left" w:pos="900"/>
          <w:tab w:val="left" w:pos="990"/>
          <w:tab w:val="left" w:pos="1170"/>
          <w:tab w:val="left" w:pos="1728"/>
        </w:tabs>
        <w:spacing w:after="0"/>
        <w:rPr>
          <w:rFonts w:eastAsia="Times New Roman"/>
          <w:color w:val="000000"/>
        </w:rPr>
      </w:pPr>
      <w:r w:rsidRPr="009201F1">
        <w:rPr>
          <w:rFonts w:eastAsia="Times New Roman"/>
          <w:color w:val="000000"/>
        </w:rPr>
        <w:t xml:space="preserve">            </w:t>
      </w:r>
      <w:r w:rsidR="006F654B" w:rsidRPr="009201F1">
        <w:rPr>
          <w:rFonts w:eastAsia="Times New Roman"/>
          <w:color w:val="000000"/>
        </w:rPr>
        <w:t xml:space="preserve">DCAA treats direct requests from the activity as a signal to begin the audit work.   </w:t>
      </w:r>
    </w:p>
    <w:p w14:paraId="6EB6172F" w14:textId="77777777" w:rsidR="001C3F4E" w:rsidRPr="009201F1" w:rsidRDefault="002B0BCE" w:rsidP="00977580">
      <w:pPr>
        <w:pStyle w:val="List1"/>
      </w:pPr>
      <w:r w:rsidRPr="009201F1">
        <w:t xml:space="preserve">(b) </w:t>
      </w:r>
      <w:r w:rsidR="006F654B" w:rsidRPr="009201F1">
        <w:t>Field Pricing Support</w:t>
      </w:r>
      <w:r w:rsidR="00DE4AC2" w:rsidRPr="009201F1">
        <w:t>:</w:t>
      </w:r>
      <w:r w:rsidR="006F654B" w:rsidRPr="009201F1">
        <w:t xml:space="preserve"> </w:t>
      </w:r>
      <w:r w:rsidR="00863C6C" w:rsidRPr="009201F1">
        <w:t xml:space="preserve"> </w:t>
      </w:r>
      <w:hyperlink r:id="rId30" w:history="1">
        <w:r w:rsidR="006F654B" w:rsidRPr="009201F1">
          <w:rPr>
            <w:rStyle w:val="Hyperlink"/>
          </w:rPr>
          <w:t>DoD Directive 5105.36</w:t>
        </w:r>
      </w:hyperlink>
      <w:r w:rsidR="006F654B" w:rsidRPr="009201F1">
        <w:t xml:space="preserve"> authorized the Director, D</w:t>
      </w:r>
      <w:r w:rsidR="00212004" w:rsidRPr="009201F1">
        <w:t>efense Contract Audit Agency (D</w:t>
      </w:r>
      <w:r w:rsidR="006F654B" w:rsidRPr="009201F1">
        <w:t>CAA</w:t>
      </w:r>
      <w:r w:rsidR="00212004" w:rsidRPr="009201F1">
        <w:t>)</w:t>
      </w:r>
      <w:r w:rsidR="006F654B" w:rsidRPr="009201F1">
        <w:t xml:space="preserve">, to </w:t>
      </w:r>
      <w:r w:rsidR="00212004" w:rsidRPr="009201F1">
        <w:t xml:space="preserve">perform all necessary contract audits for the Department of Defense (DoD) and </w:t>
      </w:r>
      <w:r w:rsidR="006F654B" w:rsidRPr="009201F1">
        <w:t xml:space="preserve">provide accounting and financial </w:t>
      </w:r>
      <w:r w:rsidR="00212004" w:rsidRPr="009201F1">
        <w:t xml:space="preserve">advisory </w:t>
      </w:r>
      <w:r w:rsidR="006F654B" w:rsidRPr="009201F1">
        <w:t xml:space="preserve">services </w:t>
      </w:r>
      <w:r w:rsidR="00212004" w:rsidRPr="009201F1">
        <w:t xml:space="preserve">regarding contracts and subcontracts </w:t>
      </w:r>
      <w:r w:rsidR="006F654B" w:rsidRPr="009201F1">
        <w:t xml:space="preserve">to all DoD </w:t>
      </w:r>
      <w:r w:rsidR="00212004" w:rsidRPr="009201F1">
        <w:t>C</w:t>
      </w:r>
      <w:r w:rsidR="006F654B" w:rsidRPr="009201F1">
        <w:t xml:space="preserve">omponents responsible for </w:t>
      </w:r>
      <w:r w:rsidR="00212004" w:rsidRPr="009201F1">
        <w:t xml:space="preserve">procurement </w:t>
      </w:r>
      <w:r w:rsidR="006F654B" w:rsidRPr="009201F1">
        <w:t>and contract administration</w:t>
      </w:r>
      <w:r w:rsidR="00212004" w:rsidRPr="009201F1">
        <w:t>,</w:t>
      </w:r>
      <w:r w:rsidR="006F654B" w:rsidRPr="009201F1">
        <w:t xml:space="preserve"> and to establish and maintain liaison </w:t>
      </w:r>
      <w:r w:rsidR="00212004" w:rsidRPr="009201F1">
        <w:t xml:space="preserve">auditors and financial </w:t>
      </w:r>
      <w:r w:rsidR="006F654B" w:rsidRPr="009201F1">
        <w:t>advisors</w:t>
      </w:r>
      <w:r w:rsidR="00212004" w:rsidRPr="009201F1">
        <w:t>, as appropriate,</w:t>
      </w:r>
      <w:r w:rsidR="006F654B" w:rsidRPr="009201F1">
        <w:t xml:space="preserve"> at major procuring and contract administration offices.  </w:t>
      </w:r>
      <w:bookmarkStart w:id="21" w:name="_AFMC_PGI_5315.404-3-90"/>
      <w:bookmarkEnd w:id="21"/>
    </w:p>
    <w:p w14:paraId="50938C45" w14:textId="77777777" w:rsidR="001C3F4E" w:rsidRPr="009201F1" w:rsidRDefault="00A80094" w:rsidP="00977580">
      <w:pPr>
        <w:pStyle w:val="Heading3"/>
        <w:rPr>
          <w:b w:val="0"/>
        </w:rPr>
      </w:pPr>
      <w:r w:rsidRPr="009201F1">
        <w:t>AFMC PGI 5315.404-3</w:t>
      </w:r>
      <w:r w:rsidR="00C1351E" w:rsidRPr="009201F1">
        <w:t>-90</w:t>
      </w:r>
      <w:r w:rsidRPr="009201F1">
        <w:t xml:space="preserve"> </w:t>
      </w:r>
      <w:r w:rsidR="007B05B2" w:rsidRPr="009201F1">
        <w:t xml:space="preserve">  </w:t>
      </w:r>
      <w:r w:rsidRPr="009201F1">
        <w:t>Subcontract Pricing Considerations</w:t>
      </w:r>
    </w:p>
    <w:p w14:paraId="5D068E39" w14:textId="77777777" w:rsidR="001C3F4E" w:rsidRPr="009201F1" w:rsidRDefault="009041AD" w:rsidP="00A80094">
      <w:pPr>
        <w:tabs>
          <w:tab w:val="left" w:pos="240"/>
          <w:tab w:val="left" w:pos="480"/>
          <w:tab w:val="left" w:pos="720"/>
          <w:tab w:val="left" w:pos="960"/>
          <w:tab w:val="left" w:pos="1200"/>
          <w:tab w:val="left" w:pos="1320"/>
          <w:tab w:val="left" w:pos="1800"/>
          <w:tab w:val="left" w:pos="2280"/>
          <w:tab w:val="left" w:pos="2760"/>
          <w:tab w:val="left" w:pos="3240"/>
          <w:tab w:val="left" w:pos="3720"/>
          <w:tab w:val="left" w:pos="4200"/>
          <w:tab w:val="left" w:pos="4680"/>
          <w:tab w:val="left" w:pos="5160"/>
          <w:tab w:val="left" w:pos="5640"/>
          <w:tab w:val="left" w:pos="6120"/>
          <w:tab w:val="left" w:pos="6600"/>
          <w:tab w:val="left" w:pos="7080"/>
          <w:tab w:val="left" w:pos="7560"/>
          <w:tab w:val="left" w:pos="8040"/>
          <w:tab w:val="left" w:pos="8520"/>
          <w:tab w:val="left" w:pos="9000"/>
          <w:tab w:val="left" w:pos="9360"/>
        </w:tabs>
        <w:spacing w:after="0"/>
      </w:pPr>
      <w:r w:rsidRPr="009201F1">
        <w:t xml:space="preserve">For </w:t>
      </w:r>
      <w:r w:rsidR="00246CBE" w:rsidRPr="009201F1">
        <w:t xml:space="preserve">complex, high dollar </w:t>
      </w:r>
      <w:r w:rsidR="00A80094" w:rsidRPr="009201F1">
        <w:t>efforts with multiple subcontra</w:t>
      </w:r>
      <w:r w:rsidR="004946A9" w:rsidRPr="009201F1">
        <w:t>cts, it is imperative that the p</w:t>
      </w:r>
      <w:r w:rsidR="00A80094" w:rsidRPr="009201F1">
        <w:t>rime</w:t>
      </w:r>
      <w:r w:rsidR="004946A9" w:rsidRPr="009201F1">
        <w:t xml:space="preserve"> contractor provide the g</w:t>
      </w:r>
      <w:r w:rsidR="00A80094" w:rsidRPr="009201F1">
        <w:t>overnment with the most up to date information regarding the status of subcontractor</w:t>
      </w:r>
      <w:r w:rsidR="004946A9" w:rsidRPr="009201F1">
        <w:t xml:space="preserve"> proposals, assist audits, and p</w:t>
      </w:r>
      <w:r w:rsidR="00A80094" w:rsidRPr="009201F1">
        <w:t xml:space="preserve">rime </w:t>
      </w:r>
      <w:r w:rsidR="004946A9" w:rsidRPr="009201F1">
        <w:t xml:space="preserve">contractor’s </w:t>
      </w:r>
      <w:r w:rsidR="00A80094" w:rsidRPr="009201F1">
        <w:t xml:space="preserve">cost/price analysis reports of their subcontractors.  When multiple subcontracts are anticipated, it is recommended that </w:t>
      </w:r>
      <w:r w:rsidR="004946A9" w:rsidRPr="009201F1">
        <w:t>contracting officer</w:t>
      </w:r>
      <w:r w:rsidR="00961921" w:rsidRPr="009201F1">
        <w:t>s</w:t>
      </w:r>
      <w:r w:rsidR="00A80094" w:rsidRPr="009201F1">
        <w:t xml:space="preserve"> include a requireme</w:t>
      </w:r>
      <w:r w:rsidR="004946A9" w:rsidRPr="009201F1">
        <w:t>nt in sole source RFPs for the p</w:t>
      </w:r>
      <w:r w:rsidR="00A80094" w:rsidRPr="009201F1">
        <w:t xml:space="preserve">rime </w:t>
      </w:r>
      <w:r w:rsidR="004946A9" w:rsidRPr="009201F1">
        <w:t xml:space="preserve">contractor </w:t>
      </w:r>
      <w:r w:rsidR="00A80094" w:rsidRPr="009201F1">
        <w:t xml:space="preserve">to complete the </w:t>
      </w:r>
      <w:hyperlink r:id="rId31" w:history="1">
        <w:r w:rsidR="00A80094" w:rsidRPr="009201F1">
          <w:rPr>
            <w:rStyle w:val="Hyperlink"/>
          </w:rPr>
          <w:t>Subcontractor Proposal Tracking Matrix</w:t>
        </w:r>
      </w:hyperlink>
      <w:r w:rsidR="00A80094" w:rsidRPr="009201F1">
        <w:t xml:space="preserve"> and sub</w:t>
      </w:r>
      <w:r w:rsidR="001C665F" w:rsidRPr="009201F1">
        <w:t xml:space="preserve">mit it with the proposal.  This </w:t>
      </w:r>
      <w:r w:rsidR="00A80094" w:rsidRPr="009201F1">
        <w:t xml:space="preserve">document should be updated throughout the proposal evaluation process until date of agreement on price so the </w:t>
      </w:r>
      <w:r w:rsidR="004946A9" w:rsidRPr="009201F1">
        <w:t>g</w:t>
      </w:r>
      <w:r w:rsidR="00A80094" w:rsidRPr="009201F1">
        <w:t xml:space="preserve">overnment team is up to date on supplier proposal adequacy issues, concerns and status.  </w:t>
      </w:r>
      <w:bookmarkStart w:id="22" w:name="_AFMC_PGI_5315.406-1"/>
      <w:bookmarkEnd w:id="22"/>
    </w:p>
    <w:p w14:paraId="24E974D1" w14:textId="77777777" w:rsidR="001C3F4E" w:rsidRPr="009201F1" w:rsidRDefault="005B6507" w:rsidP="00977580">
      <w:pPr>
        <w:pStyle w:val="Heading3"/>
      </w:pPr>
      <w:r w:rsidRPr="009201F1">
        <w:t xml:space="preserve">AFMC PGI 5315.406-1 </w:t>
      </w:r>
      <w:r w:rsidR="007B05B2" w:rsidRPr="009201F1">
        <w:t xml:space="preserve">  </w:t>
      </w:r>
      <w:r w:rsidR="00FB4A4D" w:rsidRPr="009201F1">
        <w:t>Pre</w:t>
      </w:r>
      <w:r w:rsidR="00C83158" w:rsidRPr="009201F1">
        <w:t>-</w:t>
      </w:r>
      <w:r w:rsidR="00FB4A4D" w:rsidRPr="009201F1">
        <w:t xml:space="preserve">negotiation </w:t>
      </w:r>
      <w:r w:rsidR="003A5654" w:rsidRPr="009201F1">
        <w:t>O</w:t>
      </w:r>
      <w:r w:rsidR="00FB4A4D" w:rsidRPr="009201F1">
        <w:t>bjectives</w:t>
      </w:r>
    </w:p>
    <w:p w14:paraId="10D406EE" w14:textId="77777777" w:rsidR="001C3F4E" w:rsidRPr="009201F1" w:rsidRDefault="00FB4A4D" w:rsidP="00977580">
      <w:pPr>
        <w:pStyle w:val="List1"/>
      </w:pPr>
      <w:r w:rsidRPr="009201F1">
        <w:t>(b)(</w:t>
      </w:r>
      <w:proofErr w:type="gramStart"/>
      <w:r w:rsidRPr="009201F1">
        <w:t>ii</w:t>
      </w:r>
      <w:proofErr w:type="gramEnd"/>
      <w:r w:rsidRPr="009201F1">
        <w:t>)</w:t>
      </w:r>
      <w:r w:rsidR="00412916" w:rsidRPr="009201F1">
        <w:t xml:space="preserve"> </w:t>
      </w:r>
      <w:r w:rsidR="00412916" w:rsidRPr="009201F1">
        <w:rPr>
          <w:i/>
        </w:rPr>
        <w:t>Adjudication Procedures</w:t>
      </w:r>
      <w:r w:rsidR="00412916" w:rsidRPr="009201F1">
        <w:t>.</w:t>
      </w:r>
      <w:r w:rsidR="005B6507" w:rsidRPr="009201F1">
        <w:t xml:space="preserve"> </w:t>
      </w:r>
      <w:r w:rsidRPr="009201F1">
        <w:t xml:space="preserve"> </w:t>
      </w:r>
      <w:r w:rsidR="004625F1" w:rsidRPr="009201F1">
        <w:t xml:space="preserve">If </w:t>
      </w:r>
      <w:r w:rsidRPr="009201F1">
        <w:t xml:space="preserve">significant disagreements with DCAA remain after attempts by the </w:t>
      </w:r>
      <w:r w:rsidR="004946A9" w:rsidRPr="009201F1">
        <w:t>contracting officer and the contracting officer</w:t>
      </w:r>
      <w:r w:rsidRPr="009201F1">
        <w:t xml:space="preserve">’s local management to resolve them, the </w:t>
      </w:r>
      <w:r w:rsidR="00D25079" w:rsidRPr="009201F1">
        <w:t xml:space="preserve">cognizant </w:t>
      </w:r>
      <w:r w:rsidRPr="009201F1">
        <w:t xml:space="preserve">SCO will </w:t>
      </w:r>
      <w:r w:rsidR="00D25079" w:rsidRPr="009201F1">
        <w:t xml:space="preserve">elevate to SAF/AQC as necessary and will </w:t>
      </w:r>
      <w:r w:rsidRPr="009201F1">
        <w:t xml:space="preserve">provide an explanation of the issue to HQ AFMC/PKF via </w:t>
      </w:r>
      <w:hyperlink r:id="rId32" w:history="1">
        <w:r w:rsidRPr="009201F1">
          <w:rPr>
            <w:color w:val="0000FF"/>
            <w:u w:val="single"/>
          </w:rPr>
          <w:t>AFMC/PK Workflow</w:t>
        </w:r>
      </w:hyperlink>
      <w:r w:rsidR="00D25079" w:rsidRPr="009201F1">
        <w:t>.</w:t>
      </w:r>
      <w:bookmarkStart w:id="23" w:name="_AFMC_PGI_5315.406-3"/>
      <w:bookmarkEnd w:id="23"/>
    </w:p>
    <w:p w14:paraId="51DFA091" w14:textId="77777777" w:rsidR="001C3F4E" w:rsidRPr="009201F1" w:rsidRDefault="005B6507" w:rsidP="00977580">
      <w:pPr>
        <w:pStyle w:val="Heading3"/>
      </w:pPr>
      <w:r w:rsidRPr="009201F1">
        <w:rPr>
          <w:sz w:val="22"/>
          <w:szCs w:val="22"/>
        </w:rPr>
        <w:lastRenderedPageBreak/>
        <w:t xml:space="preserve">AFMC PGI 5315.406-3 </w:t>
      </w:r>
      <w:r w:rsidR="007B05B2" w:rsidRPr="009201F1">
        <w:rPr>
          <w:sz w:val="22"/>
          <w:szCs w:val="22"/>
        </w:rPr>
        <w:t xml:space="preserve">  </w:t>
      </w:r>
      <w:r w:rsidR="006F654B" w:rsidRPr="009201F1">
        <w:rPr>
          <w:sz w:val="22"/>
          <w:szCs w:val="22"/>
        </w:rPr>
        <w:t>Documenting the Negotiation</w:t>
      </w:r>
    </w:p>
    <w:p w14:paraId="290AF415" w14:textId="77777777" w:rsidR="001C3F4E" w:rsidRPr="009201F1" w:rsidRDefault="006F654B" w:rsidP="00977580">
      <w:pPr>
        <w:pStyle w:val="List1"/>
      </w:pPr>
      <w:r w:rsidRPr="009201F1">
        <w:t xml:space="preserve">(a)  For </w:t>
      </w:r>
      <w:r w:rsidR="005F5637" w:rsidRPr="009201F1">
        <w:t xml:space="preserve">contract </w:t>
      </w:r>
      <w:r w:rsidRPr="009201F1">
        <w:t xml:space="preserve">actions valued below </w:t>
      </w:r>
      <w:r w:rsidR="005F5637" w:rsidRPr="009201F1">
        <w:t>the TINA threshold</w:t>
      </w:r>
      <w:r w:rsidRPr="009201F1">
        <w:t>, the</w:t>
      </w:r>
      <w:r w:rsidR="00243F43" w:rsidRPr="009201F1">
        <w:t xml:space="preserve"> AF</w:t>
      </w:r>
      <w:r w:rsidRPr="009201F1">
        <w:t xml:space="preserve"> Streamlined PNM Format</w:t>
      </w:r>
      <w:r w:rsidR="00341B95" w:rsidRPr="009201F1">
        <w:t xml:space="preserve"> for</w:t>
      </w:r>
      <w:r w:rsidR="007200F3" w:rsidRPr="009201F1">
        <w:t xml:space="preserve"> </w:t>
      </w:r>
      <w:hyperlink r:id="rId33" w:history="1">
        <w:r w:rsidR="00341B95" w:rsidRPr="009201F1">
          <w:rPr>
            <w:rStyle w:val="Hyperlink"/>
          </w:rPr>
          <w:t>s</w:t>
        </w:r>
        <w:r w:rsidR="007200F3" w:rsidRPr="009201F1">
          <w:rPr>
            <w:rStyle w:val="Hyperlink"/>
          </w:rPr>
          <w:t>upplies</w:t>
        </w:r>
      </w:hyperlink>
      <w:r w:rsidR="007200F3" w:rsidRPr="009201F1">
        <w:t xml:space="preserve"> </w:t>
      </w:r>
      <w:r w:rsidR="00341B95" w:rsidRPr="009201F1">
        <w:t>or</w:t>
      </w:r>
      <w:r w:rsidR="007200F3" w:rsidRPr="009201F1">
        <w:t xml:space="preserve"> </w:t>
      </w:r>
      <w:hyperlink r:id="rId34" w:history="1">
        <w:r w:rsidR="00341B95" w:rsidRPr="009201F1">
          <w:rPr>
            <w:rStyle w:val="Hyperlink"/>
          </w:rPr>
          <w:t>s</w:t>
        </w:r>
        <w:r w:rsidR="007200F3" w:rsidRPr="009201F1">
          <w:rPr>
            <w:rStyle w:val="Hyperlink"/>
          </w:rPr>
          <w:t>ervices</w:t>
        </w:r>
      </w:hyperlink>
      <w:r w:rsidR="00341B95" w:rsidRPr="009201F1">
        <w:t>,</w:t>
      </w:r>
      <w:r w:rsidRPr="009201F1">
        <w:t xml:space="preserve"> or any other format which adequately addresses the basis of the proposed, objective, and negotiated amounts </w:t>
      </w:r>
      <w:r w:rsidR="00E566A6" w:rsidRPr="009201F1">
        <w:t>is available for use</w:t>
      </w:r>
      <w:r w:rsidRPr="009201F1">
        <w:t xml:space="preserv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  </w:t>
      </w:r>
      <w:r w:rsidR="00EE797F" w:rsidRPr="009201F1">
        <w:t xml:space="preserve"> </w:t>
      </w:r>
      <w:r w:rsidRPr="009201F1">
        <w:t xml:space="preserve">  </w:t>
      </w:r>
    </w:p>
    <w:p w14:paraId="20F55476" w14:textId="77777777" w:rsidR="001C3F4E" w:rsidRPr="009201F1" w:rsidRDefault="00977580" w:rsidP="00977580">
      <w:pPr>
        <w:pStyle w:val="List2"/>
      </w:pPr>
      <w:r w:rsidRPr="009201F1">
        <w:rPr>
          <w:bCs/>
        </w:rPr>
        <w:t>(1)</w:t>
      </w:r>
      <w:r w:rsidRPr="009201F1">
        <w:rPr>
          <w:bCs/>
        </w:rPr>
        <w:tab/>
      </w:r>
      <w:r w:rsidR="00B75000" w:rsidRPr="009201F1">
        <w:rPr>
          <w:bCs/>
        </w:rPr>
        <w:t xml:space="preserve">Capture the </w:t>
      </w:r>
      <w:r w:rsidR="00FB4A4D" w:rsidRPr="009201F1">
        <w:rPr>
          <w:bCs/>
        </w:rPr>
        <w:t>proposed, object</w:t>
      </w:r>
      <w:r w:rsidR="00B1365A" w:rsidRPr="009201F1">
        <w:rPr>
          <w:bCs/>
        </w:rPr>
        <w:t>ive and negotiated positions</w:t>
      </w:r>
      <w:r w:rsidR="00B75000" w:rsidRPr="009201F1">
        <w:rPr>
          <w:bCs/>
        </w:rPr>
        <w:t xml:space="preserve"> in applicable pricing document, including contract actions that incorporate additions or deletions, even when there is no change in contract value</w:t>
      </w:r>
      <w:r w:rsidR="00B1365A" w:rsidRPr="009201F1">
        <w:rPr>
          <w:bCs/>
        </w:rPr>
        <w:t>.</w:t>
      </w:r>
    </w:p>
    <w:p w14:paraId="1EDFED87" w14:textId="77777777" w:rsidR="001C3F4E" w:rsidRPr="009201F1" w:rsidRDefault="00977580" w:rsidP="00977580">
      <w:pPr>
        <w:pStyle w:val="List2"/>
      </w:pPr>
      <w:r w:rsidRPr="009201F1">
        <w:rPr>
          <w:bCs/>
          <w:color w:val="000000"/>
        </w:rPr>
        <w:t>(2)</w:t>
      </w:r>
      <w:r w:rsidRPr="009201F1">
        <w:rPr>
          <w:bCs/>
          <w:color w:val="000000"/>
        </w:rPr>
        <w:tab/>
      </w:r>
      <w:r w:rsidR="006B6ACD" w:rsidRPr="009201F1">
        <w:rPr>
          <w:bCs/>
          <w:color w:val="000000"/>
        </w:rPr>
        <w:t>The</w:t>
      </w:r>
      <w:r w:rsidR="00B1365A" w:rsidRPr="009201F1">
        <w:rPr>
          <w:bCs/>
          <w:color w:val="000000"/>
        </w:rPr>
        <w:t xml:space="preserve"> </w:t>
      </w:r>
      <w:r w:rsidR="006B6ACD" w:rsidRPr="009201F1">
        <w:rPr>
          <w:bCs/>
          <w:color w:val="000000"/>
        </w:rPr>
        <w:t xml:space="preserve">PNM template referenced in </w:t>
      </w:r>
      <w:hyperlink r:id="rId35" w:anchor="af_170_2" w:history="1">
        <w:r w:rsidR="00D363B2" w:rsidRPr="009201F1">
          <w:rPr>
            <w:rStyle w:val="Hyperlink"/>
            <w:bCs/>
          </w:rPr>
          <w:t>AF PGI 5301.170-2(b)(2)</w:t>
        </w:r>
      </w:hyperlink>
      <w:r w:rsidR="00D363B2" w:rsidRPr="009201F1">
        <w:rPr>
          <w:bCs/>
          <w:color w:val="000000"/>
        </w:rPr>
        <w:t xml:space="preserve"> </w:t>
      </w:r>
      <w:r w:rsidR="007B1F68" w:rsidRPr="009201F1">
        <w:rPr>
          <w:bCs/>
          <w:color w:val="000000"/>
        </w:rPr>
        <w:t>may be utilized</w:t>
      </w:r>
      <w:r w:rsidR="00FB4A4D" w:rsidRPr="009201F1">
        <w:rPr>
          <w:bCs/>
          <w:color w:val="000000"/>
        </w:rPr>
        <w:t xml:space="preserve">.  </w:t>
      </w:r>
      <w:bookmarkStart w:id="24" w:name="_AFMC_PGI_5315.406-3-90"/>
      <w:bookmarkEnd w:id="24"/>
    </w:p>
    <w:p w14:paraId="1EE67727" w14:textId="77777777" w:rsidR="001C3F4E" w:rsidRPr="009201F1" w:rsidRDefault="00AD0728" w:rsidP="00977580">
      <w:pPr>
        <w:pStyle w:val="Heading3"/>
        <w:rPr>
          <w:b w:val="0"/>
        </w:rPr>
      </w:pPr>
      <w:r w:rsidRPr="009201F1">
        <w:t>AFMC PGI 5315.406-</w:t>
      </w:r>
      <w:r w:rsidR="00E566A6" w:rsidRPr="009201F1">
        <w:t>3</w:t>
      </w:r>
      <w:r w:rsidR="009A082E" w:rsidRPr="009201F1">
        <w:t>-</w:t>
      </w:r>
      <w:r w:rsidRPr="009201F1">
        <w:t xml:space="preserve">90 </w:t>
      </w:r>
      <w:r w:rsidR="007B05B2" w:rsidRPr="009201F1">
        <w:t xml:space="preserve">  </w:t>
      </w:r>
      <w:r w:rsidRPr="009201F1">
        <w:t>Use of Abstract of Offers as Documentation of Price Reasonableness</w:t>
      </w:r>
    </w:p>
    <w:p w14:paraId="6CE4391F" w14:textId="77777777" w:rsidR="001C3F4E" w:rsidRPr="009201F1" w:rsidRDefault="00AD0728" w:rsidP="00A81662">
      <w:pPr>
        <w:tabs>
          <w:tab w:val="left" w:pos="270"/>
          <w:tab w:val="left" w:pos="630"/>
          <w:tab w:val="left" w:pos="900"/>
          <w:tab w:val="left" w:pos="990"/>
          <w:tab w:val="left" w:pos="1170"/>
          <w:tab w:val="left" w:pos="1728"/>
        </w:tabs>
        <w:spacing w:after="0"/>
      </w:pPr>
      <w:r w:rsidRPr="009201F1">
        <w:t>If adequate price competition exists as defined in FAR 15.403-1(c)(1)(</w:t>
      </w:r>
      <w:proofErr w:type="spellStart"/>
      <w:r w:rsidRPr="009201F1">
        <w:t>i</w:t>
      </w:r>
      <w:proofErr w:type="spellEnd"/>
      <w:r w:rsidRPr="009201F1">
        <w:t>); the contract type is FFP; and price/price and technical acceptability/price, technical acceptability and the acceptability of past performance</w:t>
      </w:r>
      <w:r w:rsidRPr="009201F1">
        <w:rPr>
          <w:b/>
          <w:i/>
        </w:rPr>
        <w:t xml:space="preserve"> </w:t>
      </w:r>
      <w:r w:rsidRPr="009201F1">
        <w:t xml:space="preserve">are the only factors being evaluated other than the RFP terms and conditions, and tradeoffs are not permitted between price and non-price factors (i.e., when an LPTA approach is used), an </w:t>
      </w:r>
      <w:hyperlink r:id="rId36" w:history="1">
        <w:r w:rsidRPr="009201F1">
          <w:rPr>
            <w:rStyle w:val="Hyperlink"/>
            <w:color w:val="3333FF"/>
          </w:rPr>
          <w:t>SF1409</w:t>
        </w:r>
      </w:hyperlink>
      <w:r w:rsidRPr="009201F1">
        <w:rPr>
          <w:rStyle w:val="StyleHyperlinkHyperlink12Arial10ptCustomColorRGB5151"/>
          <w:rFonts w:ascii="Times New Roman" w:hAnsi="Times New Roman"/>
          <w:sz w:val="22"/>
        </w:rPr>
        <w:t>/</w:t>
      </w:r>
      <w:hyperlink r:id="rId37" w:history="1">
        <w:r w:rsidRPr="009201F1">
          <w:rPr>
            <w:rStyle w:val="Hyperlink"/>
            <w:color w:val="3333FF"/>
          </w:rPr>
          <w:t>1410</w:t>
        </w:r>
      </w:hyperlink>
      <w:r w:rsidRPr="009201F1">
        <w:t>, Abstract of Offers and Continuation sheet may be used as the pricing evaluation documentation.  The SF1409/1410 should be marked to include the following information:</w:t>
      </w:r>
    </w:p>
    <w:p w14:paraId="519D43EE" w14:textId="77777777" w:rsidR="001C3F4E" w:rsidRPr="009201F1" w:rsidRDefault="00977580" w:rsidP="00977580">
      <w:pPr>
        <w:pStyle w:val="List1"/>
      </w:pPr>
      <w:r w:rsidRPr="009201F1">
        <w:t>(a)</w:t>
      </w:r>
      <w:r w:rsidRPr="009201F1">
        <w:tab/>
      </w:r>
      <w:r w:rsidR="00AD0728" w:rsidRPr="009201F1">
        <w:t xml:space="preserve">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  </w:t>
      </w:r>
    </w:p>
    <w:p w14:paraId="15204C14" w14:textId="77777777" w:rsidR="001C3F4E" w:rsidRPr="009201F1" w:rsidRDefault="00977580" w:rsidP="00977580">
      <w:pPr>
        <w:pStyle w:val="List1"/>
      </w:pPr>
      <w:r w:rsidRPr="009201F1">
        <w:t>(b)</w:t>
      </w:r>
      <w:r w:rsidRPr="009201F1">
        <w:tab/>
      </w:r>
      <w:r w:rsidR="00B46E19" w:rsidRPr="009201F1">
        <w:t xml:space="preserve"> </w:t>
      </w:r>
      <w:r w:rsidR="00AD0728" w:rsidRPr="009201F1">
        <w:t xml:space="preserve">If a low offer is rejected and one at a higher price is accepted, </w:t>
      </w:r>
      <w:r w:rsidR="00DB6E9B" w:rsidRPr="009201F1">
        <w:t xml:space="preserve">identify </w:t>
      </w:r>
      <w:r w:rsidR="00AD0728" w:rsidRPr="009201F1">
        <w:t>the reason for the rejected offer(s)</w:t>
      </w:r>
      <w:r w:rsidR="00DB6E9B" w:rsidRPr="009201F1">
        <w:t>;</w:t>
      </w:r>
      <w:r w:rsidR="004E788E" w:rsidRPr="009201F1">
        <w:t xml:space="preserve"> </w:t>
      </w:r>
      <w:r w:rsidR="00DB6E9B" w:rsidRPr="009201F1">
        <w:t>h</w:t>
      </w:r>
      <w:r w:rsidR="00AD0728" w:rsidRPr="009201F1">
        <w:t xml:space="preserve">owever, </w:t>
      </w:r>
      <w:r w:rsidR="00DB6E9B" w:rsidRPr="009201F1">
        <w:t>refrain from</w:t>
      </w:r>
      <w:r w:rsidR="00AD0728" w:rsidRPr="009201F1">
        <w:t xml:space="preserve"> annotat</w:t>
      </w:r>
      <w:r w:rsidR="00DB6E9B" w:rsidRPr="009201F1">
        <w:t>ing</w:t>
      </w:r>
      <w:r w:rsidR="00AD0728" w:rsidRPr="009201F1">
        <w:t xml:space="preserve"> any information concerning contractor responsibility, or other sensitive information not releasable to the public, on the SF1409/1410. (This information should be documented separately in the file).</w:t>
      </w:r>
    </w:p>
    <w:p w14:paraId="52541F51" w14:textId="77777777" w:rsidR="001C3F4E" w:rsidRPr="009201F1" w:rsidRDefault="00977580" w:rsidP="00977580">
      <w:pPr>
        <w:pStyle w:val="List1"/>
      </w:pPr>
      <w:r w:rsidRPr="009201F1">
        <w:t>(c)</w:t>
      </w:r>
      <w:r w:rsidRPr="009201F1">
        <w:tab/>
      </w:r>
      <w:r w:rsidR="00AD0728" w:rsidRPr="009201F1">
        <w:t xml:space="preserve">The following award information should be </w:t>
      </w:r>
      <w:r w:rsidR="00DB6E9B" w:rsidRPr="009201F1">
        <w:t>i</w:t>
      </w:r>
      <w:r w:rsidR="00AD0728" w:rsidRPr="009201F1">
        <w:t>ncluded at the bottom of the listing of offerors and prices:  (</w:t>
      </w:r>
      <w:proofErr w:type="spellStart"/>
      <w:r w:rsidR="00AD0728" w:rsidRPr="009201F1">
        <w:t>i</w:t>
      </w:r>
      <w:proofErr w:type="spellEnd"/>
      <w:r w:rsidR="00AD0728" w:rsidRPr="009201F1">
        <w:t>) Contract number</w:t>
      </w:r>
      <w:r w:rsidR="004E788E" w:rsidRPr="009201F1">
        <w:t>;</w:t>
      </w:r>
      <w:r w:rsidR="00AD0728" w:rsidRPr="009201F1">
        <w:t xml:space="preserve"> (ii) List of CLINs awarded</w:t>
      </w:r>
      <w:r w:rsidR="004E788E" w:rsidRPr="009201F1">
        <w:t>;</w:t>
      </w:r>
      <w:r w:rsidR="00AD0728" w:rsidRPr="009201F1">
        <w:t xml:space="preserve"> (iii) Total amount of award</w:t>
      </w:r>
      <w:r w:rsidR="004E788E" w:rsidRPr="009201F1">
        <w:t>;</w:t>
      </w:r>
      <w:r w:rsidR="00AD0728" w:rsidRPr="009201F1">
        <w:t xml:space="preserve"> and (iv)</w:t>
      </w:r>
      <w:r w:rsidR="00F059CC" w:rsidRPr="009201F1">
        <w:t xml:space="preserve"> </w:t>
      </w:r>
      <w:r w:rsidR="00AD0728" w:rsidRPr="009201F1">
        <w:t>Statement that price(s) are considered fair and reasonable based on adequate price competition.</w:t>
      </w:r>
    </w:p>
    <w:p w14:paraId="576627B2" w14:textId="0042394D" w:rsidR="00AD0728" w:rsidRPr="009201F1" w:rsidRDefault="000C6672" w:rsidP="00AD0728">
      <w:pPr>
        <w:tabs>
          <w:tab w:val="left" w:pos="270"/>
          <w:tab w:val="left" w:pos="630"/>
          <w:tab w:val="left" w:pos="900"/>
          <w:tab w:val="left" w:pos="990"/>
          <w:tab w:val="left" w:pos="1170"/>
          <w:tab w:val="left" w:pos="1710"/>
        </w:tabs>
        <w:spacing w:after="0"/>
        <w:ind w:left="270"/>
      </w:pPr>
      <w:r w:rsidRPr="009201F1">
        <w:tab/>
      </w:r>
      <w:r w:rsidRPr="009201F1">
        <w:tab/>
      </w:r>
      <w:r w:rsidR="00AD0728" w:rsidRPr="009201F1">
        <w:t xml:space="preserve">EXAMPLE:  </w:t>
      </w:r>
      <w:r w:rsidR="00AD0728" w:rsidRPr="009201F1">
        <w:tab/>
        <w:t>CONTRACT NR:  F09603-00-C-9876</w:t>
      </w:r>
    </w:p>
    <w:p w14:paraId="050DAB96" w14:textId="51642052" w:rsidR="00AD0728" w:rsidRPr="009201F1" w:rsidRDefault="000C6672" w:rsidP="00AD0728">
      <w:pPr>
        <w:tabs>
          <w:tab w:val="left" w:pos="630"/>
          <w:tab w:val="left" w:pos="900"/>
          <w:tab w:val="left" w:pos="990"/>
          <w:tab w:val="left" w:pos="1170"/>
          <w:tab w:val="left" w:pos="1710"/>
        </w:tabs>
        <w:spacing w:after="0"/>
        <w:ind w:left="1710"/>
      </w:pPr>
      <w:r w:rsidRPr="009201F1">
        <w:tab/>
      </w:r>
      <w:r w:rsidR="00AD0728" w:rsidRPr="009201F1">
        <w:t xml:space="preserve">CLINS AWARDED:  0001 – 0003 </w:t>
      </w:r>
    </w:p>
    <w:p w14:paraId="787C5DC0" w14:textId="4F7C5D1B" w:rsidR="00AD0728" w:rsidRPr="009201F1" w:rsidRDefault="000C6672" w:rsidP="00AD0728">
      <w:pPr>
        <w:tabs>
          <w:tab w:val="left" w:pos="630"/>
          <w:tab w:val="left" w:pos="900"/>
          <w:tab w:val="left" w:pos="990"/>
          <w:tab w:val="left" w:pos="1170"/>
          <w:tab w:val="left" w:pos="1710"/>
        </w:tabs>
        <w:spacing w:after="0"/>
        <w:ind w:left="1710"/>
      </w:pPr>
      <w:r w:rsidRPr="009201F1">
        <w:tab/>
      </w:r>
      <w:r w:rsidR="00AD0728" w:rsidRPr="009201F1">
        <w:t>TOTAL AWARD AMOUNT:  $4,098,123</w:t>
      </w:r>
    </w:p>
    <w:p w14:paraId="227F7018" w14:textId="77777777" w:rsidR="001C3F4E" w:rsidRPr="009201F1" w:rsidRDefault="000C6672" w:rsidP="00AD0728">
      <w:pPr>
        <w:tabs>
          <w:tab w:val="left" w:pos="630"/>
          <w:tab w:val="left" w:pos="900"/>
          <w:tab w:val="left" w:pos="990"/>
          <w:tab w:val="left" w:pos="1170"/>
          <w:tab w:val="left" w:pos="1710"/>
        </w:tabs>
        <w:spacing w:after="0"/>
        <w:ind w:left="1710"/>
      </w:pPr>
      <w:r w:rsidRPr="009201F1">
        <w:tab/>
      </w:r>
      <w:r w:rsidR="00AD0728" w:rsidRPr="009201F1">
        <w:t>Price is considered fair and reasonable based on adequate price competition.</w:t>
      </w:r>
    </w:p>
    <w:p w14:paraId="60ED1BC7" w14:textId="77777777" w:rsidR="001C3F4E" w:rsidRPr="009201F1" w:rsidRDefault="00977580" w:rsidP="00977580">
      <w:pPr>
        <w:pStyle w:val="List1"/>
      </w:pPr>
      <w:r w:rsidRPr="009201F1">
        <w:t>(d)</w:t>
      </w:r>
      <w:r w:rsidRPr="009201F1">
        <w:tab/>
      </w:r>
      <w:r w:rsidR="00AD0728" w:rsidRPr="009201F1">
        <w:t xml:space="preserve">The </w:t>
      </w:r>
      <w:r w:rsidR="004E788E" w:rsidRPr="009201F1">
        <w:t>contracting officer</w:t>
      </w:r>
      <w:r w:rsidR="00AD0728" w:rsidRPr="009201F1">
        <w:t xml:space="preserve"> sign</w:t>
      </w:r>
      <w:r w:rsidR="00087B64" w:rsidRPr="009201F1">
        <w:t>s</w:t>
      </w:r>
      <w:r w:rsidR="00AD0728" w:rsidRPr="009201F1">
        <w:t xml:space="preserve"> the SF1409/1410.</w:t>
      </w:r>
      <w:bookmarkStart w:id="25" w:name="_AFMC_PGI_5315.407-1-90"/>
      <w:bookmarkEnd w:id="25"/>
    </w:p>
    <w:p w14:paraId="5B5265B0" w14:textId="77777777" w:rsidR="001C3F4E" w:rsidRPr="009201F1" w:rsidRDefault="00F8002A" w:rsidP="00977580">
      <w:pPr>
        <w:pStyle w:val="Heading3"/>
        <w:rPr>
          <w:b w:val="0"/>
        </w:rPr>
      </w:pPr>
      <w:r w:rsidRPr="009201F1">
        <w:lastRenderedPageBreak/>
        <w:t>AFMC PGI 5315.407-1</w:t>
      </w:r>
      <w:r w:rsidR="004269BD" w:rsidRPr="009201F1">
        <w:t>-90</w:t>
      </w:r>
      <w:r w:rsidRPr="009201F1">
        <w:t xml:space="preserve"> </w:t>
      </w:r>
      <w:r w:rsidR="007B05B2" w:rsidRPr="009201F1">
        <w:t xml:space="preserve">  </w:t>
      </w:r>
      <w:r w:rsidR="00B1365A" w:rsidRPr="009201F1">
        <w:t xml:space="preserve">Defective </w:t>
      </w:r>
      <w:r w:rsidR="003A5654" w:rsidRPr="009201F1">
        <w:t>Certified Cost or Pricing D</w:t>
      </w:r>
      <w:r w:rsidR="00B1365A" w:rsidRPr="009201F1">
        <w:t>ata</w:t>
      </w:r>
    </w:p>
    <w:p w14:paraId="0A01DAB4" w14:textId="77777777" w:rsidR="001C3F4E" w:rsidRPr="009201F1" w:rsidRDefault="00B1365A" w:rsidP="006769FA">
      <w:pPr>
        <w:spacing w:after="0"/>
        <w:rPr>
          <w:b/>
          <w:i/>
        </w:rPr>
      </w:pPr>
      <w:r w:rsidRPr="009201F1">
        <w:t xml:space="preserve">Ensure timely resolution of defective pricing audits.  The </w:t>
      </w:r>
      <w:r w:rsidR="00961921" w:rsidRPr="009201F1">
        <w:t>Pricing Chief</w:t>
      </w:r>
      <w:r w:rsidRPr="009201F1">
        <w:t xml:space="preserve">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w:t>
      </w:r>
      <w:r w:rsidR="00E566A6" w:rsidRPr="009201F1">
        <w:t xml:space="preserve">dination on the “resolution” </w:t>
      </w:r>
      <w:r w:rsidRPr="009201F1">
        <w:t>should be at</w:t>
      </w:r>
      <w:r w:rsidR="00961921" w:rsidRPr="009201F1">
        <w:t xml:space="preserve"> one-</w:t>
      </w:r>
      <w:r w:rsidRPr="009201F1">
        <w:t>level above the</w:t>
      </w:r>
      <w:r w:rsidR="00515C5A" w:rsidRPr="009201F1">
        <w:t xml:space="preserve"> contracting officer</w:t>
      </w:r>
      <w:r w:rsidRPr="009201F1">
        <w:t>.  If the Air Force Negotiation Objective or negotiated amount deviates from the DCAA Recommended Pr</w:t>
      </w:r>
      <w:r w:rsidR="00515C5A" w:rsidRPr="009201F1">
        <w:t>ice Adjustment, the contracting officer</w:t>
      </w:r>
      <w:r w:rsidRPr="009201F1">
        <w:t xml:space="preserve"> should seek approval of the variance from at leas</w:t>
      </w:r>
      <w:r w:rsidR="00515C5A" w:rsidRPr="009201F1">
        <w:t>t one-level above the contracting officer.  Contracting officer</w:t>
      </w:r>
      <w:r w:rsidR="00961921" w:rsidRPr="009201F1">
        <w:t>s</w:t>
      </w:r>
      <w:r w:rsidRPr="009201F1">
        <w:t xml:space="preserve"> should ensure that defective pricing adjustments (excluding interest) are reflected in automated procurement history reco</w:t>
      </w:r>
      <w:r w:rsidR="004479CC" w:rsidRPr="009201F1">
        <w:t>rds for repetitive spares.  N</w:t>
      </w:r>
      <w:r w:rsidRPr="009201F1">
        <w:t xml:space="preserve">egotiated settlement agreement with a contractor </w:t>
      </w:r>
      <w:r w:rsidR="00726A7D" w:rsidRPr="009201F1">
        <w:t>do not</w:t>
      </w:r>
      <w:r w:rsidR="004479CC" w:rsidRPr="009201F1">
        <w:t xml:space="preserve"> </w:t>
      </w:r>
      <w:r w:rsidR="00515C5A" w:rsidRPr="009201F1">
        <w:t>waive the rights of the g</w:t>
      </w:r>
      <w:r w:rsidRPr="009201F1">
        <w:t>overnment for future defective pricing cl</w:t>
      </w:r>
      <w:r w:rsidR="00515C5A" w:rsidRPr="009201F1">
        <w:t>aims or otherwise restrict the g</w:t>
      </w:r>
      <w:r w:rsidRPr="009201F1">
        <w:t xml:space="preserve">overnment’s rights to conduct audits under the same or other contracts.  The collection of interest cannot be waived or offset.  Refer to the </w:t>
      </w:r>
      <w:hyperlink r:id="rId38" w:history="1">
        <w:r w:rsidRPr="009201F1">
          <w:rPr>
            <w:rStyle w:val="Hyperlink"/>
            <w:bCs/>
            <w:iCs/>
          </w:rPr>
          <w:t>Defective Pricing Guide</w:t>
        </w:r>
      </w:hyperlink>
      <w:r w:rsidRPr="009201F1">
        <w:t xml:space="preserve"> </w:t>
      </w:r>
      <w:r w:rsidRPr="009201F1">
        <w:rPr>
          <w:bCs/>
          <w:iCs/>
        </w:rPr>
        <w:t xml:space="preserve">for additional guidance.  </w:t>
      </w:r>
      <w:r w:rsidRPr="009201F1">
        <w:rPr>
          <w:b/>
          <w:i/>
        </w:rPr>
        <w:t xml:space="preserve"> </w:t>
      </w:r>
      <w:bookmarkStart w:id="26" w:name="_AFMC_PGI_5315.407-2"/>
      <w:bookmarkEnd w:id="26"/>
    </w:p>
    <w:p w14:paraId="72431114" w14:textId="77777777" w:rsidR="001C3F4E" w:rsidRPr="009201F1" w:rsidRDefault="00AD0728" w:rsidP="00977580">
      <w:pPr>
        <w:pStyle w:val="Heading3"/>
      </w:pPr>
      <w:r w:rsidRPr="009201F1">
        <w:t xml:space="preserve">AFMC PGI 5315.407-2 </w:t>
      </w:r>
      <w:r w:rsidR="007B05B2" w:rsidRPr="009201F1">
        <w:t xml:space="preserve">  </w:t>
      </w:r>
      <w:r w:rsidRPr="009201F1">
        <w:t>Make-or-Buy Program</w:t>
      </w:r>
    </w:p>
    <w:p w14:paraId="42FEBEF7" w14:textId="77777777" w:rsidR="001C3F4E" w:rsidRPr="009201F1" w:rsidRDefault="00515C5A" w:rsidP="00977580">
      <w:pPr>
        <w:pStyle w:val="List1"/>
      </w:pPr>
      <w:r w:rsidRPr="009201F1">
        <w:t>(d)</w:t>
      </w:r>
      <w:r w:rsidR="00D0132E" w:rsidRPr="009201F1">
        <w:t>(</w:t>
      </w:r>
      <w:r w:rsidR="0083644B" w:rsidRPr="009201F1">
        <w:t>1</w:t>
      </w:r>
      <w:r w:rsidR="00D0132E" w:rsidRPr="009201F1">
        <w:t>)</w:t>
      </w:r>
      <w:r w:rsidRPr="009201F1">
        <w:t xml:space="preserve"> </w:t>
      </w:r>
      <w:r w:rsidR="004479CC" w:rsidRPr="009201F1">
        <w:t>T</w:t>
      </w:r>
      <w:r w:rsidR="00AD0728" w:rsidRPr="009201F1">
        <w:t xml:space="preserve">o implement policy in FAR 15.407-2, the </w:t>
      </w:r>
      <w:r w:rsidRPr="009201F1">
        <w:t>contracting officer</w:t>
      </w:r>
      <w:r w:rsidR="00AD0728" w:rsidRPr="009201F1">
        <w:t xml:space="preserve"> may include the following language in the solicitation:</w:t>
      </w:r>
    </w:p>
    <w:p w14:paraId="2A0A6976" w14:textId="77777777" w:rsidR="001C3F4E" w:rsidRPr="009201F1" w:rsidRDefault="00AD0728" w:rsidP="00AD0728">
      <w:pPr>
        <w:keepNext/>
        <w:spacing w:after="0"/>
        <w:ind w:left="720"/>
        <w:rPr>
          <w:i/>
        </w:rPr>
      </w:pPr>
      <w:r w:rsidRPr="009201F1">
        <w:rPr>
          <w:i/>
        </w:rPr>
        <w:t>The offeror shall submit with the proposal a proposed Make-or-Buy Program to include or be supported by the following information:</w:t>
      </w:r>
    </w:p>
    <w:p w14:paraId="62BA0F15" w14:textId="77777777" w:rsidR="001C3F4E" w:rsidRPr="009201F1" w:rsidRDefault="00AD0728" w:rsidP="00977580">
      <w:pPr>
        <w:pStyle w:val="List5"/>
      </w:pPr>
      <w:r w:rsidRPr="009201F1">
        <w:rPr>
          <w:i/>
        </w:rPr>
        <w:t>(</w:t>
      </w:r>
      <w:r w:rsidR="00EC27C3" w:rsidRPr="009201F1">
        <w:rPr>
          <w:i/>
        </w:rPr>
        <w:t>a</w:t>
      </w:r>
      <w:r w:rsidRPr="009201F1">
        <w:rPr>
          <w:i/>
        </w:rPr>
        <w:t>)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w:t>
      </w:r>
      <w:proofErr w:type="spellStart"/>
      <w:r w:rsidRPr="009201F1">
        <w:rPr>
          <w:i/>
        </w:rPr>
        <w:t>i</w:t>
      </w:r>
      <w:proofErr w:type="spellEnd"/>
      <w:r w:rsidRPr="009201F1">
        <w:rPr>
          <w:i/>
        </w:rPr>
        <w:t>) one percent of the total estimated contract price or (ii) $1,500,000, whichever is less.</w:t>
      </w:r>
    </w:p>
    <w:p w14:paraId="2320B6E6" w14:textId="77777777" w:rsidR="001C3F4E" w:rsidRPr="009201F1" w:rsidRDefault="00AD0728" w:rsidP="00977580">
      <w:pPr>
        <w:pStyle w:val="List5"/>
      </w:pPr>
      <w:r w:rsidRPr="009201F1">
        <w:rPr>
          <w:i/>
        </w:rPr>
        <w:t>(</w:t>
      </w:r>
      <w:r w:rsidR="00EC27C3" w:rsidRPr="009201F1">
        <w:rPr>
          <w:i/>
        </w:rPr>
        <w:t>b</w:t>
      </w:r>
      <w:r w:rsidRPr="009201F1">
        <w:rPr>
          <w:i/>
        </w:rPr>
        <w:t>) Categorization of each major item or work effort as "must make," "must buy," or "can either make or buy."</w:t>
      </w:r>
    </w:p>
    <w:p w14:paraId="16E641F7" w14:textId="77777777" w:rsidR="001C3F4E" w:rsidRPr="009201F1" w:rsidRDefault="00AD0728" w:rsidP="00977580">
      <w:pPr>
        <w:pStyle w:val="List5"/>
      </w:pPr>
      <w:r w:rsidRPr="009201F1">
        <w:rPr>
          <w:i/>
        </w:rPr>
        <w:t>(</w:t>
      </w:r>
      <w:r w:rsidR="00EC27C3" w:rsidRPr="009201F1">
        <w:rPr>
          <w:i/>
        </w:rPr>
        <w:t>c</w:t>
      </w:r>
      <w:r w:rsidRPr="009201F1">
        <w:rPr>
          <w:i/>
        </w:rPr>
        <w:t>) For each item or work effort categorized as "can either make or buy," a proposal either to "make" or to "buy."</w:t>
      </w:r>
    </w:p>
    <w:p w14:paraId="04CFC2AF" w14:textId="77777777" w:rsidR="001C3F4E" w:rsidRPr="009201F1" w:rsidRDefault="00AD0728" w:rsidP="00977580">
      <w:pPr>
        <w:pStyle w:val="List6"/>
      </w:pPr>
      <w:r w:rsidRPr="009201F1">
        <w:lastRenderedPageBreak/>
        <w:t>(</w:t>
      </w:r>
      <w:r w:rsidR="00EC27C3" w:rsidRPr="009201F1">
        <w:t>1</w:t>
      </w:r>
      <w:r w:rsidRPr="009201F1">
        <w:t>) Proposals for "make" items shall include:</w:t>
      </w:r>
    </w:p>
    <w:p w14:paraId="538D4160" w14:textId="77777777" w:rsidR="001C3F4E" w:rsidRPr="009201F1" w:rsidRDefault="00AD0728" w:rsidP="00977580">
      <w:pPr>
        <w:pStyle w:val="List7"/>
      </w:pPr>
      <w:r w:rsidRPr="009201F1">
        <w:rPr>
          <w:i/>
        </w:rPr>
        <w:t>(</w:t>
      </w:r>
      <w:proofErr w:type="spellStart"/>
      <w:r w:rsidR="00EC27C3" w:rsidRPr="009201F1">
        <w:rPr>
          <w:i/>
        </w:rPr>
        <w:t>i</w:t>
      </w:r>
      <w:proofErr w:type="spellEnd"/>
      <w:r w:rsidRPr="009201F1">
        <w:rPr>
          <w:i/>
        </w:rPr>
        <w:t>)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p>
    <w:p w14:paraId="0FDE0F52" w14:textId="77777777" w:rsidR="001C3F4E" w:rsidRPr="009201F1" w:rsidRDefault="00AD0728" w:rsidP="00977580">
      <w:pPr>
        <w:pStyle w:val="List7"/>
      </w:pPr>
      <w:r w:rsidRPr="009201F1">
        <w:rPr>
          <w:i/>
        </w:rPr>
        <w:t>(</w:t>
      </w:r>
      <w:r w:rsidR="00EC27C3" w:rsidRPr="009201F1">
        <w:rPr>
          <w:i/>
        </w:rPr>
        <w:t>ii</w:t>
      </w:r>
      <w:r w:rsidRPr="009201F1">
        <w:rPr>
          <w:i/>
        </w:rPr>
        <w:t>)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p>
    <w:p w14:paraId="05DFD552" w14:textId="77777777" w:rsidR="001C3F4E" w:rsidRPr="009201F1" w:rsidRDefault="00AD0728" w:rsidP="00977580">
      <w:pPr>
        <w:pStyle w:val="List6"/>
      </w:pPr>
      <w:r w:rsidRPr="009201F1">
        <w:t>(</w:t>
      </w:r>
      <w:r w:rsidR="00EC27C3" w:rsidRPr="009201F1">
        <w:t>2</w:t>
      </w:r>
      <w:r w:rsidRPr="009201F1">
        <w:t>)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p>
    <w:p w14:paraId="3A79A9E7" w14:textId="77777777" w:rsidR="001C3F4E" w:rsidRPr="009201F1" w:rsidRDefault="00AD0728" w:rsidP="00977580">
      <w:pPr>
        <w:pStyle w:val="List6"/>
      </w:pPr>
      <w:r w:rsidRPr="009201F1">
        <w:t>(</w:t>
      </w:r>
      <w:r w:rsidR="00EC27C3" w:rsidRPr="009201F1">
        <w:t>3</w:t>
      </w:r>
      <w:r w:rsidRPr="009201F1">
        <w:t>)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p>
    <w:p w14:paraId="18ABA788" w14:textId="77777777" w:rsidR="001C3F4E" w:rsidRPr="009201F1" w:rsidRDefault="00AD0728" w:rsidP="00977580">
      <w:pPr>
        <w:pStyle w:val="List6"/>
      </w:pPr>
      <w:r w:rsidRPr="009201F1">
        <w:t>(4) Reasons for:</w:t>
      </w:r>
    </w:p>
    <w:p w14:paraId="243626AD" w14:textId="77777777" w:rsidR="00CD6B55" w:rsidRDefault="00AD0728" w:rsidP="00CD6B55">
      <w:pPr>
        <w:pStyle w:val="List7"/>
        <w:rPr>
          <w:i/>
        </w:rPr>
      </w:pPr>
      <w:r w:rsidRPr="009201F1">
        <w:rPr>
          <w:i/>
        </w:rPr>
        <w:t>(</w:t>
      </w:r>
      <w:proofErr w:type="spellStart"/>
      <w:r w:rsidRPr="009201F1">
        <w:rPr>
          <w:i/>
        </w:rPr>
        <w:t>i</w:t>
      </w:r>
      <w:proofErr w:type="spellEnd"/>
      <w:r w:rsidRPr="009201F1">
        <w:rPr>
          <w:i/>
        </w:rPr>
        <w:t xml:space="preserve">) </w:t>
      </w:r>
      <w:proofErr w:type="gramStart"/>
      <w:r w:rsidRPr="009201F1">
        <w:rPr>
          <w:i/>
        </w:rPr>
        <w:t>categorizing</w:t>
      </w:r>
      <w:proofErr w:type="gramEnd"/>
      <w:r w:rsidRPr="009201F1">
        <w:rPr>
          <w:i/>
        </w:rPr>
        <w:t xml:space="preserve"> items and work efforts as "must make" or "must buy," and;</w:t>
      </w:r>
    </w:p>
    <w:p w14:paraId="1C7C3F2D" w14:textId="796148E3" w:rsidR="001C3F4E" w:rsidRPr="009201F1" w:rsidRDefault="00AD0728" w:rsidP="00CD6B55">
      <w:pPr>
        <w:pStyle w:val="List7"/>
        <w:rPr>
          <w:i/>
        </w:rPr>
      </w:pPr>
      <w:r w:rsidRPr="009201F1">
        <w:rPr>
          <w:i/>
        </w:rPr>
        <w:t>(ii) proposing to "make" or to "buy" those categorized as "can either make or buy."</w:t>
      </w:r>
    </w:p>
    <w:p w14:paraId="541C6089" w14:textId="77777777" w:rsidR="001C3F4E" w:rsidRPr="009201F1" w:rsidRDefault="00AD0728" w:rsidP="00AD0728">
      <w:pPr>
        <w:spacing w:after="0"/>
        <w:ind w:left="1080"/>
        <w:rPr>
          <w:i/>
        </w:rPr>
      </w:pPr>
      <w:r w:rsidRPr="009201F1">
        <w:rPr>
          <w:i/>
        </w:rPr>
        <w:t>The reasons must include the consideration given to the evaluation factors described in the solicitation and be in sufficient detail to permit the Contracting Officer to evaluate the categorization or proposal.</w:t>
      </w:r>
    </w:p>
    <w:p w14:paraId="2EB0369D" w14:textId="77777777" w:rsidR="001C3F4E" w:rsidRPr="009201F1" w:rsidRDefault="00AD0728" w:rsidP="00977580">
      <w:pPr>
        <w:pStyle w:val="List6"/>
      </w:pPr>
      <w:r w:rsidRPr="009201F1">
        <w:lastRenderedPageBreak/>
        <w:t>(5) Designation of the plant or division proposed to make each item or perform each work effort and a statement as to whether the existing or proposed new facility is in or near a labor surplus area.</w:t>
      </w:r>
    </w:p>
    <w:p w14:paraId="39A69F40" w14:textId="77777777" w:rsidR="001C3F4E" w:rsidRPr="009201F1" w:rsidRDefault="00AD0728" w:rsidP="00977580">
      <w:pPr>
        <w:pStyle w:val="List6"/>
      </w:pPr>
      <w:r w:rsidRPr="009201F1">
        <w:t>(6) Identification of proposed subcontractors, if known, and their location and size status.</w:t>
      </w:r>
    </w:p>
    <w:p w14:paraId="3F463AF2" w14:textId="77777777" w:rsidR="001C3F4E" w:rsidRPr="009201F1" w:rsidRDefault="00AD0728" w:rsidP="00977580">
      <w:pPr>
        <w:pStyle w:val="List6"/>
      </w:pPr>
      <w:r w:rsidRPr="009201F1">
        <w:t>(7) Identification of items on which small business firms may be able to compete for subcontracts.</w:t>
      </w:r>
    </w:p>
    <w:p w14:paraId="387DBD6C" w14:textId="77777777" w:rsidR="001C3F4E" w:rsidRPr="009201F1" w:rsidRDefault="00AD0728" w:rsidP="00977580">
      <w:pPr>
        <w:pStyle w:val="List6"/>
      </w:pPr>
      <w:r w:rsidRPr="009201F1">
        <w:t>(8) Any recommendations to defer make-or-buy decisions when categorization of some items or work efforts is impracticable at the time of submission.</w:t>
      </w:r>
    </w:p>
    <w:p w14:paraId="09631F69" w14:textId="77777777" w:rsidR="001C3F4E" w:rsidRPr="009201F1" w:rsidRDefault="00515C5A" w:rsidP="00977580">
      <w:pPr>
        <w:pStyle w:val="List2"/>
      </w:pPr>
      <w:r w:rsidRPr="009201F1">
        <w:t>(</w:t>
      </w:r>
      <w:r w:rsidR="0083644B" w:rsidRPr="009201F1">
        <w:t>2</w:t>
      </w:r>
      <w:r w:rsidRPr="009201F1">
        <w:t xml:space="preserve">) </w:t>
      </w:r>
      <w:r w:rsidR="00AD0728" w:rsidRPr="009201F1">
        <w:t xml:space="preserve">The following factors </w:t>
      </w:r>
      <w:r w:rsidR="00D363B2" w:rsidRPr="009201F1">
        <w:t xml:space="preserve">should </w:t>
      </w:r>
      <w:r w:rsidR="00AD0728" w:rsidRPr="009201F1">
        <w:t>be used in evaluating the proposed program:</w:t>
      </w:r>
    </w:p>
    <w:p w14:paraId="5892A334" w14:textId="3AB8C0DB" w:rsidR="00AD0728" w:rsidRPr="009201F1" w:rsidRDefault="00AD0728" w:rsidP="00977580">
      <w:pPr>
        <w:pStyle w:val="List3"/>
      </w:pPr>
      <w:r w:rsidRPr="009201F1">
        <w:t>(</w:t>
      </w:r>
      <w:proofErr w:type="spellStart"/>
      <w:r w:rsidR="0083644B" w:rsidRPr="009201F1">
        <w:t>i</w:t>
      </w:r>
      <w:proofErr w:type="spellEnd"/>
      <w:r w:rsidRPr="009201F1">
        <w:t>) Capability;</w:t>
      </w:r>
    </w:p>
    <w:p w14:paraId="0C8BE686" w14:textId="1AB78CF9" w:rsidR="00AD0728" w:rsidRPr="009201F1" w:rsidRDefault="00AD0728" w:rsidP="00977580">
      <w:pPr>
        <w:pStyle w:val="List3"/>
      </w:pPr>
      <w:r w:rsidRPr="009201F1">
        <w:t>(</w:t>
      </w:r>
      <w:r w:rsidR="0083644B" w:rsidRPr="009201F1">
        <w:t>ii</w:t>
      </w:r>
      <w:r w:rsidRPr="009201F1">
        <w:t>) Capacity;</w:t>
      </w:r>
    </w:p>
    <w:p w14:paraId="6E1753FB" w14:textId="5FAB3292" w:rsidR="00AD0728" w:rsidRPr="009201F1" w:rsidRDefault="00AD0728" w:rsidP="00977580">
      <w:pPr>
        <w:pStyle w:val="List3"/>
      </w:pPr>
      <w:r w:rsidRPr="009201F1">
        <w:t>(</w:t>
      </w:r>
      <w:r w:rsidR="0083644B" w:rsidRPr="009201F1">
        <w:t>iii</w:t>
      </w:r>
      <w:r w:rsidRPr="009201F1">
        <w:t>) Availability of small business for subcontracting;</w:t>
      </w:r>
    </w:p>
    <w:p w14:paraId="0FFDB1F5" w14:textId="15AFB8FD" w:rsidR="00AD0728" w:rsidRPr="009201F1" w:rsidRDefault="00AD0728" w:rsidP="00977580">
      <w:pPr>
        <w:pStyle w:val="List3"/>
      </w:pPr>
      <w:r w:rsidRPr="009201F1">
        <w:t>(</w:t>
      </w:r>
      <w:r w:rsidR="0083644B" w:rsidRPr="009201F1">
        <w:t>iv</w:t>
      </w:r>
      <w:r w:rsidRPr="009201F1">
        <w:t>) Delivery or performance schedules;</w:t>
      </w:r>
    </w:p>
    <w:p w14:paraId="12A0BB87" w14:textId="72CD5A84" w:rsidR="00AD0728" w:rsidRPr="009201F1" w:rsidRDefault="00AD0728" w:rsidP="00977580">
      <w:pPr>
        <w:pStyle w:val="List3"/>
      </w:pPr>
      <w:r w:rsidRPr="009201F1">
        <w:t>(</w:t>
      </w:r>
      <w:r w:rsidR="0083644B" w:rsidRPr="009201F1">
        <w:t>v</w:t>
      </w:r>
      <w:r w:rsidRPr="009201F1">
        <w:t>) Control of technical and schedule interfaces;</w:t>
      </w:r>
    </w:p>
    <w:p w14:paraId="3B46F45F" w14:textId="7AB21BD1" w:rsidR="00AD0728" w:rsidRPr="009201F1" w:rsidRDefault="00AD0728" w:rsidP="00977580">
      <w:pPr>
        <w:pStyle w:val="List3"/>
      </w:pPr>
      <w:r w:rsidRPr="009201F1">
        <w:t>(</w:t>
      </w:r>
      <w:r w:rsidR="0083644B" w:rsidRPr="009201F1">
        <w:t>vi</w:t>
      </w:r>
      <w:r w:rsidRPr="009201F1">
        <w:t>) Proprietary processes;</w:t>
      </w:r>
    </w:p>
    <w:p w14:paraId="2C19C18C" w14:textId="515AB548" w:rsidR="00AD0728" w:rsidRPr="009201F1" w:rsidRDefault="00AD0728" w:rsidP="00977580">
      <w:pPr>
        <w:pStyle w:val="List3"/>
      </w:pPr>
      <w:r w:rsidRPr="009201F1">
        <w:t>(</w:t>
      </w:r>
      <w:r w:rsidR="0083644B" w:rsidRPr="009201F1">
        <w:t>vii</w:t>
      </w:r>
      <w:r w:rsidRPr="009201F1">
        <w:t xml:space="preserve">) Technical superiority or exclusiveness; </w:t>
      </w:r>
    </w:p>
    <w:p w14:paraId="7322D3F3" w14:textId="70E25482" w:rsidR="00AD0728" w:rsidRPr="009201F1" w:rsidRDefault="00AD0728" w:rsidP="00977580">
      <w:pPr>
        <w:pStyle w:val="List3"/>
      </w:pPr>
      <w:r w:rsidRPr="009201F1">
        <w:t>(</w:t>
      </w:r>
      <w:r w:rsidR="0083644B" w:rsidRPr="009201F1">
        <w:t>viii</w:t>
      </w:r>
      <w:r w:rsidRPr="009201F1">
        <w:t>) Technical risk involved; and</w:t>
      </w:r>
    </w:p>
    <w:p w14:paraId="66746970" w14:textId="77777777" w:rsidR="00977580" w:rsidRPr="009201F1" w:rsidRDefault="00AD0728" w:rsidP="00977580">
      <w:pPr>
        <w:pStyle w:val="List3"/>
      </w:pPr>
      <w:r w:rsidRPr="009201F1">
        <w:t>(</w:t>
      </w:r>
      <w:r w:rsidR="0083644B" w:rsidRPr="009201F1">
        <w:t>ix</w:t>
      </w:r>
      <w:r w:rsidRPr="009201F1">
        <w:t xml:space="preserve">) Cost/price comparison between “make” and “buy.” </w:t>
      </w:r>
      <w:r w:rsidR="00977580" w:rsidRPr="009201F1">
        <w:rPr>
          <w:b/>
        </w:rPr>
        <w:br w:type="page"/>
      </w:r>
    </w:p>
    <w:p w14:paraId="57BBF39D" w14:textId="77777777" w:rsidR="001C3F4E" w:rsidRPr="009201F1" w:rsidRDefault="00977580" w:rsidP="00977580">
      <w:pPr>
        <w:pStyle w:val="Heading2"/>
      </w:pPr>
      <w:r w:rsidRPr="009201F1">
        <w:lastRenderedPageBreak/>
        <w:t>SMC PGI 5315</w:t>
      </w:r>
      <w:r w:rsidRPr="009201F1">
        <w:br/>
        <w:t>Contracting by Negotiation</w:t>
      </w:r>
      <w:bookmarkStart w:id="27" w:name="_SMC_PGI_5315.3"/>
      <w:bookmarkEnd w:id="27"/>
    </w:p>
    <w:p w14:paraId="1BC86571" w14:textId="607DBE6D" w:rsidR="00977580" w:rsidRPr="009201F1" w:rsidRDefault="009F451E" w:rsidP="002D3328">
      <w:pPr>
        <w:pStyle w:val="Heading3"/>
      </w:pPr>
      <w:r w:rsidRPr="009201F1">
        <w:t xml:space="preserve">SMC PGI 5315.3 (1.4.1.1) </w:t>
      </w:r>
      <w:r w:rsidR="007B05B2" w:rsidRPr="009201F1">
        <w:t xml:space="preserve">  </w:t>
      </w:r>
      <w:r w:rsidRPr="009201F1">
        <w:t>SSA Appointment</w:t>
      </w:r>
    </w:p>
    <w:p w14:paraId="5DF6A582" w14:textId="78E71472" w:rsidR="00977580" w:rsidRPr="009201F1" w:rsidRDefault="00FE239B" w:rsidP="002D3328">
      <w:pPr>
        <w:pStyle w:val="List1"/>
      </w:pPr>
      <w:r w:rsidRPr="009201F1">
        <w:t xml:space="preserve">(b) </w:t>
      </w:r>
      <w:r w:rsidR="00DF5BC8" w:rsidRPr="009201F1">
        <w:t xml:space="preserve">SSA delegations can be found on the </w:t>
      </w:r>
      <w:hyperlink r:id="rId39" w:history="1">
        <w:r w:rsidR="002D3328" w:rsidRPr="009201F1">
          <w:rPr>
            <w:rStyle w:val="Hyperlink"/>
          </w:rPr>
          <w:t>APEX Acquisition Authorities</w:t>
        </w:r>
      </w:hyperlink>
      <w:r w:rsidR="00DF5BC8" w:rsidRPr="009201F1">
        <w:t xml:space="preserve"> page.</w:t>
      </w:r>
    </w:p>
    <w:p w14:paraId="18238FA8" w14:textId="65195558" w:rsidR="00977580" w:rsidRPr="009201F1" w:rsidRDefault="004C5953" w:rsidP="002D3328">
      <w:pPr>
        <w:pStyle w:val="Heading3"/>
      </w:pPr>
      <w:bookmarkStart w:id="28" w:name="_SMC_PGI_5315.3_1"/>
      <w:bookmarkEnd w:id="28"/>
      <w:r w:rsidRPr="009201F1">
        <w:t xml:space="preserve">SMC PGI 5315.3 (1.4.2.2) </w:t>
      </w:r>
      <w:r w:rsidR="007B05B2" w:rsidRPr="009201F1">
        <w:t xml:space="preserve">  </w:t>
      </w:r>
      <w:r w:rsidRPr="009201F1">
        <w:t>PCO Responsibilities</w:t>
      </w:r>
    </w:p>
    <w:p w14:paraId="3F8D41ED" w14:textId="3B6B22D1" w:rsidR="00977580" w:rsidRPr="009201F1" w:rsidRDefault="004E62CB" w:rsidP="00977580">
      <w:pPr>
        <w:pStyle w:val="List1"/>
      </w:pPr>
      <w:r w:rsidRPr="009201F1">
        <w:t>(a)</w:t>
      </w:r>
      <w:r w:rsidR="004C5953" w:rsidRPr="009201F1">
        <w:t xml:space="preserve"> </w:t>
      </w:r>
      <w:r w:rsidRPr="009201F1">
        <w:t>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w:p w14:paraId="60B99386" w14:textId="72A36CFD" w:rsidR="00977580" w:rsidRPr="009201F1" w:rsidRDefault="004E62CB" w:rsidP="009201F1">
      <w:pPr>
        <w:pStyle w:val="Heading3"/>
      </w:pPr>
      <w:bookmarkStart w:id="29" w:name="_SMC_PGI_5315.3_2"/>
      <w:bookmarkEnd w:id="29"/>
      <w:r w:rsidRPr="009201F1">
        <w:t>SMC PGI 5315.3 (1.4.2.2.7)</w:t>
      </w:r>
    </w:p>
    <w:p w14:paraId="17AAE360" w14:textId="5D7B5D5D" w:rsidR="004E62CB" w:rsidRPr="009201F1" w:rsidRDefault="004E62CB" w:rsidP="009201F1">
      <w:pPr>
        <w:spacing w:before="120"/>
      </w:pPr>
      <w:r w:rsidRPr="009201F1">
        <w:t xml:space="preserve">The </w:t>
      </w:r>
      <w:r w:rsidR="00087B64" w:rsidRPr="009201F1">
        <w:t>PCO</w:t>
      </w:r>
      <w:r w:rsidRPr="009201F1">
        <w:t xml:space="preserve"> should notify source selection participants concurrently by including them in the email distribution as indicated below: </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0" w:type="dxa"/>
          <w:bottom w:w="72" w:type="dxa"/>
          <w:right w:w="0" w:type="dxa"/>
        </w:tblCellMar>
        <w:tblLook w:val="04A0" w:firstRow="1" w:lastRow="0" w:firstColumn="1" w:lastColumn="0" w:noHBand="0" w:noVBand="1"/>
      </w:tblPr>
      <w:tblGrid>
        <w:gridCol w:w="5039"/>
        <w:gridCol w:w="3871"/>
      </w:tblGrid>
      <w:tr w:rsidR="004E62CB" w:rsidRPr="009201F1" w14:paraId="312D91D2" w14:textId="77777777" w:rsidTr="009201F1">
        <w:trPr>
          <w:trHeight w:val="288"/>
        </w:trPr>
        <w:tc>
          <w:tcPr>
            <w:tcW w:w="5130" w:type="dxa"/>
            <w:shd w:val="clear" w:color="auto" w:fill="auto"/>
            <w:tcMar>
              <w:top w:w="58" w:type="dxa"/>
              <w:left w:w="58" w:type="dxa"/>
              <w:bottom w:w="58" w:type="dxa"/>
              <w:right w:w="58" w:type="dxa"/>
            </w:tcMar>
            <w:hideMark/>
          </w:tcPr>
          <w:p w14:paraId="11E18B1B" w14:textId="77777777" w:rsidR="004E62CB" w:rsidRPr="009201F1" w:rsidRDefault="004E62CB" w:rsidP="009201F1">
            <w:pPr>
              <w:spacing w:after="0"/>
            </w:pPr>
            <w:r w:rsidRPr="009201F1">
              <w:t>SMC/PK</w:t>
            </w:r>
          </w:p>
        </w:tc>
        <w:tc>
          <w:tcPr>
            <w:tcW w:w="3780" w:type="dxa"/>
            <w:shd w:val="clear" w:color="auto" w:fill="auto"/>
            <w:tcMar>
              <w:top w:w="58" w:type="dxa"/>
              <w:left w:w="58" w:type="dxa"/>
              <w:bottom w:w="58" w:type="dxa"/>
              <w:right w:w="58" w:type="dxa"/>
            </w:tcMar>
            <w:hideMark/>
          </w:tcPr>
          <w:p w14:paraId="14A24B40" w14:textId="410821BF" w:rsidR="004E62CB" w:rsidRPr="009201F1" w:rsidRDefault="000D4C22" w:rsidP="009201F1">
            <w:pPr>
              <w:spacing w:after="0"/>
            </w:pPr>
            <w:hyperlink r:id="rId40" w:history="1">
              <w:r w:rsidR="002D3328" w:rsidRPr="009201F1">
                <w:rPr>
                  <w:rStyle w:val="Hyperlink"/>
                </w:rPr>
                <w:t>smc.pk.exec@us.af.mil</w:t>
              </w:r>
            </w:hyperlink>
            <w:r w:rsidR="002D3328" w:rsidRPr="009201F1">
              <w:t xml:space="preserve"> </w:t>
            </w:r>
          </w:p>
        </w:tc>
      </w:tr>
      <w:tr w:rsidR="004E62CB" w:rsidRPr="009201F1" w14:paraId="002A1223" w14:textId="77777777" w:rsidTr="009201F1">
        <w:trPr>
          <w:trHeight w:val="288"/>
        </w:trPr>
        <w:tc>
          <w:tcPr>
            <w:tcW w:w="5130" w:type="dxa"/>
            <w:shd w:val="clear" w:color="auto" w:fill="auto"/>
            <w:tcMar>
              <w:top w:w="58" w:type="dxa"/>
              <w:left w:w="58" w:type="dxa"/>
              <w:bottom w:w="58" w:type="dxa"/>
              <w:right w:w="58" w:type="dxa"/>
            </w:tcMar>
            <w:hideMark/>
          </w:tcPr>
          <w:p w14:paraId="3C3FE847" w14:textId="77777777" w:rsidR="004E62CB" w:rsidRPr="009201F1" w:rsidRDefault="004E62CB" w:rsidP="009201F1">
            <w:pPr>
              <w:spacing w:after="0"/>
            </w:pPr>
            <w:r w:rsidRPr="009201F1">
              <w:t>SMC/SB</w:t>
            </w:r>
          </w:p>
        </w:tc>
        <w:tc>
          <w:tcPr>
            <w:tcW w:w="3780" w:type="dxa"/>
            <w:shd w:val="clear" w:color="auto" w:fill="auto"/>
            <w:tcMar>
              <w:top w:w="58" w:type="dxa"/>
              <w:left w:w="58" w:type="dxa"/>
              <w:bottom w:w="58" w:type="dxa"/>
              <w:right w:w="58" w:type="dxa"/>
            </w:tcMar>
            <w:hideMark/>
          </w:tcPr>
          <w:p w14:paraId="7ABEAE1A" w14:textId="11A62317" w:rsidR="004E62CB" w:rsidRPr="009201F1" w:rsidRDefault="000D4C22" w:rsidP="009201F1">
            <w:pPr>
              <w:spacing w:after="0"/>
            </w:pPr>
            <w:hyperlink r:id="rId41" w:history="1">
              <w:r w:rsidR="002D3328" w:rsidRPr="009201F1">
                <w:rPr>
                  <w:rStyle w:val="Hyperlink"/>
                </w:rPr>
                <w:t>smallbus@us.af.mil</w:t>
              </w:r>
            </w:hyperlink>
            <w:r w:rsidR="002D3328" w:rsidRPr="009201F1">
              <w:t xml:space="preserve"> </w:t>
            </w:r>
          </w:p>
        </w:tc>
      </w:tr>
      <w:tr w:rsidR="004E62CB" w:rsidRPr="009201F1" w14:paraId="2B8FBA7B" w14:textId="77777777" w:rsidTr="009201F1">
        <w:trPr>
          <w:trHeight w:val="288"/>
        </w:trPr>
        <w:tc>
          <w:tcPr>
            <w:tcW w:w="5130" w:type="dxa"/>
            <w:shd w:val="clear" w:color="auto" w:fill="auto"/>
            <w:tcMar>
              <w:top w:w="58" w:type="dxa"/>
              <w:left w:w="58" w:type="dxa"/>
              <w:bottom w:w="58" w:type="dxa"/>
              <w:right w:w="58" w:type="dxa"/>
            </w:tcMar>
            <w:hideMark/>
          </w:tcPr>
          <w:p w14:paraId="69067166" w14:textId="77777777" w:rsidR="004E62CB" w:rsidRPr="009201F1" w:rsidRDefault="004E62CB" w:rsidP="009201F1">
            <w:pPr>
              <w:spacing w:after="0"/>
            </w:pPr>
            <w:r w:rsidRPr="009201F1">
              <w:t>SMC/PA</w:t>
            </w:r>
          </w:p>
        </w:tc>
        <w:tc>
          <w:tcPr>
            <w:tcW w:w="3780" w:type="dxa"/>
            <w:shd w:val="clear" w:color="auto" w:fill="auto"/>
            <w:tcMar>
              <w:top w:w="58" w:type="dxa"/>
              <w:left w:w="58" w:type="dxa"/>
              <w:bottom w:w="58" w:type="dxa"/>
              <w:right w:w="58" w:type="dxa"/>
            </w:tcMar>
            <w:hideMark/>
          </w:tcPr>
          <w:p w14:paraId="37394819" w14:textId="7826BAFC" w:rsidR="004E62CB" w:rsidRPr="009201F1" w:rsidRDefault="000D4C22" w:rsidP="009201F1">
            <w:pPr>
              <w:spacing w:after="0"/>
            </w:pPr>
            <w:hyperlink r:id="rId42" w:history="1">
              <w:r w:rsidR="009201F1" w:rsidRPr="009201F1">
                <w:rPr>
                  <w:rStyle w:val="Hyperlink"/>
                </w:rPr>
                <w:t>SMC.PA.SecurityandPolicy@us.af.mil</w:t>
              </w:r>
            </w:hyperlink>
            <w:r w:rsidR="009201F1" w:rsidRPr="009201F1">
              <w:t xml:space="preserve"> </w:t>
            </w:r>
          </w:p>
        </w:tc>
      </w:tr>
      <w:tr w:rsidR="004E62CB" w:rsidRPr="009201F1" w14:paraId="00C769A4" w14:textId="77777777" w:rsidTr="009201F1">
        <w:trPr>
          <w:trHeight w:val="288"/>
        </w:trPr>
        <w:tc>
          <w:tcPr>
            <w:tcW w:w="5130" w:type="dxa"/>
            <w:shd w:val="clear" w:color="auto" w:fill="auto"/>
            <w:tcMar>
              <w:top w:w="58" w:type="dxa"/>
              <w:left w:w="58" w:type="dxa"/>
              <w:bottom w:w="58" w:type="dxa"/>
              <w:right w:w="58" w:type="dxa"/>
            </w:tcMar>
            <w:hideMark/>
          </w:tcPr>
          <w:p w14:paraId="2B8DAF93" w14:textId="2DDC2CBE" w:rsidR="004E62CB" w:rsidRPr="009201F1" w:rsidRDefault="004E62CB" w:rsidP="009201F1">
            <w:pPr>
              <w:spacing w:after="0"/>
            </w:pPr>
            <w:r w:rsidRPr="009201F1">
              <w:t>ACE Advisor (when applicable)</w:t>
            </w:r>
          </w:p>
        </w:tc>
        <w:tc>
          <w:tcPr>
            <w:tcW w:w="3780" w:type="dxa"/>
            <w:shd w:val="clear" w:color="auto" w:fill="auto"/>
            <w:tcMar>
              <w:top w:w="58" w:type="dxa"/>
              <w:left w:w="58" w:type="dxa"/>
              <w:bottom w:w="58" w:type="dxa"/>
              <w:right w:w="58" w:type="dxa"/>
            </w:tcMar>
            <w:hideMark/>
          </w:tcPr>
          <w:p w14:paraId="75956EC5" w14:textId="77777777" w:rsidR="004E62CB" w:rsidRPr="009201F1" w:rsidRDefault="004E62CB" w:rsidP="009201F1">
            <w:pPr>
              <w:spacing w:after="0"/>
            </w:pPr>
            <w:r w:rsidRPr="009201F1">
              <w:t>Obtain from Global</w:t>
            </w:r>
          </w:p>
        </w:tc>
      </w:tr>
      <w:tr w:rsidR="004E62CB" w:rsidRPr="009201F1" w14:paraId="424632CF" w14:textId="77777777" w:rsidTr="009201F1">
        <w:trPr>
          <w:trHeight w:val="288"/>
        </w:trPr>
        <w:tc>
          <w:tcPr>
            <w:tcW w:w="5130" w:type="dxa"/>
            <w:shd w:val="clear" w:color="auto" w:fill="auto"/>
            <w:tcMar>
              <w:top w:w="58" w:type="dxa"/>
              <w:left w:w="58" w:type="dxa"/>
              <w:bottom w:w="58" w:type="dxa"/>
              <w:right w:w="58" w:type="dxa"/>
            </w:tcMar>
            <w:hideMark/>
          </w:tcPr>
          <w:p w14:paraId="7D2C659B" w14:textId="77777777" w:rsidR="004E62CB" w:rsidRPr="009201F1" w:rsidRDefault="004E62CB" w:rsidP="009201F1">
            <w:pPr>
              <w:spacing w:after="0"/>
            </w:pPr>
            <w:r w:rsidRPr="009201F1">
              <w:t>Attorney Advisor</w:t>
            </w:r>
          </w:p>
        </w:tc>
        <w:tc>
          <w:tcPr>
            <w:tcW w:w="3780" w:type="dxa"/>
            <w:shd w:val="clear" w:color="auto" w:fill="auto"/>
            <w:tcMar>
              <w:top w:w="58" w:type="dxa"/>
              <w:left w:w="58" w:type="dxa"/>
              <w:bottom w:w="58" w:type="dxa"/>
              <w:right w:w="58" w:type="dxa"/>
            </w:tcMar>
            <w:hideMark/>
          </w:tcPr>
          <w:p w14:paraId="2B42F1E2" w14:textId="77777777" w:rsidR="004E62CB" w:rsidRPr="009201F1" w:rsidRDefault="004E62CB" w:rsidP="009201F1">
            <w:pPr>
              <w:spacing w:after="0"/>
            </w:pPr>
            <w:r w:rsidRPr="009201F1">
              <w:t>Obtain from Global</w:t>
            </w:r>
          </w:p>
        </w:tc>
      </w:tr>
      <w:tr w:rsidR="004E62CB" w:rsidRPr="009201F1" w14:paraId="07E80B3E" w14:textId="77777777" w:rsidTr="009201F1">
        <w:trPr>
          <w:trHeight w:val="288"/>
        </w:trPr>
        <w:tc>
          <w:tcPr>
            <w:tcW w:w="5130" w:type="dxa"/>
            <w:shd w:val="clear" w:color="auto" w:fill="auto"/>
            <w:tcMar>
              <w:top w:w="58" w:type="dxa"/>
              <w:left w:w="58" w:type="dxa"/>
              <w:bottom w:w="58" w:type="dxa"/>
              <w:right w:w="58" w:type="dxa"/>
            </w:tcMar>
            <w:hideMark/>
          </w:tcPr>
          <w:p w14:paraId="1A180286" w14:textId="77777777" w:rsidR="004E62CB" w:rsidRPr="009201F1" w:rsidRDefault="004E62CB" w:rsidP="009201F1">
            <w:pPr>
              <w:spacing w:after="0"/>
            </w:pPr>
            <w:r w:rsidRPr="009201F1">
              <w:t>Committee Reviewer (when applicable)</w:t>
            </w:r>
          </w:p>
        </w:tc>
        <w:tc>
          <w:tcPr>
            <w:tcW w:w="3780" w:type="dxa"/>
            <w:shd w:val="clear" w:color="auto" w:fill="auto"/>
            <w:tcMar>
              <w:top w:w="58" w:type="dxa"/>
              <w:left w:w="58" w:type="dxa"/>
              <w:bottom w:w="58" w:type="dxa"/>
              <w:right w:w="58" w:type="dxa"/>
            </w:tcMar>
            <w:hideMark/>
          </w:tcPr>
          <w:p w14:paraId="2625818F" w14:textId="77777777" w:rsidR="004E62CB" w:rsidRPr="009201F1" w:rsidRDefault="004E62CB" w:rsidP="009201F1">
            <w:pPr>
              <w:spacing w:after="0"/>
            </w:pPr>
            <w:r w:rsidRPr="009201F1">
              <w:t>Obtain from Global</w:t>
            </w:r>
          </w:p>
        </w:tc>
      </w:tr>
      <w:tr w:rsidR="004E62CB" w:rsidRPr="009201F1" w14:paraId="404AEE67" w14:textId="77777777" w:rsidTr="009201F1">
        <w:trPr>
          <w:trHeight w:val="288"/>
        </w:trPr>
        <w:tc>
          <w:tcPr>
            <w:tcW w:w="5130" w:type="dxa"/>
            <w:shd w:val="clear" w:color="auto" w:fill="auto"/>
            <w:tcMar>
              <w:top w:w="58" w:type="dxa"/>
              <w:left w:w="58" w:type="dxa"/>
              <w:bottom w:w="58" w:type="dxa"/>
              <w:right w:w="58" w:type="dxa"/>
            </w:tcMar>
            <w:hideMark/>
          </w:tcPr>
          <w:p w14:paraId="6C03F727" w14:textId="77777777" w:rsidR="004E62CB" w:rsidRPr="009201F1" w:rsidRDefault="004E62CB" w:rsidP="009201F1">
            <w:pPr>
              <w:spacing w:after="0"/>
            </w:pPr>
            <w:r w:rsidRPr="009201F1">
              <w:t>Source Selection Evaluation Team</w:t>
            </w:r>
          </w:p>
        </w:tc>
        <w:tc>
          <w:tcPr>
            <w:tcW w:w="3780" w:type="dxa"/>
            <w:shd w:val="clear" w:color="auto" w:fill="auto"/>
            <w:tcMar>
              <w:top w:w="58" w:type="dxa"/>
              <w:left w:w="58" w:type="dxa"/>
              <w:bottom w:w="58" w:type="dxa"/>
              <w:right w:w="58" w:type="dxa"/>
            </w:tcMar>
            <w:hideMark/>
          </w:tcPr>
          <w:p w14:paraId="6F2D84C2" w14:textId="77777777" w:rsidR="004E62CB" w:rsidRPr="009201F1" w:rsidRDefault="004E62CB" w:rsidP="009201F1">
            <w:pPr>
              <w:spacing w:after="0"/>
            </w:pPr>
            <w:r w:rsidRPr="009201F1">
              <w:t>Obtain from Global</w:t>
            </w:r>
          </w:p>
        </w:tc>
      </w:tr>
      <w:tr w:rsidR="004E62CB" w:rsidRPr="009201F1" w14:paraId="69C08166" w14:textId="77777777" w:rsidTr="009201F1">
        <w:trPr>
          <w:trHeight w:val="288"/>
        </w:trPr>
        <w:tc>
          <w:tcPr>
            <w:tcW w:w="5130" w:type="dxa"/>
            <w:shd w:val="clear" w:color="auto" w:fill="auto"/>
            <w:tcMar>
              <w:top w:w="58" w:type="dxa"/>
              <w:left w:w="58" w:type="dxa"/>
              <w:bottom w:w="58" w:type="dxa"/>
              <w:right w:w="58" w:type="dxa"/>
            </w:tcMar>
            <w:hideMark/>
          </w:tcPr>
          <w:p w14:paraId="05621CCA" w14:textId="33903A9F" w:rsidR="004E62CB" w:rsidRPr="009201F1" w:rsidRDefault="004E62CB" w:rsidP="009201F1">
            <w:pPr>
              <w:spacing w:after="0"/>
            </w:pPr>
            <w:r w:rsidRPr="009201F1">
              <w:t>Source Selection Advisory Council (when applicable)</w:t>
            </w:r>
          </w:p>
        </w:tc>
        <w:tc>
          <w:tcPr>
            <w:tcW w:w="3780" w:type="dxa"/>
            <w:shd w:val="clear" w:color="auto" w:fill="auto"/>
            <w:tcMar>
              <w:top w:w="58" w:type="dxa"/>
              <w:left w:w="58" w:type="dxa"/>
              <w:bottom w:w="58" w:type="dxa"/>
              <w:right w:w="58" w:type="dxa"/>
            </w:tcMar>
            <w:hideMark/>
          </w:tcPr>
          <w:p w14:paraId="1FF73532" w14:textId="77777777" w:rsidR="004E62CB" w:rsidRPr="009201F1" w:rsidRDefault="004E62CB" w:rsidP="009201F1">
            <w:pPr>
              <w:spacing w:after="0"/>
            </w:pPr>
            <w:r w:rsidRPr="009201F1">
              <w:t>Obtain from Global</w:t>
            </w:r>
          </w:p>
        </w:tc>
      </w:tr>
      <w:tr w:rsidR="004E62CB" w:rsidRPr="009201F1" w14:paraId="776550BF" w14:textId="77777777" w:rsidTr="009201F1">
        <w:trPr>
          <w:trHeight w:val="288"/>
        </w:trPr>
        <w:tc>
          <w:tcPr>
            <w:tcW w:w="5130" w:type="dxa"/>
            <w:shd w:val="clear" w:color="auto" w:fill="auto"/>
            <w:tcMar>
              <w:top w:w="58" w:type="dxa"/>
              <w:left w:w="58" w:type="dxa"/>
              <w:bottom w:w="58" w:type="dxa"/>
              <w:right w:w="58" w:type="dxa"/>
            </w:tcMar>
            <w:hideMark/>
          </w:tcPr>
          <w:p w14:paraId="193115C7" w14:textId="77777777" w:rsidR="004E62CB" w:rsidRPr="009201F1" w:rsidRDefault="004E62CB" w:rsidP="009201F1">
            <w:pPr>
              <w:spacing w:after="0"/>
            </w:pPr>
            <w:r w:rsidRPr="009201F1">
              <w:t>Source Selection Authority</w:t>
            </w:r>
          </w:p>
        </w:tc>
        <w:tc>
          <w:tcPr>
            <w:tcW w:w="3780" w:type="dxa"/>
            <w:shd w:val="clear" w:color="auto" w:fill="auto"/>
            <w:tcMar>
              <w:top w:w="58" w:type="dxa"/>
              <w:left w:w="58" w:type="dxa"/>
              <w:bottom w:w="58" w:type="dxa"/>
              <w:right w:w="58" w:type="dxa"/>
            </w:tcMar>
            <w:hideMark/>
          </w:tcPr>
          <w:p w14:paraId="0B1D201B" w14:textId="77777777" w:rsidR="004E62CB" w:rsidRPr="009201F1" w:rsidRDefault="004E62CB" w:rsidP="009201F1">
            <w:pPr>
              <w:spacing w:after="0"/>
            </w:pPr>
            <w:r w:rsidRPr="009201F1">
              <w:t>Obtain from Global</w:t>
            </w:r>
          </w:p>
        </w:tc>
      </w:tr>
      <w:tr w:rsidR="004E62CB" w:rsidRPr="009201F1" w14:paraId="432A42B6" w14:textId="77777777" w:rsidTr="009201F1">
        <w:trPr>
          <w:trHeight w:val="288"/>
        </w:trPr>
        <w:tc>
          <w:tcPr>
            <w:tcW w:w="5130" w:type="dxa"/>
            <w:shd w:val="clear" w:color="auto" w:fill="auto"/>
            <w:tcMar>
              <w:top w:w="58" w:type="dxa"/>
              <w:left w:w="58" w:type="dxa"/>
              <w:bottom w:w="58" w:type="dxa"/>
              <w:right w:w="58" w:type="dxa"/>
            </w:tcMar>
            <w:hideMark/>
          </w:tcPr>
          <w:p w14:paraId="5EE00366" w14:textId="5360E158" w:rsidR="004E62CB" w:rsidRPr="009201F1" w:rsidRDefault="004E62CB" w:rsidP="009201F1">
            <w:pPr>
              <w:spacing w:after="0"/>
            </w:pPr>
            <w:r w:rsidRPr="009201F1">
              <w:t>Program Office (e.g. SMC/RS Exec)</w:t>
            </w:r>
          </w:p>
        </w:tc>
        <w:tc>
          <w:tcPr>
            <w:tcW w:w="3780" w:type="dxa"/>
            <w:shd w:val="clear" w:color="auto" w:fill="auto"/>
            <w:tcMar>
              <w:top w:w="58" w:type="dxa"/>
              <w:left w:w="58" w:type="dxa"/>
              <w:bottom w:w="58" w:type="dxa"/>
              <w:right w:w="58" w:type="dxa"/>
            </w:tcMar>
            <w:hideMark/>
          </w:tcPr>
          <w:p w14:paraId="52EF58B0" w14:textId="77777777" w:rsidR="004E62CB" w:rsidRPr="009201F1" w:rsidRDefault="004E62CB" w:rsidP="009201F1">
            <w:pPr>
              <w:spacing w:after="0"/>
            </w:pPr>
            <w:r w:rsidRPr="009201F1">
              <w:t>Obtain from Global</w:t>
            </w:r>
          </w:p>
        </w:tc>
      </w:tr>
      <w:tr w:rsidR="004E62CB" w:rsidRPr="009201F1" w14:paraId="0E2C248F" w14:textId="77777777" w:rsidTr="009201F1">
        <w:trPr>
          <w:trHeight w:val="288"/>
        </w:trPr>
        <w:tc>
          <w:tcPr>
            <w:tcW w:w="5130" w:type="dxa"/>
            <w:shd w:val="clear" w:color="auto" w:fill="auto"/>
            <w:tcMar>
              <w:top w:w="58" w:type="dxa"/>
              <w:left w:w="58" w:type="dxa"/>
              <w:bottom w:w="58" w:type="dxa"/>
              <w:right w:w="58" w:type="dxa"/>
            </w:tcMar>
            <w:hideMark/>
          </w:tcPr>
          <w:p w14:paraId="1958086A" w14:textId="056BB791" w:rsidR="004E62CB" w:rsidRPr="009201F1" w:rsidRDefault="004E62CB" w:rsidP="009201F1">
            <w:pPr>
              <w:spacing w:after="0"/>
            </w:pPr>
            <w:r w:rsidRPr="009201F1">
              <w:lastRenderedPageBreak/>
              <w:t>PEO/S</w:t>
            </w:r>
            <w:r w:rsidR="002D3328" w:rsidRPr="009201F1">
              <w:t>P</w:t>
            </w:r>
            <w:r w:rsidRPr="009201F1">
              <w:t>(D, E, or P) Exec (when applicable)</w:t>
            </w:r>
          </w:p>
        </w:tc>
        <w:tc>
          <w:tcPr>
            <w:tcW w:w="3780" w:type="dxa"/>
            <w:shd w:val="clear" w:color="auto" w:fill="auto"/>
            <w:tcMar>
              <w:top w:w="58" w:type="dxa"/>
              <w:left w:w="58" w:type="dxa"/>
              <w:bottom w:w="58" w:type="dxa"/>
              <w:right w:w="58" w:type="dxa"/>
            </w:tcMar>
            <w:hideMark/>
          </w:tcPr>
          <w:p w14:paraId="61477A4F" w14:textId="77777777" w:rsidR="004E62CB" w:rsidRPr="009201F1" w:rsidRDefault="004E62CB" w:rsidP="009201F1">
            <w:pPr>
              <w:spacing w:after="0"/>
            </w:pPr>
            <w:r w:rsidRPr="009201F1">
              <w:t>Obtain from Global</w:t>
            </w:r>
          </w:p>
        </w:tc>
      </w:tr>
      <w:tr w:rsidR="004E62CB" w:rsidRPr="009201F1" w14:paraId="68195459" w14:textId="77777777" w:rsidTr="009201F1">
        <w:trPr>
          <w:trHeight w:val="288"/>
        </w:trPr>
        <w:tc>
          <w:tcPr>
            <w:tcW w:w="5130" w:type="dxa"/>
            <w:shd w:val="clear" w:color="auto" w:fill="auto"/>
            <w:tcMar>
              <w:top w:w="58" w:type="dxa"/>
              <w:left w:w="58" w:type="dxa"/>
              <w:bottom w:w="58" w:type="dxa"/>
              <w:right w:w="58" w:type="dxa"/>
            </w:tcMar>
            <w:hideMark/>
          </w:tcPr>
          <w:p w14:paraId="4E833F17" w14:textId="77777777" w:rsidR="004E62CB" w:rsidRPr="009201F1" w:rsidRDefault="004E62CB" w:rsidP="009201F1">
            <w:pPr>
              <w:spacing w:after="0"/>
            </w:pPr>
            <w:r w:rsidRPr="009201F1">
              <w:t>SMC/CCE</w:t>
            </w:r>
          </w:p>
        </w:tc>
        <w:tc>
          <w:tcPr>
            <w:tcW w:w="3780" w:type="dxa"/>
            <w:shd w:val="clear" w:color="auto" w:fill="auto"/>
            <w:tcMar>
              <w:top w:w="58" w:type="dxa"/>
              <w:left w:w="58" w:type="dxa"/>
              <w:bottom w:w="58" w:type="dxa"/>
              <w:right w:w="58" w:type="dxa"/>
            </w:tcMar>
            <w:hideMark/>
          </w:tcPr>
          <w:p w14:paraId="1C183797" w14:textId="71EACDBE" w:rsidR="004E62CB" w:rsidRPr="009201F1" w:rsidRDefault="000D4C22" w:rsidP="009201F1">
            <w:pPr>
              <w:spacing w:after="0"/>
            </w:pPr>
            <w:hyperlink r:id="rId43" w:history="1">
              <w:r w:rsidR="009201F1" w:rsidRPr="009201F1">
                <w:rPr>
                  <w:rStyle w:val="Hyperlink"/>
                </w:rPr>
                <w:t>smc.cce@us.af.mil</w:t>
              </w:r>
            </w:hyperlink>
            <w:r w:rsidR="009201F1" w:rsidRPr="009201F1">
              <w:t xml:space="preserve"> </w:t>
            </w:r>
          </w:p>
        </w:tc>
      </w:tr>
      <w:tr w:rsidR="004E62CB" w:rsidRPr="009201F1" w14:paraId="60AE2DD8" w14:textId="77777777" w:rsidTr="009201F1">
        <w:trPr>
          <w:trHeight w:val="288"/>
        </w:trPr>
        <w:tc>
          <w:tcPr>
            <w:tcW w:w="5130" w:type="dxa"/>
            <w:shd w:val="clear" w:color="auto" w:fill="auto"/>
            <w:tcMar>
              <w:top w:w="58" w:type="dxa"/>
              <w:left w:w="58" w:type="dxa"/>
              <w:bottom w:w="58" w:type="dxa"/>
              <w:right w:w="58" w:type="dxa"/>
            </w:tcMar>
            <w:hideMark/>
          </w:tcPr>
          <w:p w14:paraId="2EC5D8E3" w14:textId="77777777" w:rsidR="004E62CB" w:rsidRPr="009201F1" w:rsidRDefault="004E62CB" w:rsidP="009201F1">
            <w:pPr>
              <w:spacing w:after="0"/>
            </w:pPr>
            <w:r w:rsidRPr="009201F1">
              <w:t>SMC/CAE</w:t>
            </w:r>
          </w:p>
        </w:tc>
        <w:tc>
          <w:tcPr>
            <w:tcW w:w="3780" w:type="dxa"/>
            <w:shd w:val="clear" w:color="auto" w:fill="auto"/>
            <w:tcMar>
              <w:top w:w="58" w:type="dxa"/>
              <w:left w:w="58" w:type="dxa"/>
              <w:bottom w:w="58" w:type="dxa"/>
              <w:right w:w="58" w:type="dxa"/>
            </w:tcMar>
            <w:hideMark/>
          </w:tcPr>
          <w:p w14:paraId="771E4E49" w14:textId="21DB84F8" w:rsidR="004E62CB" w:rsidRPr="009201F1" w:rsidRDefault="000D4C22" w:rsidP="009201F1">
            <w:pPr>
              <w:spacing w:after="0"/>
            </w:pPr>
            <w:hyperlink r:id="rId44" w:history="1">
              <w:r w:rsidR="009201F1" w:rsidRPr="009201F1">
                <w:rPr>
                  <w:rStyle w:val="Hyperlink"/>
                </w:rPr>
                <w:t>smc.cae@us.af.mil</w:t>
              </w:r>
            </w:hyperlink>
            <w:r w:rsidR="009201F1" w:rsidRPr="009201F1">
              <w:t xml:space="preserve"> </w:t>
            </w:r>
          </w:p>
        </w:tc>
      </w:tr>
      <w:tr w:rsidR="004E62CB" w:rsidRPr="009201F1" w14:paraId="23657C6E" w14:textId="77777777" w:rsidTr="009201F1">
        <w:trPr>
          <w:trHeight w:val="576"/>
        </w:trPr>
        <w:tc>
          <w:tcPr>
            <w:tcW w:w="5130" w:type="dxa"/>
            <w:shd w:val="clear" w:color="auto" w:fill="auto"/>
            <w:tcMar>
              <w:top w:w="58" w:type="dxa"/>
              <w:left w:w="58" w:type="dxa"/>
              <w:bottom w:w="58" w:type="dxa"/>
              <w:right w:w="58" w:type="dxa"/>
            </w:tcMar>
            <w:hideMark/>
          </w:tcPr>
          <w:p w14:paraId="4699354C" w14:textId="163390FD" w:rsidR="004E62CB" w:rsidRPr="009201F1" w:rsidRDefault="004E62CB" w:rsidP="009201F1">
            <w:pPr>
              <w:spacing w:after="0"/>
            </w:pPr>
            <w:r w:rsidRPr="009201F1">
              <w:t xml:space="preserve">SAF/AQC (when applicable </w:t>
            </w:r>
            <w:r w:rsidR="002D3328" w:rsidRPr="009201F1">
              <w:t>IAW</w:t>
            </w:r>
            <w:r w:rsidRPr="009201F1">
              <w:t xml:space="preserve"> AFFARS MP5315.3, para 1.4.2.2.7)</w:t>
            </w:r>
          </w:p>
        </w:tc>
        <w:tc>
          <w:tcPr>
            <w:tcW w:w="3780" w:type="dxa"/>
            <w:shd w:val="clear" w:color="auto" w:fill="auto"/>
            <w:tcMar>
              <w:top w:w="58" w:type="dxa"/>
              <w:left w:w="58" w:type="dxa"/>
              <w:bottom w:w="58" w:type="dxa"/>
              <w:right w:w="58" w:type="dxa"/>
            </w:tcMar>
            <w:hideMark/>
          </w:tcPr>
          <w:p w14:paraId="7E9E8BC8" w14:textId="7E050F16" w:rsidR="004E62CB" w:rsidRPr="009201F1" w:rsidRDefault="000D4C22" w:rsidP="009201F1">
            <w:pPr>
              <w:spacing w:after="0"/>
            </w:pPr>
            <w:hyperlink r:id="rId45" w:history="1">
              <w:r w:rsidR="009201F1" w:rsidRPr="009201F1">
                <w:rPr>
                  <w:rStyle w:val="Hyperlink"/>
                </w:rPr>
                <w:t>usaf.pentagon.saf-aq.mbx.saf-aqc-workflow@mail.mil</w:t>
              </w:r>
            </w:hyperlink>
            <w:r w:rsidR="009201F1" w:rsidRPr="009201F1">
              <w:t xml:space="preserve"> </w:t>
            </w:r>
          </w:p>
        </w:tc>
      </w:tr>
    </w:tbl>
    <w:p w14:paraId="2222D003" w14:textId="77777777" w:rsidR="001C3F4E" w:rsidRPr="009201F1" w:rsidRDefault="001C3F4E" w:rsidP="00473288">
      <w:pPr>
        <w:spacing w:after="0"/>
        <w:rPr>
          <w:b/>
        </w:rPr>
      </w:pPr>
      <w:bookmarkStart w:id="30" w:name="_SMC_PGI_5315.3_3"/>
      <w:bookmarkEnd w:id="30"/>
    </w:p>
    <w:p w14:paraId="1C7B64A3" w14:textId="77777777" w:rsidR="001C3F4E" w:rsidRPr="009201F1" w:rsidRDefault="00473288" w:rsidP="00977580">
      <w:pPr>
        <w:pStyle w:val="Heading3"/>
      </w:pPr>
      <w:r w:rsidRPr="009201F1">
        <w:t>SMC PGI 5315.</w:t>
      </w:r>
      <w:r w:rsidR="00B75000" w:rsidRPr="009201F1">
        <w:t>3</w:t>
      </w:r>
      <w:r w:rsidR="0047140D" w:rsidRPr="009201F1">
        <w:t xml:space="preserve"> </w:t>
      </w:r>
      <w:r w:rsidR="00B75000" w:rsidRPr="009201F1">
        <w:t>(</w:t>
      </w:r>
      <w:r w:rsidR="005B6507" w:rsidRPr="009201F1">
        <w:t>2</w:t>
      </w:r>
      <w:r w:rsidR="004A6EEB" w:rsidRPr="009201F1">
        <w:t xml:space="preserve">) </w:t>
      </w:r>
      <w:r w:rsidR="005B6507" w:rsidRPr="009201F1">
        <w:t xml:space="preserve"> </w:t>
      </w:r>
      <w:r w:rsidR="004A6EEB" w:rsidRPr="009201F1">
        <w:t xml:space="preserve"> </w:t>
      </w:r>
      <w:r w:rsidR="00FE239B" w:rsidRPr="009201F1">
        <w:t>Pre-</w:t>
      </w:r>
      <w:r w:rsidR="004A6EEB" w:rsidRPr="009201F1">
        <w:t>s</w:t>
      </w:r>
      <w:r w:rsidR="00FE239B" w:rsidRPr="009201F1">
        <w:t>olicitation Activities</w:t>
      </w:r>
    </w:p>
    <w:p w14:paraId="601FD369" w14:textId="77777777" w:rsidR="001C3F4E" w:rsidRPr="009201F1" w:rsidRDefault="00473288" w:rsidP="00473288">
      <w:pPr>
        <w:spacing w:after="0"/>
      </w:pPr>
      <w:r w:rsidRPr="009201F1">
        <w:t xml:space="preserve">The </w:t>
      </w:r>
      <w:r w:rsidR="00087B64" w:rsidRPr="009201F1">
        <w:t>PCO</w:t>
      </w:r>
      <w:r w:rsidRPr="009201F1">
        <w:t xml:space="preserve"> is the focal point for all information exchanges to ensure competition integrity and procurement integrity procedures are closely followed</w:t>
      </w:r>
      <w:r w:rsidR="00662E53" w:rsidRPr="009201F1">
        <w:t>,</w:t>
      </w:r>
      <w:r w:rsidRPr="009201F1">
        <w:t xml:space="preserve"> and </w:t>
      </w:r>
      <w:r w:rsidR="004B6816" w:rsidRPr="009201F1">
        <w:t xml:space="preserve">will </w:t>
      </w:r>
      <w:r w:rsidRPr="009201F1">
        <w:t xml:space="preserve">ensure all personnel on the acquisition team understand the significance and necessity of this structured approach to disseminating information.  </w:t>
      </w:r>
      <w:bookmarkStart w:id="31" w:name="_SMC_PGI_5315.3_4"/>
      <w:bookmarkEnd w:id="31"/>
    </w:p>
    <w:p w14:paraId="4B5FA6CA" w14:textId="77777777" w:rsidR="001C3F4E" w:rsidRPr="009201F1" w:rsidRDefault="002061D1" w:rsidP="00977580">
      <w:pPr>
        <w:pStyle w:val="Heading3"/>
      </w:pPr>
      <w:r w:rsidRPr="009201F1">
        <w:t>SMC PGI 5315.3 (2</w:t>
      </w:r>
      <w:r w:rsidR="00B46E19" w:rsidRPr="009201F1">
        <w:t xml:space="preserve">.1.2.1) </w:t>
      </w:r>
      <w:r w:rsidR="0047140D" w:rsidRPr="009201F1">
        <w:t xml:space="preserve">  </w:t>
      </w:r>
      <w:r w:rsidR="00B46E19" w:rsidRPr="009201F1">
        <w:t>Pre</w:t>
      </w:r>
      <w:r w:rsidR="0047140D" w:rsidRPr="009201F1">
        <w:t>-</w:t>
      </w:r>
      <w:r w:rsidR="00B46E19" w:rsidRPr="009201F1">
        <w:t>solicitation Notices</w:t>
      </w:r>
    </w:p>
    <w:p w14:paraId="01B40447" w14:textId="77777777" w:rsidR="001C3F4E" w:rsidRPr="009201F1" w:rsidRDefault="002061D1" w:rsidP="002061D1">
      <w:pPr>
        <w:spacing w:after="0"/>
      </w:pPr>
      <w:r w:rsidRPr="009201F1">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w:t>
      </w:r>
      <w:r w:rsidR="007F5B7F" w:rsidRPr="009201F1">
        <w:t>G</w:t>
      </w:r>
      <w:r w:rsidRPr="009201F1">
        <w:t xml:space="preserve">overnment requirements.  </w:t>
      </w:r>
      <w:r w:rsidR="00087B64" w:rsidRPr="009201F1">
        <w:t>PCOs</w:t>
      </w:r>
      <w:r w:rsidRPr="009201F1">
        <w:t xml:space="preserve"> should ensure the requirements at FAR 15.209(c) are followed and FAR clause 52.215-3, “Request for Information or Solicitation for Planning Purposes”, is included in the RFI.</w:t>
      </w:r>
    </w:p>
    <w:p w14:paraId="6C874A01" w14:textId="77777777" w:rsidR="001C3F4E" w:rsidRPr="009201F1" w:rsidRDefault="002061D1" w:rsidP="00977580">
      <w:pPr>
        <w:pStyle w:val="List1"/>
      </w:pPr>
      <w:r w:rsidRPr="009201F1">
        <w:t>(</w:t>
      </w:r>
      <w:r w:rsidR="00B46E19" w:rsidRPr="009201F1">
        <w:t>a</w:t>
      </w:r>
      <w:r w:rsidRPr="009201F1">
        <w:t xml:space="preserve">) Call for Concepts (or Concept Data Call) – a type of RFI in which the Government seeks industry information to understand state-of-the-art technologies and recommendations to formulate initial capability documents and/or identify </w:t>
      </w:r>
      <w:r w:rsidR="007F5B7F" w:rsidRPr="009201F1">
        <w:t>G</w:t>
      </w:r>
      <w:r w:rsidRPr="009201F1">
        <w:t>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14:paraId="5D1CB805" w14:textId="77777777" w:rsidR="001C3F4E" w:rsidRPr="009201F1" w:rsidRDefault="002061D1" w:rsidP="00977580">
      <w:pPr>
        <w:pStyle w:val="List1"/>
      </w:pPr>
      <w:r w:rsidRPr="009201F1">
        <w:t>(</w:t>
      </w:r>
      <w:r w:rsidR="00B46E19" w:rsidRPr="009201F1">
        <w:t>b</w:t>
      </w:r>
      <w:r w:rsidR="00225BB2" w:rsidRPr="009201F1">
        <w:t>)</w:t>
      </w:r>
      <w:r w:rsidRPr="009201F1">
        <w:t xml:space="preserve">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14:paraId="2095BA51" w14:textId="77777777" w:rsidR="001C3F4E" w:rsidRPr="009201F1" w:rsidRDefault="002061D1" w:rsidP="00977580">
      <w:pPr>
        <w:pStyle w:val="List1"/>
      </w:pPr>
      <w:r w:rsidRPr="009201F1">
        <w:t>(</w:t>
      </w:r>
      <w:r w:rsidR="00B46E19" w:rsidRPr="009201F1">
        <w:t>c</w:t>
      </w:r>
      <w:r w:rsidRPr="009201F1">
        <w:t xml:space="preserve">) Rough Order of Magnitude (ROM) – a type of RFI in which an estimate is provided by industry at the </w:t>
      </w:r>
      <w:r w:rsidR="007F5B7F" w:rsidRPr="009201F1">
        <w:t>G</w:t>
      </w:r>
      <w:r w:rsidRPr="009201F1">
        <w:t xml:space="preserve">overnment’s request and may be used in the early stages of technology development or in a project when the scope and technical requirements have not been fully defined.  Requesting a ROM may also be useful to the </w:t>
      </w:r>
      <w:r w:rsidR="007F5B7F" w:rsidRPr="009201F1">
        <w:t>G</w:t>
      </w:r>
      <w:r w:rsidRPr="009201F1">
        <w:t xml:space="preserve">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 </w:t>
      </w:r>
      <w:bookmarkStart w:id="32" w:name="_SMC_PGI_5315.3_5"/>
      <w:bookmarkEnd w:id="32"/>
    </w:p>
    <w:p w14:paraId="1131FCB8" w14:textId="77777777" w:rsidR="001C3F4E" w:rsidRPr="009201F1" w:rsidRDefault="00FE239B" w:rsidP="00977580">
      <w:pPr>
        <w:pStyle w:val="Heading3"/>
      </w:pPr>
      <w:r w:rsidRPr="009201F1">
        <w:lastRenderedPageBreak/>
        <w:t xml:space="preserve">SMC PGI 5315.3 (2.1.2.2) </w:t>
      </w:r>
      <w:r w:rsidR="0047140D" w:rsidRPr="009201F1">
        <w:t xml:space="preserve">  </w:t>
      </w:r>
      <w:r w:rsidRPr="009201F1">
        <w:t>Indu</w:t>
      </w:r>
      <w:r w:rsidR="00B46E19" w:rsidRPr="009201F1">
        <w:t>stry Engagement/Industry Days</w:t>
      </w:r>
      <w:r w:rsidRPr="009201F1">
        <w:t xml:space="preserve">  </w:t>
      </w:r>
    </w:p>
    <w:p w14:paraId="22EB228B" w14:textId="77777777" w:rsidR="001C3F4E" w:rsidRPr="009201F1" w:rsidRDefault="004E62CB" w:rsidP="00977580">
      <w:pPr>
        <w:pStyle w:val="List1"/>
      </w:pPr>
      <w:r w:rsidRPr="009201F1">
        <w:t xml:space="preserve">(a) </w:t>
      </w:r>
      <w:r w:rsidR="00097E30" w:rsidRPr="009201F1">
        <w:t>Industry days and c</w:t>
      </w:r>
      <w:r w:rsidR="00473288" w:rsidRPr="009201F1">
        <w:t xml:space="preserve">onferences should </w:t>
      </w:r>
      <w:r w:rsidR="00097E30" w:rsidRPr="009201F1">
        <w:t xml:space="preserve">generally </w:t>
      </w:r>
      <w:r w:rsidR="00473288" w:rsidRPr="009201F1">
        <w:t xml:space="preserve">be scheduled with at least a two week period between public notification and the actual </w:t>
      </w:r>
      <w:r w:rsidR="00097E30" w:rsidRPr="009201F1">
        <w:t xml:space="preserve">event to allow time for </w:t>
      </w:r>
      <w:r w:rsidR="00FE239B" w:rsidRPr="009201F1">
        <w:t>t</w:t>
      </w:r>
      <w:r w:rsidR="00097E30" w:rsidRPr="009201F1">
        <w:t>ravel planning and to coordinate base access</w:t>
      </w:r>
      <w:r w:rsidR="00473288" w:rsidRPr="009201F1">
        <w:t>.  </w:t>
      </w:r>
      <w:r w:rsidR="002061D1" w:rsidRPr="009201F1">
        <w:t xml:space="preserve">A public notice, advising of an upcoming pre-solicitation or industry day conference should be posted to the </w:t>
      </w:r>
      <w:r w:rsidR="009201F1" w:rsidRPr="009201F1">
        <w:t xml:space="preserve">Government Point of Entry (GPE) </w:t>
      </w:r>
      <w:r w:rsidR="002061D1" w:rsidRPr="009201F1">
        <w:t xml:space="preserve">website.  </w:t>
      </w:r>
      <w:r w:rsidR="00473288" w:rsidRPr="009201F1">
        <w:t xml:space="preserve">Ensure the public notice adequately explains the visitor control process and requirement for advance notification to the </w:t>
      </w:r>
      <w:r w:rsidR="00CE6070" w:rsidRPr="009201F1">
        <w:t>PCO</w:t>
      </w:r>
      <w:r w:rsidR="00473288" w:rsidRPr="009201F1">
        <w:t xml:space="preserve"> to allow adequate time to coordinate base and facility access for the conference attendees.   </w:t>
      </w:r>
    </w:p>
    <w:p w14:paraId="011F9643" w14:textId="77777777" w:rsidR="001C3F4E" w:rsidRPr="009201F1" w:rsidRDefault="00D363B2" w:rsidP="00977580">
      <w:pPr>
        <w:pStyle w:val="List2"/>
      </w:pPr>
      <w:r w:rsidRPr="009201F1">
        <w:t>(1)</w:t>
      </w:r>
      <w:r w:rsidR="00473288" w:rsidRPr="009201F1">
        <w:t xml:space="preserve"> The </w:t>
      </w:r>
      <w:r w:rsidR="00087B64" w:rsidRPr="009201F1">
        <w:t>PCO</w:t>
      </w:r>
      <w:r w:rsidR="00473288" w:rsidRPr="009201F1">
        <w:t xml:space="preserve">, working closely with the program management team, should prepare an agenda for the conference to include handouts, briefing charts, etc., as applicable.  </w:t>
      </w:r>
    </w:p>
    <w:p w14:paraId="7574B719" w14:textId="77777777" w:rsidR="001C3F4E" w:rsidRPr="009201F1" w:rsidRDefault="00D363B2" w:rsidP="00977580">
      <w:pPr>
        <w:pStyle w:val="List2"/>
      </w:pPr>
      <w:r w:rsidRPr="009201F1">
        <w:t>(2)</w:t>
      </w:r>
      <w:r w:rsidR="00473288" w:rsidRPr="009201F1">
        <w:t xml:space="preserve"> A secretary/recorder should be assigned to ensure all exchanges and discussions are captured.  Depending on the acquisition complexity, it may be prudent to have more than one individual documenting the discussions and questions and answers during the conference.</w:t>
      </w:r>
    </w:p>
    <w:p w14:paraId="712A9301" w14:textId="77777777" w:rsidR="001C3F4E" w:rsidRPr="009201F1" w:rsidRDefault="00D363B2" w:rsidP="00977580">
      <w:pPr>
        <w:pStyle w:val="List1"/>
      </w:pPr>
      <w:r w:rsidRPr="009201F1">
        <w:t>(</w:t>
      </w:r>
      <w:r w:rsidR="00FE239B" w:rsidRPr="009201F1">
        <w:t>b</w:t>
      </w:r>
      <w:r w:rsidRPr="009201F1">
        <w:t>)</w:t>
      </w:r>
      <w:r w:rsidR="00473288" w:rsidRPr="009201F1">
        <w:t xml:space="preserve"> As soon as possible after the conclusion of the conference, the acquisition team should meet and discuss all notes and records and conclude drafting official minutes and other conference discussion documentation.   </w:t>
      </w:r>
      <w:r w:rsidR="00097E30" w:rsidRPr="009201F1">
        <w:t>I</w:t>
      </w:r>
      <w:r w:rsidR="00473288" w:rsidRPr="009201F1">
        <w:t xml:space="preserve">nformation discussed during the conference, including answers to questions, should be </w:t>
      </w:r>
      <w:r w:rsidR="00097E30" w:rsidRPr="009201F1">
        <w:t>shared with industry by</w:t>
      </w:r>
      <w:r w:rsidR="00774D44" w:rsidRPr="009201F1">
        <w:t xml:space="preserve"> posting it</w:t>
      </w:r>
      <w:r w:rsidR="00097E30" w:rsidRPr="009201F1">
        <w:t xml:space="preserve"> </w:t>
      </w:r>
      <w:r w:rsidR="00473288" w:rsidRPr="009201F1">
        <w:t xml:space="preserve">to the program website (if one has been set up), the </w:t>
      </w:r>
      <w:r w:rsidR="00673A01">
        <w:t>GPE</w:t>
      </w:r>
      <w:r w:rsidR="00473288" w:rsidRPr="009201F1">
        <w:t xml:space="preserve"> website, or includ</w:t>
      </w:r>
      <w:r w:rsidR="00097E30" w:rsidRPr="009201F1">
        <w:t>ing</w:t>
      </w:r>
      <w:r w:rsidR="00774D44" w:rsidRPr="009201F1">
        <w:t xml:space="preserve"> it</w:t>
      </w:r>
      <w:r w:rsidR="00473288" w:rsidRPr="009201F1">
        <w:t xml:space="preserve"> in a DRFP amendment, if appropriate.</w:t>
      </w:r>
      <w:bookmarkStart w:id="33" w:name="_SMC_PGI_5315.3_6"/>
      <w:bookmarkEnd w:id="33"/>
    </w:p>
    <w:p w14:paraId="5AD0B46B" w14:textId="77777777" w:rsidR="001C3F4E" w:rsidRPr="009201F1" w:rsidRDefault="00FE239B" w:rsidP="00977580">
      <w:pPr>
        <w:pStyle w:val="Heading3"/>
      </w:pPr>
      <w:r w:rsidRPr="009201F1">
        <w:t xml:space="preserve">SMC PGI 5315.3 (2.1.2.3) </w:t>
      </w:r>
      <w:r w:rsidR="0047140D" w:rsidRPr="009201F1">
        <w:t xml:space="preserve">  </w:t>
      </w:r>
      <w:r w:rsidRPr="009201F1">
        <w:t>Dr</w:t>
      </w:r>
      <w:r w:rsidR="00BD5872" w:rsidRPr="009201F1">
        <w:t>aft Request for Proposals (RFP)</w:t>
      </w:r>
    </w:p>
    <w:p w14:paraId="12541BBF" w14:textId="77777777" w:rsidR="001C3F4E" w:rsidRPr="00673A01" w:rsidRDefault="00473288" w:rsidP="00473288">
      <w:pPr>
        <w:spacing w:after="0"/>
      </w:pPr>
      <w:r w:rsidRPr="00673A01">
        <w:t xml:space="preserve">Release of a draft RFP (DRFP) is </w:t>
      </w:r>
      <w:r w:rsidR="004B6816" w:rsidRPr="00673A01">
        <w:t>st</w:t>
      </w:r>
      <w:r w:rsidR="004479CC" w:rsidRPr="00673A01">
        <w:t>r</w:t>
      </w:r>
      <w:r w:rsidR="004B6816" w:rsidRPr="00673A01">
        <w:t xml:space="preserve">ongly suggested </w:t>
      </w:r>
      <w:r w:rsidRPr="00673A01">
        <w:t xml:space="preserve">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w:t>
      </w:r>
      <w:r w:rsidR="00CE6070" w:rsidRPr="00673A01">
        <w:t>PCO</w:t>
      </w:r>
      <w:r w:rsidRPr="00673A01">
        <w:t xml:space="preserve"> to provide for a shorter window of time between final RFP release and proposal receipt.  Note, however, that if the draft RFP is substantially different from the final RFP, the </w:t>
      </w:r>
      <w:r w:rsidR="00087B64" w:rsidRPr="00673A01">
        <w:t>PCO</w:t>
      </w:r>
      <w:r w:rsidRPr="00673A01">
        <w:t xml:space="preserve"> may need provide additional time for offerors to adjust their proposals.  </w:t>
      </w:r>
      <w:bookmarkStart w:id="34" w:name="_SMC_PGI_5315.3_7"/>
      <w:bookmarkEnd w:id="34"/>
    </w:p>
    <w:p w14:paraId="54E6EC92" w14:textId="77777777" w:rsidR="001C3F4E" w:rsidRPr="009201F1" w:rsidRDefault="00473288" w:rsidP="00673A01">
      <w:pPr>
        <w:pStyle w:val="Heading3"/>
      </w:pPr>
      <w:r w:rsidRPr="009201F1">
        <w:t>SMC PGI 5315.3</w:t>
      </w:r>
      <w:r w:rsidR="00E2101D" w:rsidRPr="009201F1">
        <w:t xml:space="preserve"> (</w:t>
      </w:r>
      <w:r w:rsidR="00D40BBF" w:rsidRPr="009201F1">
        <w:t>4.</w:t>
      </w:r>
      <w:r w:rsidR="00C672E3" w:rsidRPr="009201F1">
        <w:t>3</w:t>
      </w:r>
      <w:r w:rsidR="00E2101D" w:rsidRPr="009201F1">
        <w:t>)</w:t>
      </w:r>
      <w:r w:rsidR="00D7473D" w:rsidRPr="009201F1">
        <w:t xml:space="preserve"> </w:t>
      </w:r>
      <w:r w:rsidR="0047140D" w:rsidRPr="009201F1">
        <w:t xml:space="preserve">  </w:t>
      </w:r>
      <w:r w:rsidR="00D7473D" w:rsidRPr="009201F1">
        <w:t>Additional Guidance and Tailorable Templates</w:t>
      </w:r>
    </w:p>
    <w:p w14:paraId="3D797A31" w14:textId="77777777" w:rsidR="001C3F4E" w:rsidRPr="00673A01" w:rsidRDefault="00673A01" w:rsidP="00977580">
      <w:pPr>
        <w:rPr>
          <w:szCs w:val="24"/>
        </w:rPr>
      </w:pPr>
      <w:r w:rsidRPr="00673A01">
        <w:rPr>
          <w:rFonts w:eastAsia="Times New Roman"/>
          <w:color w:val="000000"/>
          <w:szCs w:val="24"/>
        </w:rPr>
        <w:t>See SMC templates and guidance on the </w:t>
      </w:r>
      <w:hyperlink r:id="rId46" w:history="1">
        <w:r w:rsidRPr="00673A01">
          <w:rPr>
            <w:rStyle w:val="Hyperlink"/>
            <w:rFonts w:eastAsia="Times New Roman"/>
            <w:szCs w:val="24"/>
          </w:rPr>
          <w:t>SMC APEX website</w:t>
        </w:r>
      </w:hyperlink>
      <w:r>
        <w:rPr>
          <w:rFonts w:eastAsia="Times New Roman"/>
          <w:color w:val="000000"/>
          <w:szCs w:val="24"/>
        </w:rPr>
        <w:t>.</w:t>
      </w:r>
      <w:bookmarkStart w:id="35" w:name="_SMC_PGI_5315.404-1-90"/>
      <w:bookmarkEnd w:id="35"/>
    </w:p>
    <w:p w14:paraId="2910E973" w14:textId="77777777" w:rsidR="001C3F4E" w:rsidRPr="009201F1" w:rsidRDefault="00C62EC5" w:rsidP="00977580">
      <w:pPr>
        <w:pStyle w:val="Heading3"/>
        <w:rPr>
          <w:lang w:val="en"/>
        </w:rPr>
      </w:pPr>
      <w:r w:rsidRPr="009201F1">
        <w:rPr>
          <w:bCs/>
          <w:lang w:val="en"/>
        </w:rPr>
        <w:t>SMC PGI 5315.404-1-90   Pricing Assistance or Pricing Assistance Waiver</w:t>
      </w:r>
    </w:p>
    <w:p w14:paraId="7519DDFF" w14:textId="77777777" w:rsidR="001C3F4E" w:rsidRPr="009201F1" w:rsidRDefault="00C62EC5" w:rsidP="00977580">
      <w:pPr>
        <w:pStyle w:val="List1"/>
        <w:rPr>
          <w:lang w:val="en"/>
        </w:rPr>
      </w:pPr>
      <w:r w:rsidRPr="009201F1">
        <w:rPr>
          <w:bCs/>
          <w:lang w:val="en"/>
        </w:rPr>
        <w:t xml:space="preserve">(a) The requirement for mandatory pricing assistance for sole source PEO (Systems) valued at $25M or more and sole source Enterprise actions under $100M is waived (see </w:t>
      </w:r>
      <w:r w:rsidRPr="009201F1">
        <w:rPr>
          <w:rFonts w:eastAsia="Times New Roman"/>
          <w:lang w:val="en"/>
        </w:rPr>
        <w:t>“</w:t>
      </w:r>
      <w:hyperlink r:id="rId47" w:history="1">
        <w:r w:rsidRPr="009201F1">
          <w:rPr>
            <w:rStyle w:val="Hyperlink"/>
            <w:rFonts w:eastAsia="Times New Roman"/>
            <w:lang w:val="en"/>
          </w:rPr>
          <w:t>Delegation of Clearance Approval Authorities and Waiver of Pricing Assistance Threshold</w:t>
        </w:r>
      </w:hyperlink>
      <w:r w:rsidRPr="009201F1">
        <w:rPr>
          <w:rFonts w:eastAsia="Times New Roman"/>
          <w:lang w:val="en"/>
        </w:rPr>
        <w:t>” memo dated 01 Oct 19)</w:t>
      </w:r>
      <w:r w:rsidRPr="009201F1">
        <w:rPr>
          <w:bCs/>
          <w:lang w:val="en"/>
        </w:rPr>
        <w:t xml:space="preserve">.  Contracting officers may request pricing assistance for contract actions below $100M on a case-by-case basis.  </w:t>
      </w:r>
      <w:bookmarkStart w:id="36" w:name="_SMC_PGI_5315.406-3"/>
      <w:bookmarkEnd w:id="36"/>
    </w:p>
    <w:p w14:paraId="6AC303C7" w14:textId="77777777" w:rsidR="001C3F4E" w:rsidRPr="009201F1" w:rsidRDefault="00621C6E" w:rsidP="00977580">
      <w:pPr>
        <w:pStyle w:val="Heading3"/>
      </w:pPr>
      <w:r w:rsidRPr="009201F1">
        <w:lastRenderedPageBreak/>
        <w:t xml:space="preserve">SMC PGI 5315.406-3 </w:t>
      </w:r>
      <w:r w:rsidR="0047140D" w:rsidRPr="009201F1">
        <w:t xml:space="preserve">  </w:t>
      </w:r>
      <w:r w:rsidRPr="009201F1">
        <w:t>Documenting the Negotiation  </w:t>
      </w:r>
    </w:p>
    <w:p w14:paraId="76AD34EF" w14:textId="5674D111" w:rsidR="00621C6E" w:rsidRPr="009201F1" w:rsidRDefault="00080F7B" w:rsidP="00977580">
      <w:pPr>
        <w:pStyle w:val="List1"/>
      </w:pPr>
      <w:r w:rsidRPr="009201F1">
        <w:t>(a)</w:t>
      </w:r>
      <w:r w:rsidR="00B35F64" w:rsidRPr="009201F1">
        <w:t xml:space="preserve"> </w:t>
      </w:r>
      <w:r w:rsidR="005C12FF" w:rsidRPr="009201F1">
        <w:t xml:space="preserve">See SMC PNM templates and guidance under Sole Source Evaluation (SSE) in the </w:t>
      </w:r>
      <w:hyperlink r:id="rId48" w:anchor="comp" w:history="1">
        <w:r w:rsidR="005C12FF" w:rsidRPr="009201F1">
          <w:rPr>
            <w:rStyle w:val="Hyperlink"/>
          </w:rPr>
          <w:t>SMC/PKF Pricing Corner</w:t>
        </w:r>
      </w:hyperlink>
      <w:r w:rsidR="005C12FF" w:rsidRPr="009201F1">
        <w:t>.</w:t>
      </w:r>
    </w:p>
    <w:p w14:paraId="2646C617" w14:textId="77777777" w:rsidR="001C3F4E" w:rsidRPr="009201F1" w:rsidRDefault="00080F7B" w:rsidP="00977580">
      <w:pPr>
        <w:pStyle w:val="List1"/>
      </w:pPr>
      <w:r w:rsidRPr="009201F1">
        <w:t>(a)(10)</w:t>
      </w:r>
      <w:r w:rsidR="002A49BC" w:rsidRPr="009201F1">
        <w:t xml:space="preserve"> </w:t>
      </w:r>
      <w:r w:rsidR="00621C6E" w:rsidRPr="009201F1">
        <w:t xml:space="preserve">Economic analyses and other forecasting reports can be attained from Global Insight at </w:t>
      </w:r>
      <w:hyperlink r:id="rId49" w:history="1">
        <w:r w:rsidR="00621C6E" w:rsidRPr="009201F1">
          <w:rPr>
            <w:rStyle w:val="Hyperlink"/>
          </w:rPr>
          <w:t>http://www.globalinsight.com/About/</w:t>
        </w:r>
      </w:hyperlink>
      <w:r w:rsidR="00621C6E" w:rsidRPr="009201F1">
        <w:t>.</w:t>
      </w:r>
    </w:p>
    <w:p w14:paraId="14A65CB5" w14:textId="77777777" w:rsidR="001C3F4E" w:rsidRPr="009201F1" w:rsidRDefault="002A49BC" w:rsidP="00977580">
      <w:pPr>
        <w:pStyle w:val="List1"/>
      </w:pPr>
      <w:r w:rsidRPr="009201F1">
        <w:t xml:space="preserve">(a)(11) See </w:t>
      </w:r>
      <w:hyperlink r:id="rId50" w:history="1">
        <w:r w:rsidRPr="009201F1">
          <w:rPr>
            <w:rStyle w:val="Hyperlink"/>
          </w:rPr>
          <w:t>Determining Price Fair and Reasonable Point of Need Training</w:t>
        </w:r>
      </w:hyperlink>
      <w:r w:rsidRPr="009201F1">
        <w:t xml:space="preserve">. </w:t>
      </w:r>
    </w:p>
    <w:p w14:paraId="1FCCC039" w14:textId="4D3F44EC" w:rsidR="00977580" w:rsidRPr="009201F1" w:rsidRDefault="00977580" w:rsidP="00977580">
      <w:r w:rsidRPr="009201F1">
        <w:rPr>
          <w:b/>
        </w:rPr>
        <w:br w:type="page"/>
      </w:r>
    </w:p>
    <w:p w14:paraId="28079AE9" w14:textId="77777777" w:rsidR="001C3F4E" w:rsidRPr="009201F1" w:rsidRDefault="00977580" w:rsidP="00977580">
      <w:pPr>
        <w:pStyle w:val="Heading2"/>
        <w:rPr>
          <w:b w:val="0"/>
        </w:rPr>
      </w:pPr>
      <w:r w:rsidRPr="009201F1">
        <w:lastRenderedPageBreak/>
        <w:t>USAFA PGI 5315</w:t>
      </w:r>
      <w:r w:rsidRPr="009201F1">
        <w:rPr>
          <w:b w:val="0"/>
        </w:rPr>
        <w:br/>
      </w:r>
      <w:r w:rsidRPr="009201F1">
        <w:t>Contracting by Negotiation</w:t>
      </w:r>
      <w:bookmarkStart w:id="37" w:name="_USAFA_PGI_5315.3"/>
      <w:bookmarkEnd w:id="37"/>
    </w:p>
    <w:p w14:paraId="5F95079E" w14:textId="77777777" w:rsidR="001C3F4E" w:rsidRPr="009201F1" w:rsidRDefault="00F70EDF" w:rsidP="00977580">
      <w:pPr>
        <w:pStyle w:val="Heading3"/>
      </w:pPr>
      <w:r w:rsidRPr="009201F1">
        <w:t>USAFA</w:t>
      </w:r>
      <w:r w:rsidR="00A10F17" w:rsidRPr="009201F1">
        <w:t xml:space="preserve"> PGI 5315.3 (</w:t>
      </w:r>
      <w:r w:rsidR="00B463E9" w:rsidRPr="009201F1">
        <w:t>1.4.1</w:t>
      </w:r>
      <w:r w:rsidR="00A10F17" w:rsidRPr="009201F1">
        <w:t>.1)</w:t>
      </w:r>
      <w:r w:rsidR="00260928" w:rsidRPr="009201F1">
        <w:t xml:space="preserve"> </w:t>
      </w:r>
      <w:r w:rsidR="0047140D" w:rsidRPr="009201F1">
        <w:t xml:space="preserve">  </w:t>
      </w:r>
      <w:r w:rsidR="00005E28" w:rsidRPr="009201F1">
        <w:t>SSA Appointment</w:t>
      </w:r>
      <w:r w:rsidR="0041398A" w:rsidRPr="009201F1">
        <w:t xml:space="preserve"> </w:t>
      </w:r>
    </w:p>
    <w:p w14:paraId="07CA6D2E" w14:textId="77777777" w:rsidR="001C3F4E" w:rsidRPr="009201F1" w:rsidRDefault="00C74043" w:rsidP="003669DA">
      <w:pPr>
        <w:rPr>
          <w:szCs w:val="24"/>
        </w:rPr>
      </w:pPr>
      <w:r w:rsidRPr="009201F1">
        <w:rPr>
          <w:szCs w:val="24"/>
        </w:rPr>
        <w:t xml:space="preserve">Contracting Officers should refer to the USAFA/PK authorities and delegations site concerning specific COCO designations, delegations and authorities at </w:t>
      </w:r>
      <w:hyperlink r:id="rId51" w:anchor="/SitePages/Home.aspx" w:history="1">
        <w:r w:rsidRPr="009201F1">
          <w:rPr>
            <w:rStyle w:val="Hyperlink"/>
            <w:szCs w:val="24"/>
          </w:rPr>
          <w:t>https://cs2.eis.af.mil/sites/13093/PP/USAFA_PK/_layouts/15/start.aspx#/SitePages/Home.aspx</w:t>
        </w:r>
      </w:hyperlink>
    </w:p>
    <w:p w14:paraId="1BADCECC" w14:textId="7BCB41D1" w:rsidR="003669DA" w:rsidRPr="009201F1" w:rsidRDefault="003669DA">
      <w:pPr>
        <w:spacing w:after="0"/>
      </w:pPr>
    </w:p>
    <w:sectPr w:rsidR="003669DA" w:rsidRPr="009201F1" w:rsidSect="00CC76A6">
      <w:headerReference w:type="even" r:id="rId52"/>
      <w:headerReference w:type="default" r:id="rId53"/>
      <w:footerReference w:type="even" r:id="rId54"/>
      <w:footerReference w:type="default" r:id="rId55"/>
      <w:headerReference w:type="first" r:id="rId56"/>
      <w:footerReference w:type="first" r:id="rId5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98606" w14:textId="77777777" w:rsidR="0038726F" w:rsidRDefault="0038726F" w:rsidP="001C4E96">
      <w:pPr>
        <w:spacing w:after="0"/>
      </w:pPr>
      <w:r>
        <w:separator/>
      </w:r>
    </w:p>
  </w:endnote>
  <w:endnote w:type="continuationSeparator" w:id="0">
    <w:p w14:paraId="5CFC559A" w14:textId="77777777" w:rsidR="0038726F" w:rsidRDefault="0038726F"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5DD2" w14:textId="77777777" w:rsidR="00BC03CD" w:rsidRDefault="00BC0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08654" w14:textId="0DB1B4B9" w:rsidR="002D3328" w:rsidRPr="00BC03CD" w:rsidRDefault="002D3328" w:rsidP="00BC0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80CBC" w14:textId="77777777" w:rsidR="00BC03CD" w:rsidRDefault="00BC0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5A2F1" w14:textId="77777777" w:rsidR="0038726F" w:rsidRDefault="0038726F" w:rsidP="001C4E96">
      <w:pPr>
        <w:spacing w:after="0"/>
      </w:pPr>
      <w:r>
        <w:separator/>
      </w:r>
    </w:p>
  </w:footnote>
  <w:footnote w:type="continuationSeparator" w:id="0">
    <w:p w14:paraId="31C9AE96" w14:textId="77777777" w:rsidR="0038726F" w:rsidRDefault="0038726F"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489AE" w14:textId="77777777" w:rsidR="00BC03CD" w:rsidRDefault="00BC03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F42D5" w14:textId="77777777" w:rsidR="00BC03CD" w:rsidRDefault="00BC03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22D1" w14:textId="77777777" w:rsidR="00BC03CD" w:rsidRDefault="00BC03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80AE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027F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B400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7893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A63C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CCBA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DA46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52F2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6AAA3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F8C3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82F"/>
    <w:multiLevelType w:val="hybridMultilevel"/>
    <w:tmpl w:val="1B981CA4"/>
    <w:lvl w:ilvl="0" w:tplc="621C608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00DA0"/>
    <w:multiLevelType w:val="hybridMultilevel"/>
    <w:tmpl w:val="009824B4"/>
    <w:lvl w:ilvl="0" w:tplc="1C84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CA2513"/>
    <w:multiLevelType w:val="multilevel"/>
    <w:tmpl w:val="B54EF822"/>
    <w:lvl w:ilvl="0">
      <w:start w:val="3"/>
      <w:numFmt w:val="decimal"/>
      <w:lvlText w:val="%1"/>
      <w:lvlJc w:val="left"/>
      <w:pPr>
        <w:ind w:left="599" w:hanging="480"/>
      </w:pPr>
      <w:rPr>
        <w:rFonts w:hint="default"/>
      </w:rPr>
    </w:lvl>
    <w:lvl w:ilvl="1">
      <w:start w:val="5"/>
      <w:numFmt w:val="decimal"/>
      <w:lvlText w:val="%1.%2."/>
      <w:lvlJc w:val="left"/>
      <w:pPr>
        <w:ind w:left="599" w:hanging="480"/>
      </w:pPr>
      <w:rPr>
        <w:rFonts w:ascii="Times New Roman" w:eastAsia="Times New Roman" w:hAnsi="Times New Roman" w:cs="Times New Roman" w:hint="default"/>
        <w:spacing w:val="-2"/>
        <w:w w:val="99"/>
        <w:sz w:val="24"/>
        <w:szCs w:val="24"/>
      </w:rPr>
    </w:lvl>
    <w:lvl w:ilvl="2">
      <w:start w:val="1"/>
      <w:numFmt w:val="decimal"/>
      <w:lvlText w:val="%1.%2.%3."/>
      <w:lvlJc w:val="left"/>
      <w:pPr>
        <w:ind w:left="119" w:hanging="653"/>
      </w:pPr>
      <w:rPr>
        <w:rFonts w:ascii="Times New Roman" w:eastAsia="Times New Roman" w:hAnsi="Times New Roman" w:cs="Times New Roman" w:hint="default"/>
        <w:spacing w:val="-10"/>
        <w:w w:val="99"/>
        <w:sz w:val="24"/>
        <w:szCs w:val="24"/>
      </w:rPr>
    </w:lvl>
    <w:lvl w:ilvl="3">
      <w:numFmt w:val="bullet"/>
      <w:lvlText w:val="•"/>
      <w:lvlJc w:val="left"/>
      <w:pPr>
        <w:ind w:left="2622" w:hanging="653"/>
      </w:pPr>
      <w:rPr>
        <w:rFonts w:hint="default"/>
      </w:rPr>
    </w:lvl>
    <w:lvl w:ilvl="4">
      <w:numFmt w:val="bullet"/>
      <w:lvlText w:val="•"/>
      <w:lvlJc w:val="left"/>
      <w:pPr>
        <w:ind w:left="3633" w:hanging="653"/>
      </w:pPr>
      <w:rPr>
        <w:rFonts w:hint="default"/>
      </w:rPr>
    </w:lvl>
    <w:lvl w:ilvl="5">
      <w:numFmt w:val="bullet"/>
      <w:lvlText w:val="•"/>
      <w:lvlJc w:val="left"/>
      <w:pPr>
        <w:ind w:left="4644" w:hanging="653"/>
      </w:pPr>
      <w:rPr>
        <w:rFonts w:hint="default"/>
      </w:rPr>
    </w:lvl>
    <w:lvl w:ilvl="6">
      <w:numFmt w:val="bullet"/>
      <w:lvlText w:val="•"/>
      <w:lvlJc w:val="left"/>
      <w:pPr>
        <w:ind w:left="5655" w:hanging="653"/>
      </w:pPr>
      <w:rPr>
        <w:rFonts w:hint="default"/>
      </w:rPr>
    </w:lvl>
    <w:lvl w:ilvl="7">
      <w:numFmt w:val="bullet"/>
      <w:lvlText w:val="•"/>
      <w:lvlJc w:val="left"/>
      <w:pPr>
        <w:ind w:left="6666" w:hanging="653"/>
      </w:pPr>
      <w:rPr>
        <w:rFonts w:hint="default"/>
      </w:rPr>
    </w:lvl>
    <w:lvl w:ilvl="8">
      <w:numFmt w:val="bullet"/>
      <w:lvlText w:val="•"/>
      <w:lvlJc w:val="left"/>
      <w:pPr>
        <w:ind w:left="7677" w:hanging="653"/>
      </w:pPr>
      <w:rPr>
        <w:rFonts w:hint="default"/>
      </w:rPr>
    </w:lvl>
  </w:abstractNum>
  <w:abstractNum w:abstractNumId="1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A735D7C"/>
    <w:multiLevelType w:val="hybridMultilevel"/>
    <w:tmpl w:val="27FA2F3E"/>
    <w:lvl w:ilvl="0" w:tplc="3372E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204B56"/>
    <w:multiLevelType w:val="hybridMultilevel"/>
    <w:tmpl w:val="1D88755A"/>
    <w:lvl w:ilvl="0" w:tplc="0B96F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845CC"/>
    <w:multiLevelType w:val="hybridMultilevel"/>
    <w:tmpl w:val="0212BD44"/>
    <w:lvl w:ilvl="0" w:tplc="9BC68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50DD6"/>
    <w:multiLevelType w:val="hybridMultilevel"/>
    <w:tmpl w:val="FBE8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E32FB"/>
    <w:multiLevelType w:val="hybridMultilevel"/>
    <w:tmpl w:val="58587F2E"/>
    <w:lvl w:ilvl="0" w:tplc="AB902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D27E2"/>
    <w:multiLevelType w:val="hybridMultilevel"/>
    <w:tmpl w:val="860E3F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4813E8"/>
    <w:multiLevelType w:val="hybridMultilevel"/>
    <w:tmpl w:val="D212AC3A"/>
    <w:lvl w:ilvl="0" w:tplc="B70859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C0916"/>
    <w:multiLevelType w:val="hybridMultilevel"/>
    <w:tmpl w:val="101EB7EC"/>
    <w:lvl w:ilvl="0" w:tplc="FEF8224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0510BE5"/>
    <w:multiLevelType w:val="hybridMultilevel"/>
    <w:tmpl w:val="4968844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472F16"/>
    <w:multiLevelType w:val="hybridMultilevel"/>
    <w:tmpl w:val="417A336E"/>
    <w:lvl w:ilvl="0" w:tplc="E426088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542E2200"/>
    <w:multiLevelType w:val="hybridMultilevel"/>
    <w:tmpl w:val="2EBAEEDE"/>
    <w:lvl w:ilvl="0" w:tplc="ADCA9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C526DE"/>
    <w:multiLevelType w:val="hybridMultilevel"/>
    <w:tmpl w:val="134216E8"/>
    <w:lvl w:ilvl="0" w:tplc="22FA518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97409DC"/>
    <w:multiLevelType w:val="hybridMultilevel"/>
    <w:tmpl w:val="0728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A7537"/>
    <w:multiLevelType w:val="hybridMultilevel"/>
    <w:tmpl w:val="2A2067F2"/>
    <w:lvl w:ilvl="0" w:tplc="5F6AF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ED0018"/>
    <w:multiLevelType w:val="hybridMultilevel"/>
    <w:tmpl w:val="A1BA0D24"/>
    <w:lvl w:ilvl="0" w:tplc="75D011AE">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A1BE5"/>
    <w:multiLevelType w:val="hybridMultilevel"/>
    <w:tmpl w:val="879045EE"/>
    <w:lvl w:ilvl="0" w:tplc="EC7016D0">
      <w:start w:val="1"/>
      <w:numFmt w:val="decimal"/>
      <w:lvlText w:val="(%1)"/>
      <w:lvlJc w:val="left"/>
      <w:pPr>
        <w:ind w:left="1080" w:hanging="360"/>
      </w:pPr>
      <w:rPr>
        <w:rFonts w:eastAsiaTheme="minorHAns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BE3358"/>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3" w15:restartNumberingAfterBreak="0">
    <w:nsid w:val="6FE319A4"/>
    <w:multiLevelType w:val="hybridMultilevel"/>
    <w:tmpl w:val="606CA762"/>
    <w:lvl w:ilvl="0" w:tplc="44E2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9F1E24"/>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5" w15:restartNumberingAfterBreak="0">
    <w:nsid w:val="71FF25C1"/>
    <w:multiLevelType w:val="hybridMultilevel"/>
    <w:tmpl w:val="744AA6E2"/>
    <w:lvl w:ilvl="0" w:tplc="C06EB56C">
      <w:start w:val="1"/>
      <w:numFmt w:val="lowerLetter"/>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170EE"/>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7" w15:restartNumberingAfterBreak="0">
    <w:nsid w:val="72E207FA"/>
    <w:multiLevelType w:val="hybridMultilevel"/>
    <w:tmpl w:val="18EC6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C5552"/>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9" w15:restartNumberingAfterBreak="0">
    <w:nsid w:val="73A83A76"/>
    <w:multiLevelType w:val="hybridMultilevel"/>
    <w:tmpl w:val="72D258E4"/>
    <w:lvl w:ilvl="0" w:tplc="90546386">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E86085"/>
    <w:multiLevelType w:val="hybridMultilevel"/>
    <w:tmpl w:val="D3A2A840"/>
    <w:lvl w:ilvl="0" w:tplc="FDD8C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1A636C"/>
    <w:multiLevelType w:val="hybridMultilevel"/>
    <w:tmpl w:val="7E58981C"/>
    <w:lvl w:ilvl="0" w:tplc="772E8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7C668B"/>
    <w:multiLevelType w:val="hybridMultilevel"/>
    <w:tmpl w:val="5E78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85D29"/>
    <w:multiLevelType w:val="hybridMultilevel"/>
    <w:tmpl w:val="829E683C"/>
    <w:lvl w:ilvl="0" w:tplc="95FC70DE">
      <w:start w:val="1"/>
      <w:numFmt w:val="lowerLetter"/>
      <w:lvlText w:val="(%1)"/>
      <w:lvlJc w:val="left"/>
      <w:pPr>
        <w:ind w:left="365" w:hanging="365"/>
        <w:jc w:val="right"/>
      </w:pPr>
      <w:rPr>
        <w:rFonts w:ascii="Times New Roman" w:eastAsia="Times New Roman" w:hAnsi="Times New Roman" w:cs="Times New Roman" w:hint="default"/>
        <w:spacing w:val="-20"/>
        <w:w w:val="99"/>
        <w:sz w:val="24"/>
        <w:szCs w:val="24"/>
      </w:rPr>
    </w:lvl>
    <w:lvl w:ilvl="1" w:tplc="5ABEB620">
      <w:start w:val="1"/>
      <w:numFmt w:val="decimal"/>
      <w:lvlText w:val="(%2)"/>
      <w:lvlJc w:val="left"/>
      <w:pPr>
        <w:ind w:left="725" w:hanging="360"/>
      </w:pPr>
      <w:rPr>
        <w:rFonts w:ascii="Times New Roman" w:eastAsia="Times New Roman" w:hAnsi="Times New Roman" w:cs="Times New Roman" w:hint="default"/>
        <w:b w:val="0"/>
        <w:spacing w:val="-1"/>
        <w:w w:val="99"/>
        <w:sz w:val="24"/>
        <w:szCs w:val="24"/>
      </w:rPr>
    </w:lvl>
    <w:lvl w:ilvl="2" w:tplc="5DBE96FE">
      <w:numFmt w:val="bullet"/>
      <w:lvlText w:val="•"/>
      <w:lvlJc w:val="left"/>
      <w:pPr>
        <w:ind w:left="1721" w:hanging="360"/>
      </w:pPr>
      <w:rPr>
        <w:rFonts w:hint="default"/>
      </w:rPr>
    </w:lvl>
    <w:lvl w:ilvl="3" w:tplc="F46A2FA8">
      <w:numFmt w:val="bullet"/>
      <w:lvlText w:val="•"/>
      <w:lvlJc w:val="left"/>
      <w:pPr>
        <w:ind w:left="2717" w:hanging="360"/>
      </w:pPr>
      <w:rPr>
        <w:rFonts w:hint="default"/>
      </w:rPr>
    </w:lvl>
    <w:lvl w:ilvl="4" w:tplc="934086EC">
      <w:numFmt w:val="bullet"/>
      <w:lvlText w:val="•"/>
      <w:lvlJc w:val="left"/>
      <w:pPr>
        <w:ind w:left="3712" w:hanging="360"/>
      </w:pPr>
      <w:rPr>
        <w:rFonts w:hint="default"/>
      </w:rPr>
    </w:lvl>
    <w:lvl w:ilvl="5" w:tplc="8C4E36E6">
      <w:numFmt w:val="bullet"/>
      <w:lvlText w:val="•"/>
      <w:lvlJc w:val="left"/>
      <w:pPr>
        <w:ind w:left="4708" w:hanging="360"/>
      </w:pPr>
      <w:rPr>
        <w:rFonts w:hint="default"/>
      </w:rPr>
    </w:lvl>
    <w:lvl w:ilvl="6" w:tplc="76480D92">
      <w:numFmt w:val="bullet"/>
      <w:lvlText w:val="•"/>
      <w:lvlJc w:val="left"/>
      <w:pPr>
        <w:ind w:left="5703" w:hanging="360"/>
      </w:pPr>
      <w:rPr>
        <w:rFonts w:hint="default"/>
      </w:rPr>
    </w:lvl>
    <w:lvl w:ilvl="7" w:tplc="1E3E81B8">
      <w:numFmt w:val="bullet"/>
      <w:lvlText w:val="•"/>
      <w:lvlJc w:val="left"/>
      <w:pPr>
        <w:ind w:left="6699" w:hanging="360"/>
      </w:pPr>
      <w:rPr>
        <w:rFonts w:hint="default"/>
      </w:rPr>
    </w:lvl>
    <w:lvl w:ilvl="8" w:tplc="1758CF44">
      <w:numFmt w:val="bullet"/>
      <w:lvlText w:val="•"/>
      <w:lvlJc w:val="left"/>
      <w:pPr>
        <w:ind w:left="7694" w:hanging="360"/>
      </w:pPr>
      <w:rPr>
        <w:rFonts w:hint="default"/>
      </w:rPr>
    </w:lvl>
  </w:abstractNum>
  <w:abstractNum w:abstractNumId="45"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C73AD4"/>
    <w:multiLevelType w:val="hybridMultilevel"/>
    <w:tmpl w:val="DE4A4546"/>
    <w:lvl w:ilvl="0" w:tplc="EB3875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6C7DEA"/>
    <w:multiLevelType w:val="hybridMultilevel"/>
    <w:tmpl w:val="85BC022C"/>
    <w:lvl w:ilvl="0" w:tplc="682A9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2"/>
  </w:num>
  <w:num w:numId="3">
    <w:abstractNumId w:val="41"/>
  </w:num>
  <w:num w:numId="4">
    <w:abstractNumId w:val="13"/>
  </w:num>
  <w:num w:numId="5">
    <w:abstractNumId w:val="27"/>
  </w:num>
  <w:num w:numId="6">
    <w:abstractNumId w:val="45"/>
  </w:num>
  <w:num w:numId="7">
    <w:abstractNumId w:val="12"/>
  </w:num>
  <w:num w:numId="8">
    <w:abstractNumId w:val="36"/>
  </w:num>
  <w:num w:numId="9">
    <w:abstractNumId w:val="38"/>
  </w:num>
  <w:num w:numId="10">
    <w:abstractNumId w:val="37"/>
  </w:num>
  <w:num w:numId="11">
    <w:abstractNumId w:val="28"/>
  </w:num>
  <w:num w:numId="12">
    <w:abstractNumId w:val="32"/>
  </w:num>
  <w:num w:numId="13">
    <w:abstractNumId w:val="44"/>
  </w:num>
  <w:num w:numId="14">
    <w:abstractNumId w:val="39"/>
  </w:num>
  <w:num w:numId="15">
    <w:abstractNumId w:val="23"/>
  </w:num>
  <w:num w:numId="16">
    <w:abstractNumId w:val="47"/>
  </w:num>
  <w:num w:numId="17">
    <w:abstractNumId w:val="35"/>
  </w:num>
  <w:num w:numId="18">
    <w:abstractNumId w:val="17"/>
  </w:num>
  <w:num w:numId="19">
    <w:abstractNumId w:val="19"/>
  </w:num>
  <w:num w:numId="20">
    <w:abstractNumId w:val="43"/>
  </w:num>
  <w:num w:numId="21">
    <w:abstractNumId w:val="10"/>
  </w:num>
  <w:num w:numId="22">
    <w:abstractNumId w:val="16"/>
  </w:num>
  <w:num w:numId="23">
    <w:abstractNumId w:val="42"/>
  </w:num>
  <w:num w:numId="24">
    <w:abstractNumId w:val="31"/>
  </w:num>
  <w:num w:numId="25">
    <w:abstractNumId w:val="25"/>
  </w:num>
  <w:num w:numId="26">
    <w:abstractNumId w:val="11"/>
  </w:num>
  <w:num w:numId="27">
    <w:abstractNumId w:val="40"/>
  </w:num>
  <w:num w:numId="28">
    <w:abstractNumId w:val="15"/>
  </w:num>
  <w:num w:numId="29">
    <w:abstractNumId w:val="30"/>
  </w:num>
  <w:num w:numId="30">
    <w:abstractNumId w:val="33"/>
  </w:num>
  <w:num w:numId="31">
    <w:abstractNumId w:val="21"/>
  </w:num>
  <w:num w:numId="32">
    <w:abstractNumId w:val="24"/>
  </w:num>
  <w:num w:numId="33">
    <w:abstractNumId w:val="14"/>
  </w:num>
  <w:num w:numId="34">
    <w:abstractNumId w:val="26"/>
  </w:num>
  <w:num w:numId="35">
    <w:abstractNumId w:val="18"/>
  </w:num>
  <w:num w:numId="36">
    <w:abstractNumId w:val="29"/>
  </w:num>
  <w:num w:numId="37">
    <w:abstractNumId w:val="46"/>
  </w:num>
  <w:num w:numId="38">
    <w:abstractNumId w:val="34"/>
  </w:num>
  <w:num w:numId="39">
    <w:abstractNumId w:val="22"/>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02F7E"/>
    <w:rsid w:val="00005E28"/>
    <w:rsid w:val="0002553A"/>
    <w:rsid w:val="00026033"/>
    <w:rsid w:val="000333EA"/>
    <w:rsid w:val="000360CF"/>
    <w:rsid w:val="00037A63"/>
    <w:rsid w:val="000403B8"/>
    <w:rsid w:val="00047969"/>
    <w:rsid w:val="00070BAB"/>
    <w:rsid w:val="00080F7B"/>
    <w:rsid w:val="00087B64"/>
    <w:rsid w:val="00096DB6"/>
    <w:rsid w:val="00097E30"/>
    <w:rsid w:val="000A4D69"/>
    <w:rsid w:val="000C1BAC"/>
    <w:rsid w:val="000C51B2"/>
    <w:rsid w:val="000C571A"/>
    <w:rsid w:val="000C6672"/>
    <w:rsid w:val="000D116B"/>
    <w:rsid w:val="000D4C22"/>
    <w:rsid w:val="000F2949"/>
    <w:rsid w:val="000F34FF"/>
    <w:rsid w:val="000F4F3F"/>
    <w:rsid w:val="000F5D80"/>
    <w:rsid w:val="00102389"/>
    <w:rsid w:val="00125B52"/>
    <w:rsid w:val="00150EC5"/>
    <w:rsid w:val="00154A6D"/>
    <w:rsid w:val="001617AA"/>
    <w:rsid w:val="00161D4F"/>
    <w:rsid w:val="00162054"/>
    <w:rsid w:val="00164BA5"/>
    <w:rsid w:val="00175D8D"/>
    <w:rsid w:val="00192445"/>
    <w:rsid w:val="001944F6"/>
    <w:rsid w:val="001A2761"/>
    <w:rsid w:val="001A629A"/>
    <w:rsid w:val="001B0B97"/>
    <w:rsid w:val="001B573F"/>
    <w:rsid w:val="001C1D9E"/>
    <w:rsid w:val="001C297C"/>
    <w:rsid w:val="001C3F4E"/>
    <w:rsid w:val="001C4915"/>
    <w:rsid w:val="001C4E96"/>
    <w:rsid w:val="001C4F88"/>
    <w:rsid w:val="001C665F"/>
    <w:rsid w:val="001D1858"/>
    <w:rsid w:val="001D4FA9"/>
    <w:rsid w:val="001E054F"/>
    <w:rsid w:val="001F1F39"/>
    <w:rsid w:val="001F2A80"/>
    <w:rsid w:val="001F30E7"/>
    <w:rsid w:val="001F6590"/>
    <w:rsid w:val="001F6A2D"/>
    <w:rsid w:val="002005B8"/>
    <w:rsid w:val="002020BB"/>
    <w:rsid w:val="00202631"/>
    <w:rsid w:val="002061D1"/>
    <w:rsid w:val="00211087"/>
    <w:rsid w:val="002119B6"/>
    <w:rsid w:val="00212004"/>
    <w:rsid w:val="00217B93"/>
    <w:rsid w:val="00217F62"/>
    <w:rsid w:val="00223D64"/>
    <w:rsid w:val="00224669"/>
    <w:rsid w:val="00225BB2"/>
    <w:rsid w:val="00243F43"/>
    <w:rsid w:val="00246CBE"/>
    <w:rsid w:val="00251E00"/>
    <w:rsid w:val="0025381D"/>
    <w:rsid w:val="0025432E"/>
    <w:rsid w:val="00260928"/>
    <w:rsid w:val="00263D3F"/>
    <w:rsid w:val="00271017"/>
    <w:rsid w:val="00276B97"/>
    <w:rsid w:val="00282DEF"/>
    <w:rsid w:val="002942E7"/>
    <w:rsid w:val="00296C1C"/>
    <w:rsid w:val="002A49BC"/>
    <w:rsid w:val="002B08D7"/>
    <w:rsid w:val="002B0BCE"/>
    <w:rsid w:val="002B5E94"/>
    <w:rsid w:val="002C2407"/>
    <w:rsid w:val="002C574E"/>
    <w:rsid w:val="002D26D1"/>
    <w:rsid w:val="002D3328"/>
    <w:rsid w:val="002D388B"/>
    <w:rsid w:val="002D4528"/>
    <w:rsid w:val="002D6CAB"/>
    <w:rsid w:val="002E3E46"/>
    <w:rsid w:val="002E3FB0"/>
    <w:rsid w:val="003045DB"/>
    <w:rsid w:val="003112E5"/>
    <w:rsid w:val="003128E2"/>
    <w:rsid w:val="003168D5"/>
    <w:rsid w:val="00316A5B"/>
    <w:rsid w:val="00321C97"/>
    <w:rsid w:val="003224E9"/>
    <w:rsid w:val="00323139"/>
    <w:rsid w:val="0033191B"/>
    <w:rsid w:val="00341B95"/>
    <w:rsid w:val="00341F10"/>
    <w:rsid w:val="00343B67"/>
    <w:rsid w:val="003467FE"/>
    <w:rsid w:val="0034777D"/>
    <w:rsid w:val="0035115A"/>
    <w:rsid w:val="00364081"/>
    <w:rsid w:val="003669DA"/>
    <w:rsid w:val="003764BD"/>
    <w:rsid w:val="003813CE"/>
    <w:rsid w:val="00381475"/>
    <w:rsid w:val="0038726F"/>
    <w:rsid w:val="003875EA"/>
    <w:rsid w:val="00393223"/>
    <w:rsid w:val="003967CC"/>
    <w:rsid w:val="003A5654"/>
    <w:rsid w:val="003C2D0F"/>
    <w:rsid w:val="003C6FCC"/>
    <w:rsid w:val="003C77B3"/>
    <w:rsid w:val="003D19A2"/>
    <w:rsid w:val="003D1AC3"/>
    <w:rsid w:val="003E0648"/>
    <w:rsid w:val="003E612F"/>
    <w:rsid w:val="003E7101"/>
    <w:rsid w:val="003F0D46"/>
    <w:rsid w:val="003F73D2"/>
    <w:rsid w:val="00412916"/>
    <w:rsid w:val="00412BDE"/>
    <w:rsid w:val="0041398A"/>
    <w:rsid w:val="00417626"/>
    <w:rsid w:val="00422EF4"/>
    <w:rsid w:val="004269BD"/>
    <w:rsid w:val="004322E0"/>
    <w:rsid w:val="00432728"/>
    <w:rsid w:val="00441C6E"/>
    <w:rsid w:val="00442D66"/>
    <w:rsid w:val="004460BE"/>
    <w:rsid w:val="004479CC"/>
    <w:rsid w:val="00450C8B"/>
    <w:rsid w:val="004625F1"/>
    <w:rsid w:val="00464416"/>
    <w:rsid w:val="004645DA"/>
    <w:rsid w:val="00465C5F"/>
    <w:rsid w:val="00466BB6"/>
    <w:rsid w:val="0047140D"/>
    <w:rsid w:val="00471731"/>
    <w:rsid w:val="00473288"/>
    <w:rsid w:val="0048421B"/>
    <w:rsid w:val="004931DD"/>
    <w:rsid w:val="004946A9"/>
    <w:rsid w:val="0049590C"/>
    <w:rsid w:val="004959A0"/>
    <w:rsid w:val="00496426"/>
    <w:rsid w:val="00497D1A"/>
    <w:rsid w:val="004A3738"/>
    <w:rsid w:val="004A452F"/>
    <w:rsid w:val="004A6EEB"/>
    <w:rsid w:val="004B03EB"/>
    <w:rsid w:val="004B6816"/>
    <w:rsid w:val="004B6847"/>
    <w:rsid w:val="004C1675"/>
    <w:rsid w:val="004C5953"/>
    <w:rsid w:val="004D5426"/>
    <w:rsid w:val="004E4D3E"/>
    <w:rsid w:val="004E5BA3"/>
    <w:rsid w:val="004E62CB"/>
    <w:rsid w:val="004E66D7"/>
    <w:rsid w:val="004E788E"/>
    <w:rsid w:val="004F0CFD"/>
    <w:rsid w:val="004F2415"/>
    <w:rsid w:val="004F33D7"/>
    <w:rsid w:val="004F459C"/>
    <w:rsid w:val="00503413"/>
    <w:rsid w:val="005071F7"/>
    <w:rsid w:val="00510CFC"/>
    <w:rsid w:val="00515C5A"/>
    <w:rsid w:val="00534EF5"/>
    <w:rsid w:val="00540D17"/>
    <w:rsid w:val="00551941"/>
    <w:rsid w:val="0055254C"/>
    <w:rsid w:val="00565A69"/>
    <w:rsid w:val="00572520"/>
    <w:rsid w:val="00574003"/>
    <w:rsid w:val="00575061"/>
    <w:rsid w:val="005843EF"/>
    <w:rsid w:val="0058722E"/>
    <w:rsid w:val="005A7A1C"/>
    <w:rsid w:val="005B016E"/>
    <w:rsid w:val="005B5F04"/>
    <w:rsid w:val="005B5F73"/>
    <w:rsid w:val="005B6507"/>
    <w:rsid w:val="005C12FF"/>
    <w:rsid w:val="005C484F"/>
    <w:rsid w:val="005C67D3"/>
    <w:rsid w:val="005D27B7"/>
    <w:rsid w:val="005D5549"/>
    <w:rsid w:val="005E2C2B"/>
    <w:rsid w:val="005E4D2B"/>
    <w:rsid w:val="005F30EF"/>
    <w:rsid w:val="005F4F6D"/>
    <w:rsid w:val="005F5637"/>
    <w:rsid w:val="00602B6E"/>
    <w:rsid w:val="006059B6"/>
    <w:rsid w:val="00621C6E"/>
    <w:rsid w:val="006361D6"/>
    <w:rsid w:val="00646617"/>
    <w:rsid w:val="00647A60"/>
    <w:rsid w:val="006502B3"/>
    <w:rsid w:val="00662E53"/>
    <w:rsid w:val="00673A01"/>
    <w:rsid w:val="00674DFD"/>
    <w:rsid w:val="006769FA"/>
    <w:rsid w:val="00680358"/>
    <w:rsid w:val="00686671"/>
    <w:rsid w:val="00692C16"/>
    <w:rsid w:val="006A3D9B"/>
    <w:rsid w:val="006B4412"/>
    <w:rsid w:val="006B5B28"/>
    <w:rsid w:val="006B6ACD"/>
    <w:rsid w:val="006B7891"/>
    <w:rsid w:val="006D54E3"/>
    <w:rsid w:val="006E15E0"/>
    <w:rsid w:val="006E1ABD"/>
    <w:rsid w:val="006E48E1"/>
    <w:rsid w:val="006E4CAC"/>
    <w:rsid w:val="006E69DB"/>
    <w:rsid w:val="006E6EB4"/>
    <w:rsid w:val="006E70B1"/>
    <w:rsid w:val="006F30F5"/>
    <w:rsid w:val="006F323F"/>
    <w:rsid w:val="006F4B6C"/>
    <w:rsid w:val="006F654B"/>
    <w:rsid w:val="00705F5D"/>
    <w:rsid w:val="00712F55"/>
    <w:rsid w:val="007200F3"/>
    <w:rsid w:val="00726A7D"/>
    <w:rsid w:val="00755EDC"/>
    <w:rsid w:val="00756A7D"/>
    <w:rsid w:val="00761E40"/>
    <w:rsid w:val="00771296"/>
    <w:rsid w:val="00773576"/>
    <w:rsid w:val="00774D44"/>
    <w:rsid w:val="007814A8"/>
    <w:rsid w:val="0079336F"/>
    <w:rsid w:val="00796743"/>
    <w:rsid w:val="007A31BB"/>
    <w:rsid w:val="007B05B2"/>
    <w:rsid w:val="007B1F68"/>
    <w:rsid w:val="007B3832"/>
    <w:rsid w:val="007B6B91"/>
    <w:rsid w:val="007B6F9A"/>
    <w:rsid w:val="007B76E2"/>
    <w:rsid w:val="007C337B"/>
    <w:rsid w:val="007C6BFC"/>
    <w:rsid w:val="007D51CC"/>
    <w:rsid w:val="007D7973"/>
    <w:rsid w:val="007E3876"/>
    <w:rsid w:val="007E5405"/>
    <w:rsid w:val="007E6BDC"/>
    <w:rsid w:val="007F3AF6"/>
    <w:rsid w:val="007F5B7F"/>
    <w:rsid w:val="00811624"/>
    <w:rsid w:val="008221C9"/>
    <w:rsid w:val="00825393"/>
    <w:rsid w:val="008276CD"/>
    <w:rsid w:val="00827BFA"/>
    <w:rsid w:val="0083149A"/>
    <w:rsid w:val="0083644B"/>
    <w:rsid w:val="00840CD9"/>
    <w:rsid w:val="00840EC0"/>
    <w:rsid w:val="0084318F"/>
    <w:rsid w:val="00850433"/>
    <w:rsid w:val="0085265E"/>
    <w:rsid w:val="00863C6C"/>
    <w:rsid w:val="008644A0"/>
    <w:rsid w:val="00865C3C"/>
    <w:rsid w:val="008778C6"/>
    <w:rsid w:val="00882E75"/>
    <w:rsid w:val="00883C38"/>
    <w:rsid w:val="00884977"/>
    <w:rsid w:val="0089648D"/>
    <w:rsid w:val="008A22F7"/>
    <w:rsid w:val="008A53DB"/>
    <w:rsid w:val="008B1246"/>
    <w:rsid w:val="008B368B"/>
    <w:rsid w:val="008B3987"/>
    <w:rsid w:val="008C525A"/>
    <w:rsid w:val="008E32B1"/>
    <w:rsid w:val="008F2C8B"/>
    <w:rsid w:val="009041AD"/>
    <w:rsid w:val="00905590"/>
    <w:rsid w:val="009073D3"/>
    <w:rsid w:val="00912723"/>
    <w:rsid w:val="009157E6"/>
    <w:rsid w:val="009201F1"/>
    <w:rsid w:val="0092755E"/>
    <w:rsid w:val="00936475"/>
    <w:rsid w:val="00944BDE"/>
    <w:rsid w:val="00944FFB"/>
    <w:rsid w:val="00947AF3"/>
    <w:rsid w:val="009503AF"/>
    <w:rsid w:val="0095223F"/>
    <w:rsid w:val="00956588"/>
    <w:rsid w:val="00961921"/>
    <w:rsid w:val="00966ED2"/>
    <w:rsid w:val="009764D0"/>
    <w:rsid w:val="00977580"/>
    <w:rsid w:val="0098184C"/>
    <w:rsid w:val="00993B8C"/>
    <w:rsid w:val="009A082E"/>
    <w:rsid w:val="009A1C25"/>
    <w:rsid w:val="009A3FC6"/>
    <w:rsid w:val="009B4692"/>
    <w:rsid w:val="009C3E50"/>
    <w:rsid w:val="009C76BD"/>
    <w:rsid w:val="009D2187"/>
    <w:rsid w:val="009D5B34"/>
    <w:rsid w:val="009E169F"/>
    <w:rsid w:val="009E7FE7"/>
    <w:rsid w:val="009F2243"/>
    <w:rsid w:val="009F451E"/>
    <w:rsid w:val="009F496E"/>
    <w:rsid w:val="00A05C69"/>
    <w:rsid w:val="00A10F17"/>
    <w:rsid w:val="00A12057"/>
    <w:rsid w:val="00A12348"/>
    <w:rsid w:val="00A131EA"/>
    <w:rsid w:val="00A15F40"/>
    <w:rsid w:val="00A20E80"/>
    <w:rsid w:val="00A463C3"/>
    <w:rsid w:val="00A56AB0"/>
    <w:rsid w:val="00A63BFB"/>
    <w:rsid w:val="00A743B9"/>
    <w:rsid w:val="00A74F69"/>
    <w:rsid w:val="00A80094"/>
    <w:rsid w:val="00A81662"/>
    <w:rsid w:val="00A854A8"/>
    <w:rsid w:val="00A86F33"/>
    <w:rsid w:val="00A87636"/>
    <w:rsid w:val="00A925E0"/>
    <w:rsid w:val="00A93770"/>
    <w:rsid w:val="00A94E1D"/>
    <w:rsid w:val="00A95943"/>
    <w:rsid w:val="00AA5FD8"/>
    <w:rsid w:val="00AB5A01"/>
    <w:rsid w:val="00AC0F8F"/>
    <w:rsid w:val="00AC607E"/>
    <w:rsid w:val="00AD0728"/>
    <w:rsid w:val="00AD78C1"/>
    <w:rsid w:val="00AE08F2"/>
    <w:rsid w:val="00AE3E06"/>
    <w:rsid w:val="00AE4E8F"/>
    <w:rsid w:val="00AE65B8"/>
    <w:rsid w:val="00AF02F6"/>
    <w:rsid w:val="00AF5F5E"/>
    <w:rsid w:val="00AF65C6"/>
    <w:rsid w:val="00B00C6A"/>
    <w:rsid w:val="00B04B4E"/>
    <w:rsid w:val="00B1365A"/>
    <w:rsid w:val="00B22C66"/>
    <w:rsid w:val="00B30B39"/>
    <w:rsid w:val="00B35F64"/>
    <w:rsid w:val="00B4492A"/>
    <w:rsid w:val="00B463E9"/>
    <w:rsid w:val="00B46E19"/>
    <w:rsid w:val="00B51F80"/>
    <w:rsid w:val="00B52ADB"/>
    <w:rsid w:val="00B52F81"/>
    <w:rsid w:val="00B54533"/>
    <w:rsid w:val="00B66262"/>
    <w:rsid w:val="00B736F1"/>
    <w:rsid w:val="00B75000"/>
    <w:rsid w:val="00B820C4"/>
    <w:rsid w:val="00B844CE"/>
    <w:rsid w:val="00B97A6D"/>
    <w:rsid w:val="00BA0A7A"/>
    <w:rsid w:val="00BA0C47"/>
    <w:rsid w:val="00BA2295"/>
    <w:rsid w:val="00BA2809"/>
    <w:rsid w:val="00BA731D"/>
    <w:rsid w:val="00BC03CD"/>
    <w:rsid w:val="00BC2098"/>
    <w:rsid w:val="00BC37CB"/>
    <w:rsid w:val="00BC387D"/>
    <w:rsid w:val="00BD03EE"/>
    <w:rsid w:val="00BD2A61"/>
    <w:rsid w:val="00BD37E0"/>
    <w:rsid w:val="00BD4CB9"/>
    <w:rsid w:val="00BD5872"/>
    <w:rsid w:val="00BD63C4"/>
    <w:rsid w:val="00BD6987"/>
    <w:rsid w:val="00BD6CFF"/>
    <w:rsid w:val="00BE01AF"/>
    <w:rsid w:val="00BE6089"/>
    <w:rsid w:val="00BE6E93"/>
    <w:rsid w:val="00BF164D"/>
    <w:rsid w:val="00C02737"/>
    <w:rsid w:val="00C0363D"/>
    <w:rsid w:val="00C0510B"/>
    <w:rsid w:val="00C1351E"/>
    <w:rsid w:val="00C139D1"/>
    <w:rsid w:val="00C13CE0"/>
    <w:rsid w:val="00C148A7"/>
    <w:rsid w:val="00C17F42"/>
    <w:rsid w:val="00C21955"/>
    <w:rsid w:val="00C31530"/>
    <w:rsid w:val="00C31B9D"/>
    <w:rsid w:val="00C31BDD"/>
    <w:rsid w:val="00C35FC7"/>
    <w:rsid w:val="00C446A4"/>
    <w:rsid w:val="00C458C3"/>
    <w:rsid w:val="00C45B1B"/>
    <w:rsid w:val="00C55B5E"/>
    <w:rsid w:val="00C566C7"/>
    <w:rsid w:val="00C569F8"/>
    <w:rsid w:val="00C6207A"/>
    <w:rsid w:val="00C62EC5"/>
    <w:rsid w:val="00C672E3"/>
    <w:rsid w:val="00C70BD8"/>
    <w:rsid w:val="00C70C95"/>
    <w:rsid w:val="00C72D78"/>
    <w:rsid w:val="00C74043"/>
    <w:rsid w:val="00C7774F"/>
    <w:rsid w:val="00C8072D"/>
    <w:rsid w:val="00C83158"/>
    <w:rsid w:val="00CB2151"/>
    <w:rsid w:val="00CB2515"/>
    <w:rsid w:val="00CB391A"/>
    <w:rsid w:val="00CB3E40"/>
    <w:rsid w:val="00CB6A18"/>
    <w:rsid w:val="00CC0464"/>
    <w:rsid w:val="00CC2AB2"/>
    <w:rsid w:val="00CC76A6"/>
    <w:rsid w:val="00CD1930"/>
    <w:rsid w:val="00CD6B55"/>
    <w:rsid w:val="00CE032B"/>
    <w:rsid w:val="00CE08FC"/>
    <w:rsid w:val="00CE6070"/>
    <w:rsid w:val="00CE7E38"/>
    <w:rsid w:val="00CF51F9"/>
    <w:rsid w:val="00CF6374"/>
    <w:rsid w:val="00CF6E76"/>
    <w:rsid w:val="00D011FF"/>
    <w:rsid w:val="00D0132E"/>
    <w:rsid w:val="00D13F42"/>
    <w:rsid w:val="00D151EC"/>
    <w:rsid w:val="00D163CA"/>
    <w:rsid w:val="00D20C5B"/>
    <w:rsid w:val="00D25079"/>
    <w:rsid w:val="00D32765"/>
    <w:rsid w:val="00D328B2"/>
    <w:rsid w:val="00D329F2"/>
    <w:rsid w:val="00D330AF"/>
    <w:rsid w:val="00D363B2"/>
    <w:rsid w:val="00D40BBF"/>
    <w:rsid w:val="00D518CC"/>
    <w:rsid w:val="00D617C9"/>
    <w:rsid w:val="00D7235D"/>
    <w:rsid w:val="00D7473D"/>
    <w:rsid w:val="00D769ED"/>
    <w:rsid w:val="00D7721F"/>
    <w:rsid w:val="00D77D74"/>
    <w:rsid w:val="00D8081A"/>
    <w:rsid w:val="00D83162"/>
    <w:rsid w:val="00D83442"/>
    <w:rsid w:val="00D85C34"/>
    <w:rsid w:val="00D906DB"/>
    <w:rsid w:val="00D90BF0"/>
    <w:rsid w:val="00D95EF7"/>
    <w:rsid w:val="00D97422"/>
    <w:rsid w:val="00DA714F"/>
    <w:rsid w:val="00DB0099"/>
    <w:rsid w:val="00DB6E9B"/>
    <w:rsid w:val="00DC03CE"/>
    <w:rsid w:val="00DC3AD5"/>
    <w:rsid w:val="00DC5674"/>
    <w:rsid w:val="00DD0429"/>
    <w:rsid w:val="00DE4AC2"/>
    <w:rsid w:val="00DF0C53"/>
    <w:rsid w:val="00DF1A3C"/>
    <w:rsid w:val="00DF3882"/>
    <w:rsid w:val="00DF4698"/>
    <w:rsid w:val="00DF5BC8"/>
    <w:rsid w:val="00DF64FC"/>
    <w:rsid w:val="00E0040C"/>
    <w:rsid w:val="00E15326"/>
    <w:rsid w:val="00E2101D"/>
    <w:rsid w:val="00E227E4"/>
    <w:rsid w:val="00E26C37"/>
    <w:rsid w:val="00E274F4"/>
    <w:rsid w:val="00E37799"/>
    <w:rsid w:val="00E37F28"/>
    <w:rsid w:val="00E43732"/>
    <w:rsid w:val="00E47B9B"/>
    <w:rsid w:val="00E566A6"/>
    <w:rsid w:val="00E61880"/>
    <w:rsid w:val="00E80152"/>
    <w:rsid w:val="00E842AD"/>
    <w:rsid w:val="00E91E2A"/>
    <w:rsid w:val="00E97676"/>
    <w:rsid w:val="00EA3EC5"/>
    <w:rsid w:val="00EB2C5A"/>
    <w:rsid w:val="00EB3800"/>
    <w:rsid w:val="00EC27C3"/>
    <w:rsid w:val="00EC5A75"/>
    <w:rsid w:val="00ED65B6"/>
    <w:rsid w:val="00EE27C1"/>
    <w:rsid w:val="00EE797F"/>
    <w:rsid w:val="00EF1635"/>
    <w:rsid w:val="00F033B6"/>
    <w:rsid w:val="00F039E8"/>
    <w:rsid w:val="00F059CC"/>
    <w:rsid w:val="00F14FD0"/>
    <w:rsid w:val="00F163A7"/>
    <w:rsid w:val="00F42B0C"/>
    <w:rsid w:val="00F47273"/>
    <w:rsid w:val="00F52E65"/>
    <w:rsid w:val="00F701C0"/>
    <w:rsid w:val="00F70EDF"/>
    <w:rsid w:val="00F8002A"/>
    <w:rsid w:val="00F9163B"/>
    <w:rsid w:val="00F92FA9"/>
    <w:rsid w:val="00F956F4"/>
    <w:rsid w:val="00F97F84"/>
    <w:rsid w:val="00FA05B7"/>
    <w:rsid w:val="00FB18BD"/>
    <w:rsid w:val="00FB2AF7"/>
    <w:rsid w:val="00FB2BFE"/>
    <w:rsid w:val="00FB46C6"/>
    <w:rsid w:val="00FB4A4D"/>
    <w:rsid w:val="00FC079A"/>
    <w:rsid w:val="00FC49A2"/>
    <w:rsid w:val="00FE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27B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BA5"/>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1"/>
    <w:qFormat/>
    <w:rsid w:val="00D77D74"/>
    <w:pPr>
      <w:widowControl w:val="0"/>
      <w:autoSpaceDE w:val="0"/>
      <w:autoSpaceDN w:val="0"/>
      <w:jc w:val="center"/>
      <w:outlineLvl w:val="0"/>
    </w:pPr>
    <w:rPr>
      <w:rFonts w:eastAsia="Times New Roman"/>
      <w:b/>
      <w:bCs/>
      <w:color w:val="000000" w:themeColor="text1"/>
      <w:sz w:val="32"/>
      <w:szCs w:val="24"/>
    </w:rPr>
  </w:style>
  <w:style w:type="paragraph" w:styleId="Heading2">
    <w:name w:val="heading 2"/>
    <w:link w:val="Heading2Char"/>
    <w:uiPriority w:val="9"/>
    <w:semiHidden/>
    <w:unhideWhenUsed/>
    <w:qFormat/>
    <w:rsid w:val="00574003"/>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574003"/>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9775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227E4"/>
    <w:pPr>
      <w:ind w:left="720"/>
      <w:contextualSpacing/>
    </w:pPr>
  </w:style>
  <w:style w:type="character" w:styleId="CommentReference">
    <w:name w:val="annotation reference"/>
    <w:basedOn w:val="DefaultParagraphFont"/>
    <w:semiHidden/>
    <w:unhideWhenUsed/>
    <w:rsid w:val="001B573F"/>
    <w:rPr>
      <w:sz w:val="16"/>
      <w:szCs w:val="16"/>
    </w:rPr>
  </w:style>
  <w:style w:type="paragraph" w:styleId="CommentText">
    <w:name w:val="annotation text"/>
    <w:basedOn w:val="Normal"/>
    <w:link w:val="CommentTextChar1"/>
    <w:unhideWhenUsed/>
    <w:rsid w:val="001B573F"/>
    <w:pPr>
      <w:spacing w:after="0"/>
    </w:pPr>
    <w:rPr>
      <w:sz w:val="20"/>
      <w:szCs w:val="20"/>
    </w:rPr>
  </w:style>
  <w:style w:type="character" w:customStyle="1" w:styleId="CommentTextChar">
    <w:name w:val="Comment Text Char"/>
    <w:basedOn w:val="DefaultParagraphFont"/>
    <w:semiHidden/>
    <w:rsid w:val="001B573F"/>
    <w:rPr>
      <w:sz w:val="20"/>
      <w:szCs w:val="20"/>
    </w:rPr>
  </w:style>
  <w:style w:type="character" w:customStyle="1" w:styleId="CommentTextChar1">
    <w:name w:val="Comment Text Char1"/>
    <w:basedOn w:val="DefaultParagraphFont"/>
    <w:link w:val="CommentText"/>
    <w:uiPriority w:val="99"/>
    <w:rsid w:val="001B573F"/>
    <w:rPr>
      <w:sz w:val="20"/>
      <w:szCs w:val="20"/>
    </w:rPr>
  </w:style>
  <w:style w:type="paragraph" w:styleId="BalloonText">
    <w:name w:val="Balloon Text"/>
    <w:basedOn w:val="Normal"/>
    <w:link w:val="BalloonTextChar"/>
    <w:uiPriority w:val="99"/>
    <w:semiHidden/>
    <w:unhideWhenUsed/>
    <w:rsid w:val="001B573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73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57E6"/>
    <w:pPr>
      <w:spacing w:after="160"/>
    </w:pPr>
    <w:rPr>
      <w:b/>
      <w:bCs/>
    </w:rPr>
  </w:style>
  <w:style w:type="character" w:customStyle="1" w:styleId="CommentSubjectChar">
    <w:name w:val="Comment Subject Char"/>
    <w:basedOn w:val="CommentTextChar1"/>
    <w:link w:val="CommentSubject"/>
    <w:uiPriority w:val="99"/>
    <w:semiHidden/>
    <w:rsid w:val="009157E6"/>
    <w:rPr>
      <w:b/>
      <w:bCs/>
      <w:sz w:val="20"/>
      <w:szCs w:val="20"/>
    </w:rPr>
  </w:style>
  <w:style w:type="character" w:customStyle="1" w:styleId="Heading1Char">
    <w:name w:val="Heading 1 Char"/>
    <w:basedOn w:val="DefaultParagraphFont"/>
    <w:link w:val="Heading1"/>
    <w:uiPriority w:val="1"/>
    <w:rsid w:val="00D77D74"/>
    <w:rPr>
      <w:rFonts w:ascii="Times New Roman" w:eastAsia="Times New Roman" w:hAnsi="Times New Roman" w:cs="Times New Roman"/>
      <w:b/>
      <w:bCs/>
      <w:color w:val="000000" w:themeColor="text1"/>
      <w:sz w:val="32"/>
      <w:szCs w:val="24"/>
    </w:rPr>
  </w:style>
  <w:style w:type="paragraph" w:styleId="BodyText">
    <w:name w:val="Body Text"/>
    <w:basedOn w:val="Normal"/>
    <w:link w:val="BodyTextChar"/>
    <w:uiPriority w:val="1"/>
    <w:qFormat/>
    <w:rsid w:val="00D77D74"/>
    <w:pPr>
      <w:widowControl w:val="0"/>
      <w:autoSpaceDE w:val="0"/>
      <w:autoSpaceDN w:val="0"/>
      <w:spacing w:after="0"/>
    </w:pPr>
    <w:rPr>
      <w:rFonts w:eastAsia="Times New Roman"/>
      <w:szCs w:val="24"/>
    </w:rPr>
  </w:style>
  <w:style w:type="character" w:customStyle="1" w:styleId="BodyTextChar">
    <w:name w:val="Body Text Char"/>
    <w:basedOn w:val="DefaultParagraphFont"/>
    <w:link w:val="BodyText"/>
    <w:uiPriority w:val="1"/>
    <w:rsid w:val="00D77D7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400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574003"/>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6F654B"/>
    <w:pPr>
      <w:spacing w:before="100" w:beforeAutospacing="1" w:after="100" w:afterAutospacing="1"/>
    </w:pPr>
    <w:rPr>
      <w:rFonts w:ascii="Arial Unicode MS" w:eastAsia="Arial Unicode MS" w:hAnsi="Arial Unicode MS" w:cs="Arial Unicode MS"/>
      <w:color w:val="000000"/>
      <w:szCs w:val="24"/>
    </w:rPr>
  </w:style>
  <w:style w:type="character" w:customStyle="1" w:styleId="StyleHyperlinkHyperlink12Arial10ptCustomColorRGB5151">
    <w:name w:val="Style HyperlinkHyperlink 12 + Arial 10 pt Custom Color(RGB(5151..."/>
    <w:basedOn w:val="Hyperlink"/>
    <w:rsid w:val="00AD0728"/>
    <w:rPr>
      <w:rFonts w:ascii="Arial" w:hAnsi="Arial" w:cs="Times New Roman" w:hint="default"/>
      <w:b w:val="0"/>
      <w:bCs w:val="0"/>
      <w:i w:val="0"/>
      <w:iCs w:val="0"/>
      <w:strike w:val="0"/>
      <w:dstrike w:val="0"/>
      <w:color w:val="3333FF"/>
      <w:sz w:val="20"/>
      <w:u w:val="single"/>
      <w:effect w:val="none"/>
      <w:bdr w:val="none" w:sz="0" w:space="0" w:color="auto"/>
    </w:rPr>
  </w:style>
  <w:style w:type="paragraph" w:styleId="Revision">
    <w:name w:val="Revision"/>
    <w:hidden/>
    <w:uiPriority w:val="99"/>
    <w:semiHidden/>
    <w:rsid w:val="003764BD"/>
    <w:pPr>
      <w:spacing w:after="0" w:line="240" w:lineRule="auto"/>
    </w:pPr>
  </w:style>
  <w:style w:type="table" w:customStyle="1" w:styleId="TableGrid2">
    <w:name w:val="Table Grid2"/>
    <w:basedOn w:val="TableNormal"/>
    <w:next w:val="TableGrid"/>
    <w:uiPriority w:val="5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977580"/>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77580"/>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977580"/>
    <w:pPr>
      <w:keepNext/>
      <w:keepLines/>
      <w:ind w:left="821"/>
    </w:pPr>
  </w:style>
  <w:style w:type="paragraph" w:styleId="List3">
    <w:name w:val="List 3"/>
    <w:basedOn w:val="Normal"/>
    <w:uiPriority w:val="99"/>
    <w:semiHidden/>
    <w:unhideWhenUsed/>
    <w:rsid w:val="00977580"/>
    <w:pPr>
      <w:keepNext/>
      <w:keepLines/>
      <w:ind w:left="1282"/>
    </w:pPr>
  </w:style>
  <w:style w:type="paragraph" w:styleId="List4">
    <w:name w:val="List 4"/>
    <w:basedOn w:val="Normal"/>
    <w:uiPriority w:val="99"/>
    <w:semiHidden/>
    <w:unhideWhenUsed/>
    <w:rsid w:val="00977580"/>
    <w:pPr>
      <w:keepNext/>
      <w:keepLines/>
      <w:ind w:left="1642"/>
    </w:pPr>
  </w:style>
  <w:style w:type="paragraph" w:styleId="List5">
    <w:name w:val="List 5"/>
    <w:basedOn w:val="Normal"/>
    <w:link w:val="List5Char"/>
    <w:uiPriority w:val="99"/>
    <w:semiHidden/>
    <w:unhideWhenUsed/>
    <w:rsid w:val="00977580"/>
    <w:pPr>
      <w:spacing w:before="120" w:after="0"/>
      <w:ind w:left="1872"/>
      <w:contextualSpacing/>
    </w:pPr>
  </w:style>
  <w:style w:type="paragraph" w:customStyle="1" w:styleId="List6">
    <w:name w:val="List 6"/>
    <w:basedOn w:val="List4"/>
    <w:link w:val="List6Char"/>
    <w:rsid w:val="00977580"/>
    <w:pPr>
      <w:ind w:left="2088"/>
    </w:pPr>
    <w:rPr>
      <w:i/>
    </w:rPr>
  </w:style>
  <w:style w:type="character" w:customStyle="1" w:styleId="List5Char">
    <w:name w:val="List 5 Char"/>
    <w:basedOn w:val="DefaultParagraphFont"/>
    <w:link w:val="List5"/>
    <w:uiPriority w:val="99"/>
    <w:semiHidden/>
    <w:rsid w:val="00977580"/>
    <w:rPr>
      <w:rFonts w:ascii="Times New Roman" w:hAnsi="Times New Roman" w:cs="Times New Roman"/>
      <w:sz w:val="24"/>
    </w:rPr>
  </w:style>
  <w:style w:type="character" w:customStyle="1" w:styleId="List6Char">
    <w:name w:val="List 6 Char"/>
    <w:basedOn w:val="List5Char"/>
    <w:link w:val="List6"/>
    <w:rsid w:val="00977580"/>
    <w:rPr>
      <w:rFonts w:ascii="Times New Roman" w:hAnsi="Times New Roman" w:cs="Times New Roman"/>
      <w:i/>
      <w:sz w:val="24"/>
    </w:rPr>
  </w:style>
  <w:style w:type="paragraph" w:customStyle="1" w:styleId="List7">
    <w:name w:val="List 7"/>
    <w:basedOn w:val="List4"/>
    <w:link w:val="List7Char"/>
    <w:rsid w:val="00977580"/>
    <w:pPr>
      <w:ind w:left="2534"/>
    </w:pPr>
  </w:style>
  <w:style w:type="character" w:customStyle="1" w:styleId="List7Char">
    <w:name w:val="List 7 Char"/>
    <w:basedOn w:val="List6Char"/>
    <w:link w:val="List7"/>
    <w:rsid w:val="00977580"/>
    <w:rPr>
      <w:rFonts w:ascii="Times New Roman" w:hAnsi="Times New Roman" w:cs="Times New Roman"/>
      <w:i w:val="0"/>
      <w:sz w:val="24"/>
    </w:rPr>
  </w:style>
  <w:style w:type="paragraph" w:customStyle="1" w:styleId="List8">
    <w:name w:val="List 8"/>
    <w:basedOn w:val="List4"/>
    <w:link w:val="List8Char"/>
    <w:rsid w:val="00977580"/>
    <w:pPr>
      <w:ind w:left="2880"/>
    </w:pPr>
  </w:style>
  <w:style w:type="character" w:customStyle="1" w:styleId="List8Char">
    <w:name w:val="List 8 Char"/>
    <w:basedOn w:val="List7Char"/>
    <w:link w:val="List8"/>
    <w:rsid w:val="00977580"/>
    <w:rPr>
      <w:rFonts w:ascii="Times New Roman" w:hAnsi="Times New Roman" w:cs="Times New Roman"/>
      <w:i w:val="0"/>
      <w:sz w:val="24"/>
    </w:rPr>
  </w:style>
  <w:style w:type="paragraph" w:customStyle="1" w:styleId="Heading1Red">
    <w:name w:val="Heading 1_Red"/>
    <w:basedOn w:val="Normal"/>
    <w:link w:val="Heading1RedChar"/>
    <w:rsid w:val="00977580"/>
    <w:pPr>
      <w:spacing w:after="0"/>
      <w:jc w:val="center"/>
      <w:outlineLvl w:val="0"/>
    </w:pPr>
    <w:rPr>
      <w:b/>
      <w:color w:val="FF0000"/>
      <w:sz w:val="40"/>
    </w:rPr>
  </w:style>
  <w:style w:type="character" w:customStyle="1" w:styleId="Heading1RedChar">
    <w:name w:val="Heading 1_Red Char"/>
    <w:basedOn w:val="DefaultParagraphFont"/>
    <w:link w:val="Heading1Red"/>
    <w:rsid w:val="00977580"/>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97758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77580"/>
    <w:pPr>
      <w:widowControl w:val="0"/>
    </w:pPr>
    <w:rPr>
      <w:i/>
      <w:color w:val="000000" w:themeColor="text1"/>
      <w:sz w:val="28"/>
    </w:rPr>
  </w:style>
  <w:style w:type="character" w:customStyle="1" w:styleId="editionChar">
    <w:name w:val="edition Char"/>
    <w:basedOn w:val="DefaultParagraphFont"/>
    <w:link w:val="edition"/>
    <w:rsid w:val="00977580"/>
    <w:rPr>
      <w:rFonts w:ascii="Times New Roman" w:hAnsi="Times New Roman" w:cs="Times New Roman"/>
      <w:b/>
      <w:i/>
      <w:color w:val="000000" w:themeColor="text1"/>
      <w:sz w:val="28"/>
    </w:rPr>
  </w:style>
  <w:style w:type="paragraph" w:customStyle="1" w:styleId="Heading1change">
    <w:name w:val="Heading 1_change"/>
    <w:basedOn w:val="Normal"/>
    <w:link w:val="Heading1changeChar"/>
    <w:rsid w:val="00977580"/>
    <w:pPr>
      <w:spacing w:after="0"/>
      <w:jc w:val="center"/>
      <w:outlineLvl w:val="0"/>
    </w:pPr>
    <w:rPr>
      <w:b/>
      <w:color w:val="000000"/>
      <w:sz w:val="28"/>
    </w:rPr>
  </w:style>
  <w:style w:type="character" w:customStyle="1" w:styleId="Heading1changeChar">
    <w:name w:val="Heading 1_change Char"/>
    <w:basedOn w:val="DefaultParagraphFont"/>
    <w:link w:val="Heading1change"/>
    <w:rsid w:val="00977580"/>
    <w:rPr>
      <w:rFonts w:ascii="Times New Roman" w:hAnsi="Times New Roman" w:cs="Times New Roman"/>
      <w:b/>
      <w:color w:val="000000"/>
      <w:sz w:val="28"/>
    </w:rPr>
  </w:style>
  <w:style w:type="paragraph" w:customStyle="1" w:styleId="Heading2change">
    <w:name w:val="Heading 2_change"/>
    <w:basedOn w:val="Normal"/>
    <w:link w:val="Heading2changeChar"/>
    <w:rsid w:val="00977580"/>
    <w:pPr>
      <w:keepNext/>
      <w:spacing w:after="0"/>
      <w:jc w:val="center"/>
      <w:outlineLvl w:val="1"/>
    </w:pPr>
    <w:rPr>
      <w:b/>
      <w:color w:val="000000"/>
      <w:sz w:val="28"/>
    </w:rPr>
  </w:style>
  <w:style w:type="character" w:customStyle="1" w:styleId="Heading2changeChar">
    <w:name w:val="Heading 2_change Char"/>
    <w:basedOn w:val="DefaultParagraphFont"/>
    <w:link w:val="Heading2change"/>
    <w:rsid w:val="00977580"/>
    <w:rPr>
      <w:rFonts w:ascii="Times New Roman" w:hAnsi="Times New Roman" w:cs="Times New Roman"/>
      <w:b/>
      <w:color w:val="000000"/>
      <w:sz w:val="28"/>
    </w:rPr>
  </w:style>
  <w:style w:type="paragraph" w:customStyle="1" w:styleId="Heading3change">
    <w:name w:val="Heading 3_change"/>
    <w:basedOn w:val="Normal"/>
    <w:link w:val="Heading3changeChar"/>
    <w:rsid w:val="00977580"/>
    <w:pPr>
      <w:spacing w:after="0"/>
      <w:outlineLvl w:val="2"/>
    </w:pPr>
    <w:rPr>
      <w:b/>
      <w:caps/>
      <w:color w:val="000000"/>
    </w:rPr>
  </w:style>
  <w:style w:type="character" w:customStyle="1" w:styleId="Heading3changeChar">
    <w:name w:val="Heading 3_change Char"/>
    <w:basedOn w:val="DefaultParagraphFont"/>
    <w:link w:val="Heading3change"/>
    <w:rsid w:val="00977580"/>
    <w:rPr>
      <w:rFonts w:ascii="Times New Roman" w:hAnsi="Times New Roman" w:cs="Times New Roman"/>
      <w:b/>
      <w:caps/>
      <w:color w:val="000000"/>
      <w:sz w:val="24"/>
    </w:rPr>
  </w:style>
  <w:style w:type="paragraph" w:customStyle="1" w:styleId="List1change">
    <w:name w:val="List 1_change"/>
    <w:basedOn w:val="Normal"/>
    <w:link w:val="List1changeChar"/>
    <w:rsid w:val="00977580"/>
    <w:pPr>
      <w:keepNext/>
      <w:keepLines/>
      <w:ind w:left="432"/>
    </w:pPr>
  </w:style>
  <w:style w:type="character" w:customStyle="1" w:styleId="List1changeChar">
    <w:name w:val="List 1_change Char"/>
    <w:basedOn w:val="DefaultParagraphFont"/>
    <w:link w:val="List1change"/>
    <w:rsid w:val="00977580"/>
    <w:rPr>
      <w:rFonts w:ascii="Times New Roman" w:hAnsi="Times New Roman" w:cs="Times New Roman"/>
      <w:sz w:val="24"/>
    </w:rPr>
  </w:style>
  <w:style w:type="paragraph" w:customStyle="1" w:styleId="List2change">
    <w:name w:val="List 2_change"/>
    <w:basedOn w:val="Normal"/>
    <w:link w:val="List2changeChar"/>
    <w:rsid w:val="00977580"/>
    <w:pPr>
      <w:spacing w:before="120" w:after="0"/>
      <w:ind w:left="821"/>
      <w:contextualSpacing/>
    </w:pPr>
  </w:style>
  <w:style w:type="character" w:customStyle="1" w:styleId="List2changeChar">
    <w:name w:val="List 2_change Char"/>
    <w:basedOn w:val="DefaultParagraphFont"/>
    <w:link w:val="List2change"/>
    <w:rsid w:val="00977580"/>
    <w:rPr>
      <w:rFonts w:ascii="Times New Roman" w:hAnsi="Times New Roman" w:cs="Times New Roman"/>
      <w:sz w:val="24"/>
    </w:rPr>
  </w:style>
  <w:style w:type="paragraph" w:customStyle="1" w:styleId="List3change">
    <w:name w:val="List 3_change"/>
    <w:basedOn w:val="Normal"/>
    <w:link w:val="List3changeChar"/>
    <w:rsid w:val="00977580"/>
    <w:pPr>
      <w:keepNext/>
      <w:keepLines/>
      <w:spacing w:before="120" w:after="0"/>
      <w:ind w:left="1282"/>
      <w:contextualSpacing/>
    </w:pPr>
  </w:style>
  <w:style w:type="character" w:customStyle="1" w:styleId="List3changeChar">
    <w:name w:val="List 3_change Char"/>
    <w:basedOn w:val="DefaultParagraphFont"/>
    <w:link w:val="List3change"/>
    <w:rsid w:val="00977580"/>
    <w:rPr>
      <w:rFonts w:ascii="Times New Roman" w:hAnsi="Times New Roman" w:cs="Times New Roman"/>
      <w:sz w:val="24"/>
    </w:rPr>
  </w:style>
  <w:style w:type="paragraph" w:customStyle="1" w:styleId="List4change">
    <w:name w:val="List 4_change"/>
    <w:basedOn w:val="Normal"/>
    <w:link w:val="List4changeChar"/>
    <w:rsid w:val="00977580"/>
    <w:pPr>
      <w:spacing w:before="120" w:after="0"/>
      <w:ind w:left="1642"/>
      <w:contextualSpacing/>
    </w:pPr>
  </w:style>
  <w:style w:type="character" w:customStyle="1" w:styleId="List4changeChar">
    <w:name w:val="List 4_change Char"/>
    <w:basedOn w:val="DefaultParagraphFont"/>
    <w:link w:val="List4change"/>
    <w:rsid w:val="00977580"/>
    <w:rPr>
      <w:rFonts w:ascii="Times New Roman" w:hAnsi="Times New Roman" w:cs="Times New Roman"/>
      <w:sz w:val="24"/>
    </w:rPr>
  </w:style>
  <w:style w:type="paragraph" w:customStyle="1" w:styleId="List5change">
    <w:name w:val="List 5_change"/>
    <w:basedOn w:val="Normal"/>
    <w:link w:val="List5changeChar"/>
    <w:rsid w:val="00977580"/>
    <w:pPr>
      <w:keepNext/>
      <w:keepLines/>
      <w:spacing w:before="120" w:after="0"/>
      <w:ind w:left="1872"/>
      <w:contextualSpacing/>
    </w:pPr>
  </w:style>
  <w:style w:type="character" w:customStyle="1" w:styleId="List5changeChar">
    <w:name w:val="List 5_change Char"/>
    <w:basedOn w:val="DefaultParagraphFont"/>
    <w:link w:val="List5change"/>
    <w:rsid w:val="00977580"/>
    <w:rPr>
      <w:rFonts w:ascii="Times New Roman" w:hAnsi="Times New Roman" w:cs="Times New Roman"/>
      <w:sz w:val="24"/>
    </w:rPr>
  </w:style>
  <w:style w:type="paragraph" w:customStyle="1" w:styleId="List6change">
    <w:name w:val="List 6_change"/>
    <w:basedOn w:val="Normal"/>
    <w:link w:val="List6changeChar"/>
    <w:rsid w:val="00977580"/>
    <w:pPr>
      <w:keepNext/>
      <w:keepLines/>
      <w:spacing w:before="120" w:after="0"/>
      <w:ind w:left="2088"/>
      <w:contextualSpacing/>
    </w:pPr>
    <w:rPr>
      <w:i/>
      <w:color w:val="000000"/>
    </w:rPr>
  </w:style>
  <w:style w:type="character" w:customStyle="1" w:styleId="List6changeChar">
    <w:name w:val="List 6_change Char"/>
    <w:basedOn w:val="DefaultParagraphFont"/>
    <w:link w:val="List6change"/>
    <w:rsid w:val="00977580"/>
    <w:rPr>
      <w:rFonts w:ascii="Times New Roman" w:hAnsi="Times New Roman" w:cs="Times New Roman"/>
      <w:i/>
      <w:color w:val="000000"/>
    </w:rPr>
  </w:style>
  <w:style w:type="paragraph" w:customStyle="1" w:styleId="List7change">
    <w:name w:val="List 7_change"/>
    <w:basedOn w:val="Normal"/>
    <w:link w:val="List7changeChar"/>
    <w:rsid w:val="00977580"/>
    <w:pPr>
      <w:keepNext/>
      <w:keepLines/>
      <w:spacing w:before="120" w:after="0"/>
      <w:ind w:left="2534"/>
      <w:contextualSpacing/>
    </w:pPr>
    <w:rPr>
      <w:i/>
    </w:rPr>
  </w:style>
  <w:style w:type="character" w:customStyle="1" w:styleId="List7changeChar">
    <w:name w:val="List 7_change Char"/>
    <w:basedOn w:val="DefaultParagraphFont"/>
    <w:link w:val="List7change"/>
    <w:rsid w:val="00977580"/>
    <w:rPr>
      <w:rFonts w:ascii="Times New Roman" w:hAnsi="Times New Roman" w:cs="Times New Roman"/>
      <w:i/>
      <w:sz w:val="24"/>
    </w:rPr>
  </w:style>
  <w:style w:type="paragraph" w:customStyle="1" w:styleId="List8change">
    <w:name w:val="List 8_change"/>
    <w:basedOn w:val="Normal"/>
    <w:link w:val="List8changeChar"/>
    <w:rsid w:val="00977580"/>
    <w:pPr>
      <w:keepNext/>
      <w:keepLines/>
      <w:spacing w:before="120" w:after="0"/>
      <w:ind w:left="2880"/>
      <w:contextualSpacing/>
    </w:pPr>
    <w:rPr>
      <w:i/>
    </w:rPr>
  </w:style>
  <w:style w:type="character" w:customStyle="1" w:styleId="List8changeChar">
    <w:name w:val="List 8_change Char"/>
    <w:basedOn w:val="DefaultParagraphFont"/>
    <w:link w:val="List8change"/>
    <w:rsid w:val="00977580"/>
    <w:rPr>
      <w:rFonts w:ascii="Times New Roman" w:hAnsi="Times New Roman" w:cs="Times New Roman"/>
      <w:i/>
      <w:sz w:val="24"/>
    </w:rPr>
  </w:style>
  <w:style w:type="paragraph" w:customStyle="1" w:styleId="Normalchange">
    <w:name w:val="Normal_change"/>
    <w:basedOn w:val="Normal"/>
    <w:link w:val="NormalchangeChar"/>
    <w:rsid w:val="00977580"/>
    <w:rPr>
      <w:rFonts w:cstheme="minorHAnsi"/>
      <w:color w:val="000000"/>
    </w:rPr>
  </w:style>
  <w:style w:type="character" w:customStyle="1" w:styleId="NormalchangeChar">
    <w:name w:val="Normal_change Char"/>
    <w:basedOn w:val="DefaultParagraphFont"/>
    <w:link w:val="Normalchange"/>
    <w:rsid w:val="00977580"/>
    <w:rPr>
      <w:rFonts w:cs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7824">
      <w:bodyDiv w:val="1"/>
      <w:marLeft w:val="0"/>
      <w:marRight w:val="0"/>
      <w:marTop w:val="0"/>
      <w:marBottom w:val="0"/>
      <w:divBdr>
        <w:top w:val="none" w:sz="0" w:space="0" w:color="auto"/>
        <w:left w:val="none" w:sz="0" w:space="0" w:color="auto"/>
        <w:bottom w:val="none" w:sz="0" w:space="0" w:color="auto"/>
        <w:right w:val="none" w:sz="0" w:space="0" w:color="auto"/>
      </w:divBdr>
    </w:div>
    <w:div w:id="197012564">
      <w:bodyDiv w:val="1"/>
      <w:marLeft w:val="0"/>
      <w:marRight w:val="0"/>
      <w:marTop w:val="0"/>
      <w:marBottom w:val="0"/>
      <w:divBdr>
        <w:top w:val="none" w:sz="0" w:space="0" w:color="auto"/>
        <w:left w:val="none" w:sz="0" w:space="0" w:color="auto"/>
        <w:bottom w:val="none" w:sz="0" w:space="0" w:color="auto"/>
        <w:right w:val="none" w:sz="0" w:space="0" w:color="auto"/>
      </w:divBdr>
    </w:div>
    <w:div w:id="472724075">
      <w:bodyDiv w:val="1"/>
      <w:marLeft w:val="0"/>
      <w:marRight w:val="0"/>
      <w:marTop w:val="0"/>
      <w:marBottom w:val="0"/>
      <w:divBdr>
        <w:top w:val="none" w:sz="0" w:space="0" w:color="auto"/>
        <w:left w:val="none" w:sz="0" w:space="0" w:color="auto"/>
        <w:bottom w:val="none" w:sz="0" w:space="0" w:color="auto"/>
        <w:right w:val="none" w:sz="0" w:space="0" w:color="auto"/>
      </w:divBdr>
    </w:div>
    <w:div w:id="635768145">
      <w:bodyDiv w:val="1"/>
      <w:marLeft w:val="0"/>
      <w:marRight w:val="0"/>
      <w:marTop w:val="0"/>
      <w:marBottom w:val="0"/>
      <w:divBdr>
        <w:top w:val="none" w:sz="0" w:space="0" w:color="auto"/>
        <w:left w:val="none" w:sz="0" w:space="0" w:color="auto"/>
        <w:bottom w:val="none" w:sz="0" w:space="0" w:color="auto"/>
        <w:right w:val="none" w:sz="0" w:space="0" w:color="auto"/>
      </w:divBdr>
    </w:div>
    <w:div w:id="827939983">
      <w:bodyDiv w:val="1"/>
      <w:marLeft w:val="0"/>
      <w:marRight w:val="0"/>
      <w:marTop w:val="0"/>
      <w:marBottom w:val="0"/>
      <w:divBdr>
        <w:top w:val="none" w:sz="0" w:space="0" w:color="auto"/>
        <w:left w:val="none" w:sz="0" w:space="0" w:color="auto"/>
        <w:bottom w:val="none" w:sz="0" w:space="0" w:color="auto"/>
        <w:right w:val="none" w:sz="0" w:space="0" w:color="auto"/>
      </w:divBdr>
    </w:div>
    <w:div w:id="904880091">
      <w:bodyDiv w:val="1"/>
      <w:marLeft w:val="0"/>
      <w:marRight w:val="0"/>
      <w:marTop w:val="0"/>
      <w:marBottom w:val="0"/>
      <w:divBdr>
        <w:top w:val="none" w:sz="0" w:space="0" w:color="auto"/>
        <w:left w:val="none" w:sz="0" w:space="0" w:color="auto"/>
        <w:bottom w:val="none" w:sz="0" w:space="0" w:color="auto"/>
        <w:right w:val="none" w:sz="0" w:space="0" w:color="auto"/>
      </w:divBdr>
    </w:div>
    <w:div w:id="974067558">
      <w:bodyDiv w:val="1"/>
      <w:marLeft w:val="0"/>
      <w:marRight w:val="0"/>
      <w:marTop w:val="0"/>
      <w:marBottom w:val="0"/>
      <w:divBdr>
        <w:top w:val="none" w:sz="0" w:space="0" w:color="auto"/>
        <w:left w:val="none" w:sz="0" w:space="0" w:color="auto"/>
        <w:bottom w:val="none" w:sz="0" w:space="0" w:color="auto"/>
        <w:right w:val="none" w:sz="0" w:space="0" w:color="auto"/>
      </w:divBdr>
    </w:div>
    <w:div w:id="1147237465">
      <w:bodyDiv w:val="1"/>
      <w:marLeft w:val="0"/>
      <w:marRight w:val="0"/>
      <w:marTop w:val="0"/>
      <w:marBottom w:val="0"/>
      <w:divBdr>
        <w:top w:val="none" w:sz="0" w:space="0" w:color="auto"/>
        <w:left w:val="none" w:sz="0" w:space="0" w:color="auto"/>
        <w:bottom w:val="none" w:sz="0" w:space="0" w:color="auto"/>
        <w:right w:val="none" w:sz="0" w:space="0" w:color="auto"/>
      </w:divBdr>
    </w:div>
    <w:div w:id="1150488288">
      <w:bodyDiv w:val="1"/>
      <w:marLeft w:val="0"/>
      <w:marRight w:val="0"/>
      <w:marTop w:val="0"/>
      <w:marBottom w:val="0"/>
      <w:divBdr>
        <w:top w:val="none" w:sz="0" w:space="0" w:color="auto"/>
        <w:left w:val="none" w:sz="0" w:space="0" w:color="auto"/>
        <w:bottom w:val="none" w:sz="0" w:space="0" w:color="auto"/>
        <w:right w:val="none" w:sz="0" w:space="0" w:color="auto"/>
      </w:divBdr>
    </w:div>
    <w:div w:id="1609777257">
      <w:bodyDiv w:val="1"/>
      <w:marLeft w:val="0"/>
      <w:marRight w:val="0"/>
      <w:marTop w:val="0"/>
      <w:marBottom w:val="0"/>
      <w:divBdr>
        <w:top w:val="none" w:sz="0" w:space="0" w:color="auto"/>
        <w:left w:val="none" w:sz="0" w:space="0" w:color="auto"/>
        <w:bottom w:val="none" w:sz="0" w:space="0" w:color="auto"/>
        <w:right w:val="none" w:sz="0" w:space="0" w:color="auto"/>
      </w:divBdr>
    </w:div>
    <w:div w:id="1810974411">
      <w:bodyDiv w:val="1"/>
      <w:marLeft w:val="0"/>
      <w:marRight w:val="0"/>
      <w:marTop w:val="0"/>
      <w:marBottom w:val="0"/>
      <w:divBdr>
        <w:top w:val="none" w:sz="0" w:space="0" w:color="auto"/>
        <w:left w:val="none" w:sz="0" w:space="0" w:color="auto"/>
        <w:bottom w:val="none" w:sz="0" w:space="0" w:color="auto"/>
        <w:right w:val="none" w:sz="0" w:space="0" w:color="auto"/>
      </w:divBdr>
    </w:div>
    <w:div w:id="1821773515">
      <w:bodyDiv w:val="1"/>
      <w:marLeft w:val="0"/>
      <w:marRight w:val="0"/>
      <w:marTop w:val="0"/>
      <w:marBottom w:val="0"/>
      <w:divBdr>
        <w:top w:val="none" w:sz="0" w:space="0" w:color="auto"/>
        <w:left w:val="none" w:sz="0" w:space="0" w:color="auto"/>
        <w:bottom w:val="none" w:sz="0" w:space="0" w:color="auto"/>
        <w:right w:val="none" w:sz="0" w:space="0" w:color="auto"/>
      </w:divBdr>
    </w:div>
    <w:div w:id="1825782604">
      <w:bodyDiv w:val="1"/>
      <w:marLeft w:val="0"/>
      <w:marRight w:val="0"/>
      <w:marTop w:val="0"/>
      <w:marBottom w:val="0"/>
      <w:divBdr>
        <w:top w:val="none" w:sz="0" w:space="0" w:color="auto"/>
        <w:left w:val="none" w:sz="0" w:space="0" w:color="auto"/>
        <w:bottom w:val="none" w:sz="0" w:space="0" w:color="auto"/>
        <w:right w:val="none" w:sz="0" w:space="0" w:color="auto"/>
      </w:divBdr>
    </w:div>
    <w:div w:id="20568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gl.milcloud.mil/wgl/wglhelp/WEB%20WGL%20USERS%20GUIDE.docx" TargetMode="External"/><Relationship Id="rId18" Type="http://schemas.openxmlformats.org/officeDocument/2006/relationships/hyperlink" Target="https://cs2.eis.af.mil/sites/10074/afcc/aficc/KP/KPP/Training/SitePages/Pricing.aspx" TargetMode="External"/><Relationship Id="rId26" Type="http://schemas.openxmlformats.org/officeDocument/2006/relationships/hyperlink" Target="https://cs2.eis.af.mil/sites/10059/afcc/knowledge_center/affars_pgi_related_documents/proposal_kickoff_meeting_checklist.docx" TargetMode="External"/><Relationship Id="rId39" Type="http://schemas.openxmlformats.org/officeDocument/2006/relationships/hyperlink" Target="https://insidesmc.losangeles.af.mil/sites/PI/ace/AS_Process_Overview/Forms/AllItems.aspxhttps:/insidesmc.losangeles.af.mil/sites/PI/ace/AS_Process_Overview/Forms/AllItems.aspx" TargetMode="External"/><Relationship Id="rId21" Type="http://schemas.openxmlformats.org/officeDocument/2006/relationships/hyperlink" Target="https://cs2.eis.af.mil/sites/10059/afcc/knowledge_center/affars_pgi_related_documents/delegation_of_ssa_staff_summary_sheet_template.dotx" TargetMode="External"/><Relationship Id="rId34" Type="http://schemas.openxmlformats.org/officeDocument/2006/relationships/hyperlink" Target="https://cs2.eis.af.mil/sites/10059/afcc/knowledge_center/templates/streamlined_pnm_SERVICES.doc" TargetMode="External"/><Relationship Id="rId42" Type="http://schemas.openxmlformats.org/officeDocument/2006/relationships/hyperlink" Target="mailto:SMC.PA.SecurityandPolicy@us.af.mil" TargetMode="External"/><Relationship Id="rId47" Type="http://schemas.openxmlformats.org/officeDocument/2006/relationships/hyperlink" Target="https://cs2.eis.af.mil/sites/10059/afcc/knowledge_center/affars_pgi_related_documents/SMC_CAA_delegation_and_pricing_assistance_waiver_memo.pdf" TargetMode="External"/><Relationship Id="rId50" Type="http://schemas.openxmlformats.org/officeDocument/2006/relationships/hyperlink" Target="https://insidesmc.losangeles.af.mil/sites/pk/Style%20Library/PON/modules/03-PFR/default.aspx" TargetMode="External"/><Relationship Id="rId55"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dau.mil/tools/t/DoD-Sole-Source-Streamlining-Toolbox" TargetMode="External"/><Relationship Id="rId17" Type="http://schemas.openxmlformats.org/officeDocument/2006/relationships/hyperlink" Target="mailto:aficc.kpf.aficckpfworkflow@us.af.mil" TargetMode="External"/><Relationship Id="rId25" Type="http://schemas.openxmlformats.org/officeDocument/2006/relationships/hyperlink" Target="https://www.cpars.gov/pdfs/CPARS-Guidance.pdf" TargetMode="External"/><Relationship Id="rId33" Type="http://schemas.openxmlformats.org/officeDocument/2006/relationships/hyperlink" Target="https://cs2.eis.af.mil/sites/10059/afcc/knowledge_center/templates/streamlined_pnm_SUPPLIES.doc" TargetMode="External"/><Relationship Id="rId38" Type="http://schemas.openxmlformats.org/officeDocument/2006/relationships/hyperlink" Target="https://cs2.eis.af.mil/sites/10059/afcc/knowledge_center/affars_pgi_related_documents/defective_pricing_guide.doc" TargetMode="External"/><Relationship Id="rId46" Type="http://schemas.openxmlformats.org/officeDocument/2006/relationships/hyperlink" Target="https://insidesmc.losangeles.af.mil/sites/PI/ace/APEX%20%20Source%20Selection/Forms/AllItems.aspx"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ficc.kpf.aficckpfworkflow@us.af.mil" TargetMode="External"/><Relationship Id="rId20" Type="http://schemas.openxmlformats.org/officeDocument/2006/relationships/hyperlink" Target="mailto:aficc.kpf.aficckpfworkflow@us.af.mil" TargetMode="External"/><Relationship Id="rId29" Type="http://schemas.openxmlformats.org/officeDocument/2006/relationships/hyperlink" Target="mailto:AFMC.PK.Workflow-02@us.af.mil?subject=draft%20request%20for%20TINA%20waiver%20for%20AFMC/PKF" TargetMode="External"/><Relationship Id="rId41" Type="http://schemas.openxmlformats.org/officeDocument/2006/relationships/hyperlink" Target="mailto:smallbus@us.af.mi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forms/dd/dd0254.pdf" TargetMode="External"/><Relationship Id="rId24" Type="http://schemas.openxmlformats.org/officeDocument/2006/relationships/hyperlink" Target="https://cs2.eis.af.mil/sites/10059/afcc/knowledge_center/Pages/5315-main.aspx" TargetMode="External"/><Relationship Id="rId32" Type="http://schemas.openxmlformats.org/officeDocument/2006/relationships/hyperlink" Target="mailto:AFMC.PK.Workflow-02@us.af.mil" TargetMode="External"/><Relationship Id="rId37" Type="http://schemas.openxmlformats.org/officeDocument/2006/relationships/hyperlink" Target="https://www.gsa.gov/forms-library/abstract-offers-continuation" TargetMode="External"/><Relationship Id="rId40" Type="http://schemas.openxmlformats.org/officeDocument/2006/relationships/hyperlink" Target="mailto:smc.pk.exec@us.af.mil" TargetMode="External"/><Relationship Id="rId45" Type="http://schemas.openxmlformats.org/officeDocument/2006/relationships/hyperlink" Target="mailto:usaf.pentagon.saf-aq.mbx.saf-aqc-workflow@mail.mil"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wgl.wpafb.af.mil/wgl/Default.asp" TargetMode="External"/><Relationship Id="rId23" Type="http://schemas.openxmlformats.org/officeDocument/2006/relationships/hyperlink" Target="https://cs2.eis.af.mil/sites/10059/afcc/knowledge_center/affars_pgi_related_documents/verification_of_correspondence_going_to_offeror.xls" TargetMode="External"/><Relationship Id="rId28" Type="http://schemas.openxmlformats.org/officeDocument/2006/relationships/hyperlink" Target="https://www.dau.mil/tools/t/DoD-Sole-Source-Streamlining-Toolbox" TargetMode="External"/><Relationship Id="rId36" Type="http://schemas.openxmlformats.org/officeDocument/2006/relationships/hyperlink" Target="https://www.gsa.gov/forms-library/abstract-offers-0" TargetMode="External"/><Relationship Id="rId49" Type="http://schemas.openxmlformats.org/officeDocument/2006/relationships/hyperlink" Target="http://www.globalinsight.com/About/" TargetMode="External"/><Relationship Id="rId57"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esd.whs.mil/Portals/54/Documents/DD/forms/dd/dd1547.pdf" TargetMode="External"/><Relationship Id="rId31" Type="http://schemas.openxmlformats.org/officeDocument/2006/relationships/hyperlink" Target="https://cs2.eis.af.mil/sites/10059/afcc/knowledge_center/affars_pgi_related_documents/subcontractor_proposal_tracking_matrix.xlsx" TargetMode="External"/><Relationship Id="rId44" Type="http://schemas.openxmlformats.org/officeDocument/2006/relationships/hyperlink" Target="mailto:smc.cae@us.af.mil"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d.whs.mil/Portals/54/Documents/DD/forms/dd/dd1547.pdf" TargetMode="External"/><Relationship Id="rId22" Type="http://schemas.openxmlformats.org/officeDocument/2006/relationships/hyperlink" Target="https://cs2.eis.af.mil/sites/10059/afcc/knowledge_center/affars_pgi_related_documents/delegation_of_ssa_memo_template.docx" TargetMode="External"/><Relationship Id="rId27" Type="http://schemas.openxmlformats.org/officeDocument/2006/relationships/hyperlink" Target="https://cs2.eis.af.mil/sites/10059/afcc/knowledge_center/affars_pgi_related_documents/proposal_walk-through_meeting_checklist.docx" TargetMode="External"/><Relationship Id="rId30" Type="http://schemas.openxmlformats.org/officeDocument/2006/relationships/hyperlink" Target="https://www.esd.whs.mil/Portals/54/Documents/DD/issuances/dodd/510536p.pdf" TargetMode="External"/><Relationship Id="rId35" Type="http://schemas.openxmlformats.org/officeDocument/2006/relationships/hyperlink" Target="affars_pgi_5301.docx" TargetMode="External"/><Relationship Id="rId43" Type="http://schemas.openxmlformats.org/officeDocument/2006/relationships/hyperlink" Target="mailto:smc.cce@us.af.mil" TargetMode="External"/><Relationship Id="rId48" Type="http://schemas.openxmlformats.org/officeDocument/2006/relationships/hyperlink" Target="https://insidesmc.losangeles.af.mil/sites/pk/div/pkf/pricingcorner/default.aspx" TargetMode="External"/><Relationship Id="rId5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cs2.eis.af.mil/sites/13093/PP/USAFA_PK/_layouts/15/start.aspx"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4D0A-3EA8-4723-B3EE-DDC3AEE19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D1B5E3-34F0-4C4E-B402-20D855058131}">
  <ds:schemaRefs>
    <ds:schemaRef ds:uri="http://schemas.microsoft.com/sharepoint/v3/contenttype/forms"/>
  </ds:schemaRefs>
</ds:datastoreItem>
</file>

<file path=customXml/itemProps3.xml><?xml version="1.0" encoding="utf-8"?>
<ds:datastoreItem xmlns:ds="http://schemas.openxmlformats.org/officeDocument/2006/customXml" ds:itemID="{9DB86B0F-1050-438B-A17A-347DDF66CE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CAC0D3-7BF2-43BB-B800-2C954995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26</Pages>
  <Words>8032</Words>
  <Characters>45785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Contracting by Negotiation</vt:lpstr>
    </vt:vector>
  </TitlesOfParts>
  <Company>U.S. Air Force</Company>
  <LinksUpToDate>false</LinksUpToDate>
  <CharactersWithSpaces>53710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Contracting by Negotiation</dc:title>
  <dc:subject/>
  <dc:creator>VOUDREN, JEFFREY W NH-04 USAF HAF SAF/BLDG PENTAGON, 4C149</dc:creator>
  <cp:keywords/>
  <dc:description/>
  <cp:lastModifiedBy>VOUDREN, JEFFREY W NH-04 USAF HAF SAF/BLDG PENTAGON, 4C149</cp:lastModifiedBy>
  <cp:revision>18</cp:revision>
  <cp:lastPrinted>2019-08-12T12:30:00Z</cp:lastPrinted>
  <dcterms:created xsi:type="dcterms:W3CDTF">2019-09-06T17:07:00Z</dcterms:created>
  <dcterms:modified xsi:type="dcterms:W3CDTF">2020-06-29T19:00:00Z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