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4B" w:rsidRDefault="00A7274B" w:rsidP="00575695">
      <w:pPr>
        <w:pStyle w:val="Heading4"/>
      </w:pPr>
      <w:bookmarkStart w:id="0" w:name="_Toc347036693"/>
      <w:bookmarkStart w:id="1" w:name="_Toc350308878"/>
      <w:bookmarkStart w:id="2" w:name="_Toc351653652"/>
      <w:bookmarkStart w:id="3" w:name="_GoBack"/>
      <w:bookmarkEnd w:id="3"/>
      <w:r>
        <w:t>PART 5322</w:t>
      </w:r>
      <w:r w:rsidR="00FB2460">
        <w:t xml:space="preserve"> - </w:t>
      </w:r>
      <w:r>
        <w:br/>
        <w:t>Application of Labor Laws to Government Acquisitions</w:t>
      </w:r>
    </w:p>
    <w:p w:rsidR="00A7274B" w:rsidRPr="00440E28" w:rsidRDefault="00A7274B" w:rsidP="00575695">
      <w:pPr>
        <w:spacing w:after="0"/>
        <w:rPr>
          <w:szCs w:val="24"/>
        </w:rPr>
      </w:pPr>
    </w:p>
    <w:p w:rsidR="008903C2" w:rsidRPr="00A54322" w:rsidRDefault="008903C2" w:rsidP="008903C2">
      <w:pPr>
        <w:spacing w:after="0"/>
        <w:jc w:val="center"/>
        <w:rPr>
          <w:szCs w:val="24"/>
        </w:rPr>
      </w:pPr>
      <w:bookmarkStart w:id="4" w:name="_Toc351653653"/>
      <w:bookmarkEnd w:id="0"/>
      <w:bookmarkEnd w:id="1"/>
      <w:bookmarkEnd w:id="2"/>
      <w:r w:rsidRPr="00A54322">
        <w:rPr>
          <w:szCs w:val="24"/>
        </w:rPr>
        <w:t>[</w:t>
      </w:r>
      <w:r w:rsidR="005F3E88">
        <w:rPr>
          <w:i/>
          <w:iCs/>
          <w:szCs w:val="24"/>
        </w:rPr>
        <w:t xml:space="preserve">2019 </w:t>
      </w:r>
      <w:r w:rsidR="00765381"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575695" w:rsidRDefault="00575695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A7536B" w:rsidRDefault="00A7536B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E92512" w:rsidRDefault="00E92512" w:rsidP="00575695">
      <w:pPr>
        <w:pStyle w:val="Heading1"/>
        <w:spacing w:before="0" w:after="0"/>
        <w:rPr>
          <w:bCs/>
          <w:caps w:val="0"/>
          <w:kern w:val="0"/>
        </w:rPr>
      </w:pPr>
      <w:r>
        <w:rPr>
          <w:bCs/>
          <w:caps w:val="0"/>
          <w:kern w:val="0"/>
        </w:rPr>
        <w:t>SUBPART 5322.1 — BASIC LABOR POLICIES</w:t>
      </w:r>
      <w:bookmarkEnd w:id="4"/>
    </w:p>
    <w:p w:rsidR="00E92512" w:rsidRDefault="00E92512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  <w:bookmarkStart w:id="5" w:name="_Toc351653654"/>
    </w:p>
    <w:p w:rsidR="00E92512" w:rsidRDefault="00E92512" w:rsidP="00575695">
      <w:pPr>
        <w:spacing w:after="0"/>
        <w:rPr>
          <w:b/>
        </w:rPr>
      </w:pPr>
      <w:bookmarkStart w:id="6" w:name="_Toc351653655"/>
      <w:bookmarkEnd w:id="5"/>
      <w:r>
        <w:rPr>
          <w:b/>
        </w:rPr>
        <w:t xml:space="preserve">5322.101-1 </w:t>
      </w:r>
      <w:r w:rsidR="00CF0109">
        <w:rPr>
          <w:b/>
        </w:rPr>
        <w:t xml:space="preserve">  </w:t>
      </w:r>
      <w:r>
        <w:rPr>
          <w:b/>
        </w:rPr>
        <w:t>General</w:t>
      </w:r>
      <w:bookmarkEnd w:id="6"/>
    </w:p>
    <w:p w:rsidR="00E92512" w:rsidRDefault="00E92512" w:rsidP="00575695">
      <w:pPr>
        <w:spacing w:after="0"/>
      </w:pPr>
    </w:p>
    <w:p w:rsidR="00E92512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0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:rsidR="00E92512" w:rsidRDefault="00E92512" w:rsidP="00575695">
      <w:pPr>
        <w:pStyle w:val="BodyText3"/>
        <w:spacing w:after="0"/>
        <w:rPr>
          <w:color w:val="auto"/>
        </w:rPr>
      </w:pPr>
    </w:p>
    <w:p w:rsidR="00E92512" w:rsidRDefault="00B0141D" w:rsidP="00575695">
      <w:pPr>
        <w:pStyle w:val="BodyText3"/>
        <w:spacing w:after="0"/>
        <w:rPr>
          <w:color w:val="auto"/>
        </w:rPr>
      </w:pPr>
      <w:bookmarkStart w:id="7" w:name="p53221011e"/>
      <w:bookmarkEnd w:id="7"/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1" w:anchor="p53221011e" w:history="1">
        <w:r w:rsidRPr="00134C59">
          <w:rPr>
            <w:rStyle w:val="Hyperlink"/>
          </w:rPr>
          <w:t>MP5301.601(a)(</w:t>
        </w:r>
        <w:proofErr w:type="spellStart"/>
        <w:r w:rsidRPr="00134C59">
          <w:rPr>
            <w:rStyle w:val="Hyperlink"/>
          </w:rPr>
          <w:t>i</w:t>
        </w:r>
        <w:proofErr w:type="spellEnd"/>
        <w:r w:rsidRPr="00134C59">
          <w:rPr>
            <w:rStyle w:val="Hyperlink"/>
          </w:rPr>
          <w:t>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:rsidR="00E92512" w:rsidRDefault="00E92512" w:rsidP="00575695">
      <w:pPr>
        <w:pStyle w:val="BodyText3"/>
        <w:spacing w:after="0"/>
        <w:rPr>
          <w:color w:val="auto"/>
        </w:rPr>
      </w:pPr>
    </w:p>
    <w:p w:rsidR="00E92512" w:rsidRDefault="00E92512" w:rsidP="00575695">
      <w:pPr>
        <w:pStyle w:val="BodyText3"/>
        <w:spacing w:after="0"/>
        <w:ind w:firstLine="360"/>
        <w:rPr>
          <w:color w:val="auto"/>
        </w:rPr>
      </w:pPr>
      <w:r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) Construction contracts in excess of </w:t>
      </w:r>
      <w:r w:rsidR="004C0ABC">
        <w:rPr>
          <w:color w:val="auto"/>
        </w:rPr>
        <w:t>the simplified acquisition threshold (SAT);</w:t>
      </w:r>
    </w:p>
    <w:p w:rsidR="00E92512" w:rsidRDefault="00E92512" w:rsidP="00575695">
      <w:pPr>
        <w:pStyle w:val="BodyText3"/>
        <w:spacing w:after="0"/>
        <w:ind w:firstLine="360"/>
        <w:rPr>
          <w:color w:val="auto"/>
        </w:rPr>
      </w:pPr>
    </w:p>
    <w:p w:rsidR="00E92512" w:rsidRDefault="00E92512" w:rsidP="00575695">
      <w:pPr>
        <w:pStyle w:val="BodyText3"/>
        <w:spacing w:after="0"/>
        <w:ind w:firstLine="360"/>
        <w:rPr>
          <w:color w:val="auto"/>
        </w:rPr>
      </w:pPr>
      <w:r>
        <w:rPr>
          <w:color w:val="auto"/>
        </w:rPr>
        <w:t>(ii)</w:t>
      </w:r>
      <w:r w:rsidR="00C12F1C">
        <w:rPr>
          <w:color w:val="auto"/>
        </w:rPr>
        <w:t xml:space="preserve"> Service contracts in excess of</w:t>
      </w:r>
      <w:r w:rsidR="004C0ABC">
        <w:rPr>
          <w:color w:val="auto"/>
        </w:rPr>
        <w:t xml:space="preserve"> the SAT; and,</w:t>
      </w:r>
    </w:p>
    <w:p w:rsidR="00E92512" w:rsidRDefault="00E92512" w:rsidP="00575695">
      <w:pPr>
        <w:pStyle w:val="BodyText3"/>
        <w:spacing w:after="0"/>
        <w:ind w:firstLine="360"/>
        <w:rPr>
          <w:color w:val="auto"/>
        </w:rPr>
      </w:pPr>
    </w:p>
    <w:p w:rsidR="00E92512" w:rsidRDefault="00E92512" w:rsidP="00575695">
      <w:pPr>
        <w:spacing w:after="0"/>
        <w:ind w:firstLine="360"/>
        <w:rPr>
          <w:b/>
        </w:rPr>
      </w:pPr>
      <w:r>
        <w:rPr>
          <w:color w:val="auto"/>
        </w:rPr>
        <w:t>(iii) Any contract th</w:t>
      </w:r>
      <w:r w:rsidR="004C0ABC">
        <w:rPr>
          <w:color w:val="auto"/>
        </w:rPr>
        <w:t>at</w:t>
      </w:r>
      <w:r>
        <w:rPr>
          <w:color w:val="auto"/>
        </w:rPr>
        <w:t xml:space="preserve"> contain</w:t>
      </w:r>
      <w:r w:rsidR="004C0ABC">
        <w:rPr>
          <w:color w:val="auto"/>
        </w:rPr>
        <w:t>s</w:t>
      </w:r>
      <w:r>
        <w:rPr>
          <w:color w:val="auto"/>
        </w:rPr>
        <w:t xml:space="preserve"> the </w:t>
      </w:r>
      <w:r w:rsidR="00BA7FC6">
        <w:rPr>
          <w:color w:val="auto"/>
        </w:rPr>
        <w:t xml:space="preserve">clause </w:t>
      </w:r>
      <w:r>
        <w:rPr>
          <w:color w:val="auto"/>
        </w:rPr>
        <w:t xml:space="preserve">at </w:t>
      </w:r>
      <w:r w:rsidRPr="00A7536B">
        <w:t>FAR 52.222-1</w:t>
      </w:r>
      <w:r>
        <w:rPr>
          <w:color w:val="auto"/>
        </w:rPr>
        <w:t xml:space="preserve">, </w:t>
      </w:r>
      <w:r w:rsidRPr="00B23B9E">
        <w:rPr>
          <w:i/>
          <w:color w:val="auto"/>
        </w:rPr>
        <w:t>Notice to the Government of Labor Disputes</w:t>
      </w:r>
      <w:r>
        <w:rPr>
          <w:color w:val="auto"/>
        </w:rPr>
        <w:t xml:space="preserve">, </w:t>
      </w:r>
      <w:r w:rsidR="00B52DCD">
        <w:rPr>
          <w:color w:val="auto"/>
        </w:rPr>
        <w:t>(</w:t>
      </w:r>
      <w:r>
        <w:rPr>
          <w:color w:val="auto"/>
        </w:rPr>
        <w:t>e.g.</w:t>
      </w:r>
      <w:r w:rsidR="000F4A21">
        <w:rPr>
          <w:color w:val="auto"/>
        </w:rPr>
        <w:t>,</w:t>
      </w:r>
      <w:r>
        <w:rPr>
          <w:color w:val="auto"/>
        </w:rPr>
        <w:t xml:space="preserve"> mission critical services</w:t>
      </w:r>
      <w:r w:rsidR="00B52DCD">
        <w:rPr>
          <w:color w:val="auto"/>
        </w:rPr>
        <w:t>)</w:t>
      </w:r>
      <w:r>
        <w:rPr>
          <w:color w:val="auto"/>
        </w:rPr>
        <w:t xml:space="preserve">. </w:t>
      </w:r>
      <w:bookmarkStart w:id="8" w:name="_Toc351653656"/>
    </w:p>
    <w:p w:rsidR="00E92512" w:rsidRDefault="00E92512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  <w:color w:val="1F497D" w:themeColor="text2"/>
        </w:rPr>
      </w:pPr>
    </w:p>
    <w:p w:rsidR="004B23B0" w:rsidRPr="00A7536B" w:rsidRDefault="008435D8" w:rsidP="0064418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both"/>
        <w:rPr>
          <w:bCs/>
          <w:color w:val="auto"/>
        </w:rPr>
      </w:pPr>
      <w:r w:rsidRPr="00A7536B">
        <w:rPr>
          <w:bCs/>
          <w:color w:val="auto"/>
        </w:rPr>
        <w:t xml:space="preserve">See </w:t>
      </w:r>
      <w:hyperlink r:id="rId12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  <w:color w:val="auto"/>
        </w:rPr>
        <w:t>.</w:t>
      </w:r>
    </w:p>
    <w:p w:rsidR="00A7536B" w:rsidRPr="00FB74BF" w:rsidRDefault="00A7536B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  <w:color w:val="1F497D" w:themeColor="text2"/>
        </w:rPr>
      </w:pP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bCs/>
        </w:rPr>
      </w:pPr>
      <w:bookmarkStart w:id="9" w:name="_Toc351653657"/>
      <w:bookmarkEnd w:id="8"/>
      <w:r w:rsidRPr="00B23B9E">
        <w:rPr>
          <w:b/>
          <w:bCs/>
        </w:rPr>
        <w:t xml:space="preserve">5322.101-3-70  </w:t>
      </w:r>
      <w:r w:rsidR="00D323F8">
        <w:rPr>
          <w:b/>
          <w:bCs/>
        </w:rPr>
        <w:t xml:space="preserve"> </w:t>
      </w:r>
      <w:r w:rsidRPr="00B23B9E">
        <w:rPr>
          <w:b/>
          <w:bCs/>
        </w:rPr>
        <w:t>Impa</w:t>
      </w:r>
      <w:r>
        <w:rPr>
          <w:b/>
          <w:bCs/>
        </w:rPr>
        <w:t>ct of Labor Disputes on Defense P</w:t>
      </w:r>
      <w:r w:rsidRPr="00B23B9E">
        <w:rPr>
          <w:b/>
          <w:bCs/>
        </w:rPr>
        <w:t>rograms</w:t>
      </w: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bCs/>
        </w:rPr>
      </w:pP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  <w:bookmarkStart w:id="10" w:name="p5322101370bii"/>
      <w:bookmarkEnd w:id="10"/>
      <w:r w:rsidRPr="00B23B9E">
        <w:rPr>
          <w:bCs/>
        </w:rPr>
        <w:t>(b)(ii)</w:t>
      </w:r>
      <w:r>
        <w:rPr>
          <w:bCs/>
        </w:rPr>
        <w:t xml:space="preserve"> </w:t>
      </w:r>
      <w:r>
        <w:rPr>
          <w:color w:val="auto"/>
        </w:rPr>
        <w:t xml:space="preserve">See </w:t>
      </w:r>
      <w:hyperlink r:id="rId13" w:anchor="p5322101370bii" w:history="1">
        <w:proofErr w:type="gramStart"/>
        <w:r w:rsidRPr="00B23B9E">
          <w:rPr>
            <w:rStyle w:val="Hyperlink"/>
          </w:rPr>
          <w:t>MP5301.601(</w:t>
        </w:r>
        <w:proofErr w:type="gramEnd"/>
        <w:r w:rsidRPr="00B23B9E">
          <w:rPr>
            <w:rStyle w:val="Hyperlink"/>
          </w:rPr>
          <w:t>a)(</w:t>
        </w:r>
        <w:proofErr w:type="spellStart"/>
        <w:r w:rsidRPr="00B23B9E">
          <w:rPr>
            <w:rStyle w:val="Hyperlink"/>
          </w:rPr>
          <w:t>i</w:t>
        </w:r>
        <w:proofErr w:type="spellEnd"/>
        <w:r w:rsidRPr="00B23B9E">
          <w:rPr>
            <w:rStyle w:val="Hyperlink"/>
          </w:rPr>
          <w:t>)</w:t>
        </w:r>
      </w:hyperlink>
      <w:r>
        <w:rPr>
          <w:color w:val="auto"/>
        </w:rPr>
        <w:t>.</w:t>
      </w: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</w:p>
    <w:p w:rsidR="00E92512" w:rsidRDefault="00E92512" w:rsidP="00575695">
      <w:pPr>
        <w:spacing w:after="0"/>
        <w:rPr>
          <w:b/>
        </w:rPr>
      </w:pPr>
      <w:r>
        <w:rPr>
          <w:b/>
        </w:rPr>
        <w:t xml:space="preserve">5322.103-4 </w:t>
      </w:r>
      <w:r w:rsidR="00CF0109">
        <w:rPr>
          <w:b/>
        </w:rPr>
        <w:t xml:space="preserve">  </w:t>
      </w:r>
      <w:r>
        <w:rPr>
          <w:b/>
        </w:rPr>
        <w:t>Approvals</w:t>
      </w:r>
      <w:bookmarkEnd w:id="9"/>
    </w:p>
    <w:p w:rsidR="00E92512" w:rsidRDefault="00E92512" w:rsidP="00575695">
      <w:pPr>
        <w:spacing w:after="0"/>
      </w:pPr>
    </w:p>
    <w:p w:rsidR="00E92512" w:rsidRDefault="00102919" w:rsidP="00102919">
      <w:pPr>
        <w:spacing w:after="0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</w:p>
    <w:p w:rsidR="00E92512" w:rsidRDefault="00E92512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</w:p>
    <w:p w:rsidR="00A7536B" w:rsidRDefault="00A7536B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</w:p>
    <w:p w:rsidR="00E92512" w:rsidRDefault="00E92512" w:rsidP="00575695">
      <w:pPr>
        <w:spacing w:after="0"/>
        <w:jc w:val="center"/>
      </w:pPr>
      <w:r>
        <w:rPr>
          <w:b/>
        </w:rPr>
        <w:t xml:space="preserve">SUBPART 5322.3 — CONTRACT WORK HOURS AND SAFETY STANDARDS </w:t>
      </w:r>
      <w:r w:rsidR="00594484">
        <w:rPr>
          <w:b/>
        </w:rPr>
        <w:t>STATUTE</w:t>
      </w:r>
    </w:p>
    <w:p w:rsidR="00E92512" w:rsidRDefault="00E92512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</w:p>
    <w:p w:rsidR="00E92512" w:rsidRDefault="00E92512" w:rsidP="00575695">
      <w:pPr>
        <w:spacing w:after="0"/>
      </w:pPr>
      <w:r>
        <w:rPr>
          <w:b/>
        </w:rPr>
        <w:t xml:space="preserve">5322.302 </w:t>
      </w:r>
      <w:r w:rsidR="00CF0109">
        <w:rPr>
          <w:b/>
        </w:rPr>
        <w:t xml:space="preserve">  </w:t>
      </w:r>
      <w:r>
        <w:rPr>
          <w:b/>
        </w:rPr>
        <w:t xml:space="preserve">Liquidated </w:t>
      </w:r>
      <w:r w:rsidR="00CF0109">
        <w:rPr>
          <w:b/>
        </w:rPr>
        <w:t>D</w:t>
      </w:r>
      <w:r>
        <w:rPr>
          <w:b/>
        </w:rPr>
        <w:t xml:space="preserve">amages and </w:t>
      </w:r>
      <w:r w:rsidR="00CF0109">
        <w:rPr>
          <w:b/>
        </w:rPr>
        <w:t>O</w:t>
      </w:r>
      <w:r>
        <w:rPr>
          <w:b/>
        </w:rPr>
        <w:t xml:space="preserve">vertime </w:t>
      </w:r>
      <w:r w:rsidR="00CF0109">
        <w:rPr>
          <w:b/>
        </w:rPr>
        <w:t>P</w:t>
      </w:r>
      <w:r>
        <w:rPr>
          <w:b/>
        </w:rPr>
        <w:t>ay</w:t>
      </w:r>
    </w:p>
    <w:p w:rsidR="00E92512" w:rsidRDefault="00E92512" w:rsidP="00575695">
      <w:pPr>
        <w:spacing w:after="0"/>
      </w:pPr>
      <w:bookmarkStart w:id="11" w:name="_Toc351653661"/>
    </w:p>
    <w:p w:rsidR="00E92512" w:rsidRDefault="000E3DE8" w:rsidP="00575695">
      <w:pPr>
        <w:spacing w:after="0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(SAF/AQC</w:t>
      </w:r>
      <w:r w:rsidR="00D50829">
        <w:t>A</w:t>
      </w:r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End w:id="11"/>
    </w:p>
    <w:p w:rsidR="00B0141D" w:rsidRDefault="00B0141D" w:rsidP="00575695">
      <w:pPr>
        <w:spacing w:after="0"/>
      </w:pPr>
    </w:p>
    <w:p w:rsidR="00A7536B" w:rsidRDefault="00A7536B" w:rsidP="00575695">
      <w:pPr>
        <w:spacing w:after="0"/>
      </w:pPr>
    </w:p>
    <w:p w:rsidR="00B0141D" w:rsidRDefault="00B0141D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r>
        <w:rPr>
          <w:b/>
        </w:rPr>
        <w:lastRenderedPageBreak/>
        <w:t>SUBPART 5322.4 —LABOR STANDARDS FOR CONTRACTS INVOLVING CONSTRUCTION</w:t>
      </w:r>
    </w:p>
    <w:p w:rsidR="00B0141D" w:rsidRPr="00102919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bookmarkStart w:id="12" w:name="p532240613"/>
      <w:bookmarkEnd w:id="12"/>
      <w:r>
        <w:rPr>
          <w:b/>
        </w:rPr>
        <w:t xml:space="preserve">5322.406-13  </w:t>
      </w:r>
      <w:r w:rsidR="00D323F8">
        <w:rPr>
          <w:b/>
        </w:rPr>
        <w:t xml:space="preserve"> </w:t>
      </w:r>
      <w:r>
        <w:rPr>
          <w:b/>
        </w:rPr>
        <w:t>Semi-annual Enforcement Reports</w:t>
      </w:r>
    </w:p>
    <w:p w:rsidR="00B0141D" w:rsidRPr="00102919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See </w:t>
      </w:r>
      <w:hyperlink r:id="rId14" w:anchor="p532240613" w:history="1">
        <w:proofErr w:type="gramStart"/>
        <w:r w:rsidRPr="00102919">
          <w:rPr>
            <w:rStyle w:val="Hyperlink"/>
          </w:rPr>
          <w:t>MP5301.601(</w:t>
        </w:r>
        <w:proofErr w:type="gramEnd"/>
        <w:r w:rsidRPr="00102919">
          <w:rPr>
            <w:rStyle w:val="Hyperlink"/>
          </w:rPr>
          <w:t>a)(</w:t>
        </w:r>
        <w:proofErr w:type="spellStart"/>
        <w:r w:rsidRPr="00102919">
          <w:rPr>
            <w:rStyle w:val="Hyperlink"/>
          </w:rPr>
          <w:t>i</w:t>
        </w:r>
        <w:proofErr w:type="spellEnd"/>
        <w:r w:rsidRPr="00102919">
          <w:rPr>
            <w:rStyle w:val="Hyperlink"/>
          </w:rPr>
          <w:t>)</w:t>
        </w:r>
      </w:hyperlink>
      <w:r>
        <w:rPr>
          <w:color w:val="auto"/>
        </w:rPr>
        <w:t>.</w:t>
      </w:r>
    </w:p>
    <w:p w:rsidR="00102919" w:rsidRDefault="00102919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A7536B" w:rsidRDefault="00A7536B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B0141D" w:rsidRDefault="00B0141D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r>
        <w:rPr>
          <w:b/>
        </w:rPr>
        <w:t>SUBPART 5322.8—EQUAL EMPLOYMENT OPPORTUNITY</w:t>
      </w:r>
    </w:p>
    <w:p w:rsidR="00B0141D" w:rsidRPr="00102919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B0141D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r>
        <w:rPr>
          <w:b/>
        </w:rPr>
        <w:t>5322.805</w:t>
      </w:r>
      <w:r w:rsidR="00D323F8">
        <w:rPr>
          <w:b/>
        </w:rPr>
        <w:t xml:space="preserve">   </w:t>
      </w:r>
      <w:r>
        <w:rPr>
          <w:b/>
        </w:rPr>
        <w:t>Procedures</w:t>
      </w:r>
    </w:p>
    <w:p w:rsidR="00B0141D" w:rsidRPr="00102919" w:rsidRDefault="00B0141D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E92512" w:rsidRDefault="00B0141D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13" w:name="p5322805a8"/>
      <w:bookmarkEnd w:id="13"/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5" w:anchor="p5322805a8" w:history="1">
        <w:proofErr w:type="gramStart"/>
        <w:r w:rsidRPr="00FD0E16">
          <w:rPr>
            <w:rStyle w:val="Hyperlink"/>
          </w:rPr>
          <w:t>MP5301.601(</w:t>
        </w:r>
        <w:proofErr w:type="gramEnd"/>
        <w:r w:rsidRPr="00FD0E16">
          <w:rPr>
            <w:rStyle w:val="Hyperlink"/>
          </w:rPr>
          <w:t>a)(</w:t>
        </w:r>
        <w:proofErr w:type="spellStart"/>
        <w:r w:rsidRPr="00FD0E16">
          <w:rPr>
            <w:rStyle w:val="Hyperlink"/>
          </w:rPr>
          <w:t>i</w:t>
        </w:r>
        <w:proofErr w:type="spellEnd"/>
        <w:r w:rsidRPr="00FD0E16">
          <w:rPr>
            <w:rStyle w:val="Hyperlink"/>
          </w:rPr>
          <w:t>)</w:t>
        </w:r>
      </w:hyperlink>
      <w:r>
        <w:rPr>
          <w:color w:val="auto"/>
        </w:rPr>
        <w:t>.</w:t>
      </w:r>
    </w:p>
    <w:p w:rsidR="00102919" w:rsidRDefault="00102919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A7536B" w:rsidRDefault="00A7536B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1F7B11" w:rsidRDefault="00DA1228" w:rsidP="0010291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  <w:r>
        <w:rPr>
          <w:b/>
        </w:rPr>
        <w:t>SUBPART 5322.18—EMPLOYMENT ELIGIBILITY VERIFICATION</w:t>
      </w:r>
    </w:p>
    <w:p w:rsidR="00DA1228" w:rsidRDefault="00DA1228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85596E" w:rsidRDefault="0085596E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</w:rPr>
      </w:pPr>
      <w:r>
        <w:rPr>
          <w:b/>
        </w:rPr>
        <w:t>5322.1802</w:t>
      </w:r>
      <w:r w:rsidR="00D323F8">
        <w:rPr>
          <w:b/>
        </w:rPr>
        <w:t xml:space="preserve">   </w:t>
      </w:r>
      <w:r>
        <w:rPr>
          <w:b/>
        </w:rPr>
        <w:t>Po</w:t>
      </w:r>
      <w:r w:rsidR="00266C2E">
        <w:rPr>
          <w:b/>
        </w:rPr>
        <w:t>licy</w:t>
      </w:r>
    </w:p>
    <w:p w:rsidR="0085596E" w:rsidRPr="00440E28" w:rsidRDefault="0085596E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85596E" w:rsidRPr="00C80C1B" w:rsidRDefault="0085596E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</w:rPr>
      </w:pPr>
      <w:bookmarkStart w:id="14" w:name="p53221802d"/>
      <w:bookmarkEnd w:id="14"/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6" w:anchor="p53221802d" w:history="1">
        <w:proofErr w:type="gramStart"/>
        <w:r w:rsidRPr="00FD0E16">
          <w:rPr>
            <w:rStyle w:val="Hyperlink"/>
          </w:rPr>
          <w:t>MP5301.601(</w:t>
        </w:r>
        <w:proofErr w:type="gramEnd"/>
        <w:r w:rsidRPr="00FD0E16">
          <w:rPr>
            <w:rStyle w:val="Hyperlink"/>
          </w:rPr>
          <w:t>a)(</w:t>
        </w:r>
        <w:proofErr w:type="spellStart"/>
        <w:r w:rsidRPr="00FD0E16">
          <w:rPr>
            <w:rStyle w:val="Hyperlink"/>
          </w:rPr>
          <w:t>i</w:t>
        </w:r>
        <w:proofErr w:type="spellEnd"/>
        <w:r w:rsidRPr="00FD0E16">
          <w:rPr>
            <w:rStyle w:val="Hyperlink"/>
          </w:rPr>
          <w:t>)</w:t>
        </w:r>
      </w:hyperlink>
      <w:r>
        <w:rPr>
          <w:color w:val="auto"/>
        </w:rPr>
        <w:t>.</w:t>
      </w:r>
    </w:p>
    <w:p w:rsidR="00C12F1C" w:rsidRDefault="00C12F1C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D323F8" w:rsidRDefault="00D323F8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D323F8" w:rsidRDefault="00D323F8" w:rsidP="00575695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D323F8" w:rsidSect="00440E2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417" w:rsidRDefault="00326417">
      <w:r>
        <w:separator/>
      </w:r>
    </w:p>
  </w:endnote>
  <w:endnote w:type="continuationSeparator" w:id="0">
    <w:p w:rsidR="00326417" w:rsidRDefault="0032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644189">
      <w:rPr>
        <w:rStyle w:val="PageNumber"/>
        <w:noProof/>
      </w:rPr>
      <w:t>2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417" w:rsidRDefault="00326417">
      <w:r>
        <w:separator/>
      </w:r>
    </w:p>
  </w:footnote>
  <w:footnote w:type="continuationSeparator" w:id="0">
    <w:p w:rsidR="00326417" w:rsidRDefault="00326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12" w:rsidRDefault="00E92512">
    <w:pPr>
      <w:spacing w:before="120"/>
      <w:jc w:val="right"/>
    </w:pPr>
    <w:r>
      <w:t>AIR FORCE FAR SUPPLEMENT</w:t>
    </w:r>
  </w:p>
  <w:p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12" w:rsidRDefault="00E92512">
    <w:pPr>
      <w:pStyle w:val="Heading2"/>
      <w:spacing w:before="0" w:after="0"/>
    </w:pPr>
    <w:r>
      <w:t>AIR FORCE FAR SUPPLEMENT</w:t>
    </w:r>
  </w:p>
  <w:p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4B"/>
    <w:rsid w:val="00004897"/>
    <w:rsid w:val="00032941"/>
    <w:rsid w:val="0007286F"/>
    <w:rsid w:val="00097E2C"/>
    <w:rsid w:val="000C66F2"/>
    <w:rsid w:val="000E3DE8"/>
    <w:rsid w:val="000F4A21"/>
    <w:rsid w:val="00102919"/>
    <w:rsid w:val="00134C59"/>
    <w:rsid w:val="0017738A"/>
    <w:rsid w:val="001A32D6"/>
    <w:rsid w:val="001E7EC6"/>
    <w:rsid w:val="001F7B11"/>
    <w:rsid w:val="00226AE2"/>
    <w:rsid w:val="00230E2D"/>
    <w:rsid w:val="00266C2E"/>
    <w:rsid w:val="00285373"/>
    <w:rsid w:val="00326417"/>
    <w:rsid w:val="003420F5"/>
    <w:rsid w:val="003723BA"/>
    <w:rsid w:val="00440E28"/>
    <w:rsid w:val="004643D3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F1E93"/>
    <w:rsid w:val="00951E7C"/>
    <w:rsid w:val="009B014F"/>
    <w:rsid w:val="009B225B"/>
    <w:rsid w:val="009B5724"/>
    <w:rsid w:val="009B77B4"/>
    <w:rsid w:val="00A7274B"/>
    <w:rsid w:val="00A7536B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323F8"/>
    <w:rsid w:val="00D50829"/>
    <w:rsid w:val="00D8501E"/>
    <w:rsid w:val="00DA1228"/>
    <w:rsid w:val="00E1650D"/>
    <w:rsid w:val="00E16AA9"/>
    <w:rsid w:val="00E35513"/>
    <w:rsid w:val="00E7016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58DC62-1E4D-47ED-81D6-51418AF9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230E2D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230E2D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230E2D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230E2D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pgi_5322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10" Type="http://schemas.openxmlformats.org/officeDocument/2006/relationships/hyperlink" Target="http://static.e-publishing.af.mil/production/1/saf_aq/publication/afi64-106/afi64-106.pdf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04783C-0F49-4242-979B-FAAE3D0D8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2256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VOUDREN, JEFFREY W NH-04 USAF HAF SAF/BLDG PENTAGON, 4C149</cp:lastModifiedBy>
  <cp:revision>13</cp:revision>
  <cp:lastPrinted>2006-01-31T18:40:00Z</cp:lastPrinted>
  <dcterms:created xsi:type="dcterms:W3CDTF">2019-04-30T14:27:00Z</dcterms:created>
  <dcterms:modified xsi:type="dcterms:W3CDTF">2019-09-22T15:34:00Z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