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FC022" w14:textId="77777777" w:rsidR="00F72478" w:rsidRPr="00F72478" w:rsidRDefault="00F72478" w:rsidP="00F72478">
      <w:pPr>
        <w:pStyle w:val="Heading1"/>
        <w:spacing w:before="240"/>
      </w:pPr>
      <w:bookmarkStart w:id="0" w:name="_Toc346959698"/>
      <w:bookmarkStart w:id="1" w:name="_Toc350308682"/>
      <w:bookmarkStart w:id="2" w:name="_Toc351649188"/>
      <w:r w:rsidRPr="00F72478">
        <w:t xml:space="preserve">PART 5330 - </w:t>
      </w:r>
      <w:r w:rsidRPr="00F72478">
        <w:br/>
        <w:t>Cost Accounting Standards Administration</w:t>
      </w:r>
    </w:p>
    <w:p w14:paraId="7D10C17C" w14:textId="77777777" w:rsidR="00F72478" w:rsidRPr="00F72478" w:rsidRDefault="00F72478" w:rsidP="00F72478">
      <w:pPr>
        <w:pStyle w:val="Heading1"/>
        <w:spacing w:before="240"/>
      </w:pPr>
    </w:p>
    <w:p w14:paraId="6781F353" w14:textId="2C7DE89F" w:rsidR="00F72478" w:rsidRPr="00F72478" w:rsidRDefault="00F72478" w:rsidP="00F72478">
      <w:pPr>
        <w:pStyle w:val="Heading1"/>
        <w:spacing w:before="240"/>
      </w:pPr>
    </w:p>
    <w:p w14:paraId="3D07DE22" w14:textId="77777777" w:rsidR="00F72478" w:rsidRPr="00F72478" w:rsidRDefault="00F72478" w:rsidP="00F72478">
      <w:pPr>
        <w:jc w:val="center"/>
      </w:pPr>
      <w:r w:rsidRPr="00F72478">
        <w:rPr>
          <w:b/>
        </w:rPr>
        <w:t>Table of Contents</w:t>
      </w:r>
    </w:p>
    <w:p w14:paraId="71E1A5E6" w14:textId="77777777" w:rsidR="00F72478" w:rsidRDefault="00F72478" w:rsidP="00F72478">
      <w:pPr>
        <w:pStyle w:val="Heading1"/>
        <w:spacing w:before="240"/>
      </w:pPr>
    </w:p>
    <w:p w14:paraId="179D4ACF" w14:textId="19978EF3" w:rsidR="00B93824" w:rsidRDefault="00B9382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439" w:history="1">
        <w:r w:rsidRPr="007A56FF">
          <w:rPr>
            <w:rStyle w:val="Hyperlink"/>
            <w:bCs/>
            <w:noProof/>
          </w:rPr>
          <w:t>5330.201-5   Waivers</w:t>
        </w:r>
      </w:hyperlink>
    </w:p>
    <w:p w14:paraId="2A63326F" w14:textId="084BA4CB" w:rsidR="00F72478" w:rsidRDefault="00B93824" w:rsidP="00F72478">
      <w:pPr>
        <w:pStyle w:val="Heading1"/>
        <w:spacing w:before="240"/>
      </w:pPr>
      <w:r>
        <w:rPr>
          <w:b w:val="0"/>
          <w:color w:val="000000"/>
          <w:sz w:val="24"/>
        </w:rPr>
        <w:fldChar w:fldCharType="end"/>
      </w:r>
    </w:p>
    <w:p w14:paraId="78A669CE" w14:textId="77777777" w:rsidR="00F72478" w:rsidRPr="00F72478" w:rsidRDefault="00F72478" w:rsidP="00F72478">
      <w:pPr>
        <w:pStyle w:val="Heading1"/>
        <w:spacing w:before="240"/>
      </w:pPr>
    </w:p>
    <w:p w14:paraId="2335EA6A" w14:textId="77777777" w:rsidR="003E2F81" w:rsidRDefault="003E2F81" w:rsidP="003E2F81">
      <w:bookmarkStart w:id="3" w:name="_Toc351649189"/>
    </w:p>
    <w:p w14:paraId="3A92A6D7" w14:textId="77777777" w:rsidR="003E2F81" w:rsidRPr="00216E2D" w:rsidRDefault="0043463F" w:rsidP="00F72478">
      <w:pPr>
        <w:pStyle w:val="edition"/>
        <w:jc w:val="center"/>
      </w:pPr>
      <w:r w:rsidRPr="00216E2D">
        <w:rPr>
          <w:iCs/>
          <w:color w:val="000000" w:themeColor="text1"/>
        </w:rPr>
        <w:t>[</w:t>
      </w:r>
      <w:r w:rsidR="00140B81" w:rsidRPr="00216E2D">
        <w:rPr>
          <w:iCs/>
          <w:color w:val="000000" w:themeColor="text1"/>
        </w:rPr>
        <w:t>2019 Edition</w:t>
      </w:r>
      <w:r w:rsidRPr="00216E2D">
        <w:rPr>
          <w:iCs/>
          <w:color w:val="000000" w:themeColor="text1"/>
        </w:rPr>
        <w:t>]</w:t>
      </w:r>
      <w:bookmarkEnd w:id="0"/>
      <w:bookmarkEnd w:id="1"/>
      <w:bookmarkEnd w:id="2"/>
      <w:bookmarkEnd w:id="3"/>
    </w:p>
    <w:p w14:paraId="271749C4" w14:textId="77777777" w:rsidR="003E2F81" w:rsidRDefault="003E2F81" w:rsidP="003E2F81"/>
    <w:p w14:paraId="4375BEDE" w14:textId="77777777" w:rsidR="003E2F81" w:rsidRDefault="00E32331" w:rsidP="003E2F81">
      <w:pPr>
        <w:pStyle w:val="Heading3"/>
      </w:pPr>
      <w:bookmarkStart w:id="4" w:name="_Toc38365439"/>
      <w:r>
        <w:rPr>
          <w:bCs/>
        </w:rPr>
        <w:t xml:space="preserve">5330.201-5 </w:t>
      </w:r>
      <w:r w:rsidR="00F86FE7">
        <w:rPr>
          <w:bCs/>
        </w:rPr>
        <w:t xml:space="preserve">  </w:t>
      </w:r>
      <w:r>
        <w:rPr>
          <w:bCs/>
        </w:rPr>
        <w:t>Waivers</w:t>
      </w:r>
      <w:bookmarkEnd w:id="4"/>
    </w:p>
    <w:p w14:paraId="17281C40" w14:textId="77777777" w:rsidR="003E2F81" w:rsidRDefault="003E2F81" w:rsidP="003E2F81"/>
    <w:p w14:paraId="78D06F4E" w14:textId="77777777" w:rsidR="003E2F81" w:rsidRDefault="004E715F" w:rsidP="003E2F81">
      <w:pPr>
        <w:pStyle w:val="List1"/>
      </w:pPr>
      <w:r w:rsidRPr="00B911D9">
        <w:rPr>
          <w:bCs/>
        </w:rPr>
        <w:t xml:space="preserve">(a)(2) </w:t>
      </w:r>
      <w:r w:rsidR="007C1D15">
        <w:rPr>
          <w:bCs/>
        </w:rPr>
        <w:t xml:space="preserve"> </w:t>
      </w:r>
      <w:r w:rsidR="001D2A66">
        <w:rPr>
          <w:bCs/>
        </w:rPr>
        <w:t>T</w:t>
      </w:r>
      <w:r w:rsidRPr="00B911D9">
        <w:rPr>
          <w:bCs/>
        </w:rPr>
        <w:t>he D</w:t>
      </w:r>
      <w:r w:rsidR="004779F8" w:rsidRPr="00B911D9">
        <w:rPr>
          <w:bCs/>
        </w:rPr>
        <w:t>AS(C)</w:t>
      </w:r>
      <w:r w:rsidR="00BE34F7">
        <w:rPr>
          <w:bCs/>
        </w:rPr>
        <w:t>/</w:t>
      </w:r>
      <w:r w:rsidRPr="00B911D9">
        <w:rPr>
          <w:bCs/>
        </w:rPr>
        <w:t>A</w:t>
      </w:r>
      <w:r w:rsidR="004779F8" w:rsidRPr="00B911D9">
        <w:rPr>
          <w:bCs/>
        </w:rPr>
        <w:t>DAS(C)</w:t>
      </w:r>
      <w:r w:rsidR="001D2A66">
        <w:rPr>
          <w:bCs/>
        </w:rPr>
        <w:t xml:space="preserve"> is the CAS waiver authority.</w:t>
      </w:r>
      <w:r w:rsidR="004779F8" w:rsidRPr="00B911D9">
        <w:rPr>
          <w:bCs/>
        </w:rPr>
        <w:t xml:space="preserve"> </w:t>
      </w:r>
      <w:r w:rsidRPr="00B911D9">
        <w:rPr>
          <w:bCs/>
        </w:rPr>
        <w:t xml:space="preserve"> </w:t>
      </w:r>
      <w:r w:rsidR="009A5B1C" w:rsidRPr="009A5B1C">
        <w:t xml:space="preserve">Submit CAS waiver requests through the SCO to </w:t>
      </w:r>
      <w:hyperlink r:id="rId9" w:history="1">
        <w:r w:rsidR="009A5B1C" w:rsidRPr="00B911D9">
          <w:rPr>
            <w:rStyle w:val="Hyperlink"/>
          </w:rPr>
          <w:t>SAF/AQC</w:t>
        </w:r>
      </w:hyperlink>
      <w:r w:rsidR="009A5B1C" w:rsidRPr="009A5B1C">
        <w:t xml:space="preserve"> for OUSD(A&amp;</w:t>
      </w:r>
      <w:r w:rsidR="002B679D">
        <w:t>S</w:t>
      </w:r>
      <w:r w:rsidR="009A5B1C" w:rsidRPr="009A5B1C">
        <w:t>)/</w:t>
      </w:r>
      <w:r w:rsidR="002B679D" w:rsidRPr="009A5B1C">
        <w:t>DP</w:t>
      </w:r>
      <w:r w:rsidR="002B679D">
        <w:t>C</w:t>
      </w:r>
      <w:r w:rsidR="002B679D" w:rsidRPr="009A5B1C">
        <w:t xml:space="preserve"> </w:t>
      </w:r>
      <w:r w:rsidR="00FB0A4F">
        <w:t>review</w:t>
      </w:r>
      <w:r w:rsidR="004B298E" w:rsidRPr="004B298E">
        <w:t xml:space="preserve"> </w:t>
      </w:r>
      <w:r w:rsidR="004B298E">
        <w:t xml:space="preserve">and </w:t>
      </w:r>
      <w:r w:rsidR="004B298E" w:rsidRPr="009A5B1C">
        <w:t>SAF/AQC approval</w:t>
      </w:r>
      <w:r w:rsidR="00FB0A4F">
        <w:t xml:space="preserve">, </w:t>
      </w:r>
      <w:r w:rsidR="009A5B1C" w:rsidRPr="009A5B1C">
        <w:t xml:space="preserve">no later than 45 days before the anticipated contract award.  </w:t>
      </w:r>
      <w:r w:rsidR="009A5B1C" w:rsidRPr="008E4573">
        <w:t xml:space="preserve">Waiver requests </w:t>
      </w:r>
      <w:r w:rsidR="00FB0A4F">
        <w:t>must</w:t>
      </w:r>
      <w:r w:rsidR="009A5B1C" w:rsidRPr="008E4573">
        <w:t xml:space="preserve"> include all items listed </w:t>
      </w:r>
      <w:r w:rsidR="009A5B1C" w:rsidRPr="007C1D15">
        <w:t>in FAR 30.201-5(c)</w:t>
      </w:r>
      <w:r w:rsidR="007C1D15" w:rsidRPr="007C1D15">
        <w:rPr>
          <w:rStyle w:val="Hyperlink"/>
          <w:u w:val="none"/>
        </w:rPr>
        <w:t xml:space="preserve"> </w:t>
      </w:r>
      <w:r w:rsidR="00BE757B" w:rsidRPr="007C1D15">
        <w:t>and</w:t>
      </w:r>
      <w:r w:rsidR="00BE757B" w:rsidRPr="007C1D15">
        <w:rPr>
          <w:rStyle w:val="Hyperlink"/>
          <w:u w:val="none"/>
        </w:rPr>
        <w:t>,</w:t>
      </w:r>
      <w:r w:rsidR="00BE757B" w:rsidRPr="007C1D15">
        <w:t xml:space="preserve"> for</w:t>
      </w:r>
      <w:r w:rsidR="002B679D" w:rsidRPr="007C1D15">
        <w:t xml:space="preserve"> exceptional</w:t>
      </w:r>
      <w:r w:rsidR="007C1D15">
        <w:t xml:space="preserve"> case CAS waivers</w:t>
      </w:r>
      <w:r w:rsidR="00BE757B">
        <w:t>, also address the items at</w:t>
      </w:r>
      <w:r w:rsidR="006F7CDA">
        <w:t xml:space="preserve"> </w:t>
      </w:r>
      <w:r w:rsidR="006F7CDA" w:rsidRPr="007C1D15">
        <w:t>DFARS PGI 230</w:t>
      </w:r>
      <w:r w:rsidR="004A7D37" w:rsidRPr="007C1D15">
        <w:t>.</w:t>
      </w:r>
      <w:r w:rsidR="006F7CDA" w:rsidRPr="007C1D15">
        <w:t>201-5(e)</w:t>
      </w:r>
      <w:r w:rsidR="006F7CDA">
        <w:t xml:space="preserve">, </w:t>
      </w:r>
      <w:r w:rsidR="00BE757B">
        <w:t>and include the</w:t>
      </w:r>
      <w:r w:rsidR="009A5B1C" w:rsidRPr="008E4573">
        <w:t xml:space="preserve"> determination required by </w:t>
      </w:r>
      <w:r w:rsidR="009A5B1C" w:rsidRPr="007C1D15">
        <w:t>DFARS 230.201-5(a)(1)(A)(2)</w:t>
      </w:r>
      <w:r w:rsidR="006F7CDA">
        <w:rPr>
          <w:rStyle w:val="Hyperlink"/>
        </w:rPr>
        <w:t>.</w:t>
      </w:r>
    </w:p>
    <w:p w14:paraId="6F4AFC0B" w14:textId="77777777" w:rsidR="003E2F81" w:rsidRDefault="003E2F81" w:rsidP="003E2F81"/>
    <w:p w14:paraId="2AB423D0" w14:textId="77777777" w:rsidR="003E2F81" w:rsidRDefault="00E32331" w:rsidP="003E2F81">
      <w:pPr>
        <w:pStyle w:val="List1"/>
      </w:pPr>
      <w:r w:rsidRPr="00D93D28">
        <w:rPr>
          <w:bCs/>
        </w:rPr>
        <w:t xml:space="preserve">(e) </w:t>
      </w:r>
      <w:r w:rsidR="007C1D15">
        <w:rPr>
          <w:bCs/>
        </w:rPr>
        <w:t xml:space="preserve"> </w:t>
      </w:r>
      <w:r w:rsidR="009A5B1C" w:rsidRPr="00B911D9">
        <w:t xml:space="preserve">SCOs must </w:t>
      </w:r>
      <w:r w:rsidR="00FB0A4F">
        <w:t xml:space="preserve">submit a consolidated </w:t>
      </w:r>
      <w:r w:rsidR="009A5B1C" w:rsidRPr="00B911D9">
        <w:t xml:space="preserve">annual </w:t>
      </w:r>
      <w:r w:rsidR="00FB0A4F">
        <w:t>report</w:t>
      </w:r>
      <w:r w:rsidR="004B298E" w:rsidRPr="004B298E">
        <w:t xml:space="preserve"> </w:t>
      </w:r>
      <w:r w:rsidR="004B298E">
        <w:t>of exceptional case CAS waivers in the format</w:t>
      </w:r>
      <w:r w:rsidR="004B298E" w:rsidRPr="006C43E4">
        <w:t xml:space="preserve"> required by </w:t>
      </w:r>
      <w:r w:rsidR="004B298E" w:rsidRPr="007C1D15">
        <w:t>DFARS PGI 230.201-5(e)</w:t>
      </w:r>
      <w:r w:rsidR="00523CE6">
        <w:t>, or a negative report</w:t>
      </w:r>
      <w:r w:rsidR="004B298E">
        <w:t>,</w:t>
      </w:r>
      <w:r w:rsidR="00FB0A4F">
        <w:t xml:space="preserve"> </w:t>
      </w:r>
      <w:r w:rsidR="004B298E">
        <w:t xml:space="preserve">to HQ AFMC/PKF </w:t>
      </w:r>
      <w:r w:rsidR="00523CE6">
        <w:t>no later than 15 October each year.</w:t>
      </w:r>
      <w:r w:rsidR="00523CE6" w:rsidRPr="000D5598">
        <w:t xml:space="preserve">  </w:t>
      </w:r>
      <w:r w:rsidR="004B298E">
        <w:t xml:space="preserve">HQ AFMC/PKF must consolidate all reports and submit a final report to </w:t>
      </w:r>
      <w:hyperlink r:id="rId10" w:history="1">
        <w:r w:rsidR="004B298E" w:rsidRPr="00B911D9">
          <w:rPr>
            <w:rStyle w:val="Hyperlink"/>
          </w:rPr>
          <w:t>SAF/AQCP</w:t>
        </w:r>
      </w:hyperlink>
      <w:r w:rsidR="004B298E">
        <w:t xml:space="preserve"> no later than 8 November each year.  </w:t>
      </w:r>
      <w:r w:rsidR="004B298E" w:rsidRPr="00D93D28">
        <w:rPr>
          <w:bCs/>
        </w:rPr>
        <w:t xml:space="preserve">SAF/AQC will submit the annual Air Force report to </w:t>
      </w:r>
      <w:r w:rsidR="00BE757B">
        <w:rPr>
          <w:bCs/>
        </w:rPr>
        <w:t>OUSD(A&amp;S)/DPC</w:t>
      </w:r>
      <w:r w:rsidR="004B298E" w:rsidRPr="00EA4E77">
        <w:rPr>
          <w:bCs/>
        </w:rPr>
        <w:t>.</w:t>
      </w:r>
      <w:r w:rsidR="00DD1699" w:rsidRPr="00EA4E77">
        <w:rPr>
          <w:bCs/>
        </w:rPr>
        <w:t xml:space="preserve"> </w:t>
      </w:r>
      <w:r w:rsidR="00866593">
        <w:rPr>
          <w:bCs/>
        </w:rPr>
        <w:t xml:space="preserve"> </w:t>
      </w:r>
      <w:r w:rsidR="00DD1699" w:rsidRPr="00EA4E77">
        <w:rPr>
          <w:bCs/>
        </w:rPr>
        <w:t xml:space="preserve">AFRCO will </w:t>
      </w:r>
      <w:r w:rsidR="009404A6" w:rsidRPr="00EA4E77">
        <w:rPr>
          <w:bCs/>
        </w:rPr>
        <w:t>provide the information</w:t>
      </w:r>
      <w:r w:rsidR="00DD1699" w:rsidRPr="00EA4E77">
        <w:rPr>
          <w:bCs/>
        </w:rPr>
        <w:t xml:space="preserve"> directly </w:t>
      </w:r>
      <w:r w:rsidR="009404A6" w:rsidRPr="00EA4E77">
        <w:rPr>
          <w:bCs/>
        </w:rPr>
        <w:t>to</w:t>
      </w:r>
      <w:r w:rsidR="00DD1699" w:rsidRPr="00EA4E77">
        <w:rPr>
          <w:bCs/>
        </w:rPr>
        <w:t xml:space="preserve"> the DAS(C)/ADAS(C), as appropriate.</w:t>
      </w:r>
    </w:p>
    <w:p w14:paraId="5BCEB91A" w14:textId="77777777" w:rsidR="003E2F81" w:rsidRDefault="003E2F81" w:rsidP="003E2F81"/>
    <w:p w14:paraId="24A012C8" w14:textId="77777777" w:rsidR="00376A51" w:rsidRDefault="00376A51" w:rsidP="00C173C2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sectPr w:rsidR="00376A51" w:rsidSect="006D278E">
      <w:headerReference w:type="even" r:id="rId11"/>
      <w:headerReference w:type="default" r:id="rId12"/>
      <w:footerReference w:type="default" r:id="rId13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8A84E" w14:textId="77777777" w:rsidR="000B75B6" w:rsidRDefault="000B75B6">
      <w:r>
        <w:separator/>
      </w:r>
    </w:p>
  </w:endnote>
  <w:endnote w:type="continuationSeparator" w:id="0">
    <w:p w14:paraId="4B4995E1" w14:textId="77777777" w:rsidR="000B75B6" w:rsidRDefault="000B7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65B50" w14:textId="77777777" w:rsidR="00E32331" w:rsidRDefault="00140B81" w:rsidP="006D278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E32331">
      <w:t>Edition</w:t>
    </w:r>
    <w:r w:rsidR="00E32331">
      <w:tab/>
      <w:t>5330-</w:t>
    </w:r>
    <w:r w:rsidR="00E32331">
      <w:rPr>
        <w:rStyle w:val="PageNumber"/>
      </w:rPr>
      <w:fldChar w:fldCharType="begin"/>
    </w:r>
    <w:r w:rsidR="00E32331">
      <w:rPr>
        <w:rStyle w:val="PageNumber"/>
      </w:rPr>
      <w:instrText xml:space="preserve"> PAGE </w:instrText>
    </w:r>
    <w:r w:rsidR="00E32331">
      <w:rPr>
        <w:rStyle w:val="PageNumber"/>
      </w:rPr>
      <w:fldChar w:fldCharType="separate"/>
    </w:r>
    <w:r w:rsidR="00376A51">
      <w:rPr>
        <w:rStyle w:val="PageNumber"/>
        <w:noProof/>
      </w:rPr>
      <w:t>1</w:t>
    </w:r>
    <w:r w:rsidR="00E32331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E1995" w14:textId="77777777" w:rsidR="000B75B6" w:rsidRDefault="000B75B6">
      <w:r>
        <w:separator/>
      </w:r>
    </w:p>
  </w:footnote>
  <w:footnote w:type="continuationSeparator" w:id="0">
    <w:p w14:paraId="466EB45C" w14:textId="77777777" w:rsidR="000B75B6" w:rsidRDefault="000B7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55A05" w14:textId="77777777" w:rsidR="00E32331" w:rsidRDefault="00E32331">
    <w:pPr>
      <w:spacing w:before="120"/>
      <w:jc w:val="right"/>
    </w:pPr>
    <w:r>
      <w:t>AIR FORCE FAR SUPPLEMENT</w:t>
    </w:r>
  </w:p>
  <w:p w14:paraId="4ABB20A5" w14:textId="77777777" w:rsidR="00E32331" w:rsidRDefault="00E32331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48E8A" w14:textId="77777777" w:rsidR="00E32331" w:rsidRDefault="00E32331">
    <w:pPr>
      <w:pStyle w:val="Heading2"/>
      <w:spacing w:before="0" w:after="0"/>
    </w:pPr>
    <w:r>
      <w:t>AIR FORCE FAR SUPPLEMENT</w:t>
    </w:r>
  </w:p>
  <w:p w14:paraId="754D217E" w14:textId="77777777" w:rsidR="00E32331" w:rsidRDefault="00E32331">
    <w:pPr>
      <w:pBdr>
        <w:bottom w:val="single" w:sz="6" w:space="1" w:color="auto"/>
      </w:pBdr>
      <w:spacing w:after="0"/>
    </w:pPr>
    <w:r>
      <w:t xml:space="preserve">PART 5330 — </w:t>
    </w:r>
    <w:r w:rsidR="006D278E">
      <w:t>Cost Accounting Standards Administration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8431B5"/>
    <w:rsid w:val="000B75B6"/>
    <w:rsid w:val="000D1D65"/>
    <w:rsid w:val="000D25E0"/>
    <w:rsid w:val="000E25C7"/>
    <w:rsid w:val="00120CF7"/>
    <w:rsid w:val="00134CDA"/>
    <w:rsid w:val="00140B81"/>
    <w:rsid w:val="00175956"/>
    <w:rsid w:val="001A707C"/>
    <w:rsid w:val="001D2A66"/>
    <w:rsid w:val="00216E2D"/>
    <w:rsid w:val="002218DF"/>
    <w:rsid w:val="00281025"/>
    <w:rsid w:val="00291AAB"/>
    <w:rsid w:val="002B679D"/>
    <w:rsid w:val="00312096"/>
    <w:rsid w:val="00376A51"/>
    <w:rsid w:val="00383AD4"/>
    <w:rsid w:val="003A3152"/>
    <w:rsid w:val="003C0B85"/>
    <w:rsid w:val="003E2F81"/>
    <w:rsid w:val="0043463F"/>
    <w:rsid w:val="00436B53"/>
    <w:rsid w:val="00454BD0"/>
    <w:rsid w:val="004779F8"/>
    <w:rsid w:val="004A7D37"/>
    <w:rsid w:val="004B298E"/>
    <w:rsid w:val="004C0037"/>
    <w:rsid w:val="004E715F"/>
    <w:rsid w:val="00507CCF"/>
    <w:rsid w:val="00523CE6"/>
    <w:rsid w:val="00526F92"/>
    <w:rsid w:val="005926C5"/>
    <w:rsid w:val="005A57D6"/>
    <w:rsid w:val="006B54AE"/>
    <w:rsid w:val="006D278E"/>
    <w:rsid w:val="006F7CDA"/>
    <w:rsid w:val="007101CA"/>
    <w:rsid w:val="007444CF"/>
    <w:rsid w:val="00770299"/>
    <w:rsid w:val="007C1D15"/>
    <w:rsid w:val="007E48A1"/>
    <w:rsid w:val="007F004E"/>
    <w:rsid w:val="00836B57"/>
    <w:rsid w:val="008431B5"/>
    <w:rsid w:val="00852F53"/>
    <w:rsid w:val="00866593"/>
    <w:rsid w:val="00890A8D"/>
    <w:rsid w:val="008A56C2"/>
    <w:rsid w:val="008F367A"/>
    <w:rsid w:val="0094015C"/>
    <w:rsid w:val="009404A6"/>
    <w:rsid w:val="00970284"/>
    <w:rsid w:val="009A587D"/>
    <w:rsid w:val="009A5B1C"/>
    <w:rsid w:val="00A85014"/>
    <w:rsid w:val="00A86544"/>
    <w:rsid w:val="00A90C6A"/>
    <w:rsid w:val="00AD7F9F"/>
    <w:rsid w:val="00AF294F"/>
    <w:rsid w:val="00B911D9"/>
    <w:rsid w:val="00B93824"/>
    <w:rsid w:val="00BE12C2"/>
    <w:rsid w:val="00BE34F7"/>
    <w:rsid w:val="00BE757B"/>
    <w:rsid w:val="00BF39DA"/>
    <w:rsid w:val="00C12B72"/>
    <w:rsid w:val="00C173C2"/>
    <w:rsid w:val="00C74F08"/>
    <w:rsid w:val="00D93D28"/>
    <w:rsid w:val="00DA02EB"/>
    <w:rsid w:val="00DD1699"/>
    <w:rsid w:val="00E32331"/>
    <w:rsid w:val="00EA4A8B"/>
    <w:rsid w:val="00EA4E77"/>
    <w:rsid w:val="00EB523F"/>
    <w:rsid w:val="00F02BA8"/>
    <w:rsid w:val="00F41375"/>
    <w:rsid w:val="00F72478"/>
    <w:rsid w:val="00F86FE7"/>
    <w:rsid w:val="00FB0A4F"/>
    <w:rsid w:val="00FD1EB8"/>
    <w:rsid w:val="00FE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6826430"/>
  <w15:docId w15:val="{30C058BC-938F-4D22-BFE1-FEC7F50B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3E2F81"/>
    <w:pPr>
      <w:spacing w:before="120"/>
      <w:ind w:left="432"/>
      <w:contextualSpacing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6B54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54AE"/>
    <w:rPr>
      <w:rFonts w:ascii="Tahoma" w:hAnsi="Tahoma" w:cs="Tahoma"/>
      <w:color w:val="000000"/>
      <w:sz w:val="16"/>
      <w:szCs w:val="16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3E2F81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3E2F81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3E2F81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3E2F81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3E2F81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3E2F81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3E2F81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3E2F81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3E2F81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3E2F81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3E2F81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3E2F81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3E2F81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3E2F81"/>
    <w:pPr>
      <w:spacing w:after="0"/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3E2F81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3E2F81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3E2F81"/>
    <w:rPr>
      <w:b/>
      <w:i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3E2F81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3E2F81"/>
    <w:rPr>
      <w:b w:val="0"/>
      <w:i w:val="0"/>
      <w:iCs/>
      <w:color w:val="FF0000"/>
      <w:sz w:val="28"/>
    </w:rPr>
  </w:style>
  <w:style w:type="paragraph" w:customStyle="1" w:styleId="Heading2change">
    <w:name w:val="Heading 2_change"/>
    <w:basedOn w:val="edition"/>
    <w:link w:val="Heading2changeChar"/>
    <w:rsid w:val="003E2F81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3E2F81"/>
    <w:rPr>
      <w:b w:val="0"/>
      <w:i w:val="0"/>
      <w:iCs/>
      <w:color w:val="FF0000"/>
      <w:sz w:val="28"/>
    </w:rPr>
  </w:style>
  <w:style w:type="paragraph" w:customStyle="1" w:styleId="Heading3change">
    <w:name w:val="Heading 3_change"/>
    <w:basedOn w:val="edition"/>
    <w:link w:val="Heading3changeChar"/>
    <w:rsid w:val="003E2F81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3E2F81"/>
    <w:rPr>
      <w:b w:val="0"/>
      <w:i w:val="0"/>
      <w:iCs/>
      <w:caps/>
      <w:color w:val="FF0000"/>
      <w:sz w:val="24"/>
    </w:rPr>
  </w:style>
  <w:style w:type="paragraph" w:customStyle="1" w:styleId="List1change">
    <w:name w:val="List 1_change"/>
    <w:basedOn w:val="Normal"/>
    <w:link w:val="List1changeChar"/>
    <w:rsid w:val="003E2F81"/>
    <w:pPr>
      <w:keepNext/>
      <w:keepLines/>
      <w:ind w:left="432"/>
      <w:contextualSpacing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3E2F81"/>
    <w:rPr>
      <w:b/>
      <w:bCs/>
      <w:i/>
      <w:iCs/>
      <w:color w:val="FF0000"/>
      <w:sz w:val="24"/>
    </w:rPr>
  </w:style>
  <w:style w:type="paragraph" w:customStyle="1" w:styleId="List2change">
    <w:name w:val="List 2_change"/>
    <w:basedOn w:val="Normal"/>
    <w:link w:val="List2changeChar"/>
    <w:rsid w:val="003E2F81"/>
    <w:pPr>
      <w:ind w:left="821"/>
      <w:contextualSpacing/>
    </w:pPr>
    <w:rPr>
      <w:i/>
      <w:iCs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3E2F81"/>
    <w:rPr>
      <w:b/>
      <w:bCs/>
      <w:i/>
      <w:iCs/>
      <w:color w:val="FF0000"/>
      <w:sz w:val="24"/>
    </w:rPr>
  </w:style>
  <w:style w:type="paragraph" w:customStyle="1" w:styleId="List3change">
    <w:name w:val="List 3_change"/>
    <w:basedOn w:val="Normal"/>
    <w:link w:val="List3changeChar"/>
    <w:rsid w:val="003E2F81"/>
    <w:pPr>
      <w:keepNext/>
      <w:keepLines/>
      <w:ind w:left="1282"/>
      <w:contextualSpacing/>
    </w:pPr>
    <w:rPr>
      <w:i/>
      <w:iCs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3E2F81"/>
    <w:rPr>
      <w:b/>
      <w:bCs/>
      <w:i/>
      <w:iCs/>
      <w:color w:val="FF0000"/>
      <w:sz w:val="24"/>
    </w:rPr>
  </w:style>
  <w:style w:type="paragraph" w:customStyle="1" w:styleId="List4change">
    <w:name w:val="List 4_change"/>
    <w:basedOn w:val="Normal"/>
    <w:link w:val="List4changeChar"/>
    <w:rsid w:val="003E2F81"/>
    <w:pPr>
      <w:ind w:left="1642"/>
      <w:contextualSpacing/>
    </w:pPr>
    <w:rPr>
      <w:i/>
      <w:iCs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3E2F81"/>
    <w:rPr>
      <w:b/>
      <w:bCs/>
      <w:i/>
      <w:iCs/>
      <w:color w:val="FF0000"/>
      <w:sz w:val="24"/>
    </w:rPr>
  </w:style>
  <w:style w:type="paragraph" w:customStyle="1" w:styleId="List5change">
    <w:name w:val="List 5_change"/>
    <w:basedOn w:val="Normal"/>
    <w:link w:val="List5changeChar"/>
    <w:rsid w:val="003E2F81"/>
    <w:pPr>
      <w:keepNext/>
      <w:keepLines/>
      <w:ind w:left="1872"/>
      <w:contextualSpacing/>
    </w:pPr>
    <w:rPr>
      <w:i/>
      <w:iCs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3E2F81"/>
    <w:rPr>
      <w:b/>
      <w:bCs/>
      <w:i/>
      <w:iCs/>
      <w:color w:val="FF0000"/>
      <w:sz w:val="24"/>
    </w:rPr>
  </w:style>
  <w:style w:type="paragraph" w:customStyle="1" w:styleId="List6change">
    <w:name w:val="List 6_change"/>
    <w:basedOn w:val="Normal"/>
    <w:link w:val="List6changeChar"/>
    <w:rsid w:val="003E2F81"/>
    <w:pPr>
      <w:keepNext/>
      <w:keepLines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3E2F81"/>
    <w:rPr>
      <w:b/>
      <w:bCs/>
      <w:i w:val="0"/>
      <w:iCs/>
      <w:color w:val="000000"/>
      <w:sz w:val="22"/>
    </w:rPr>
  </w:style>
  <w:style w:type="paragraph" w:customStyle="1" w:styleId="List7change">
    <w:name w:val="List 7_change"/>
    <w:basedOn w:val="Normal"/>
    <w:link w:val="List7changeChar"/>
    <w:rsid w:val="003E2F81"/>
    <w:pPr>
      <w:keepNext/>
      <w:keepLines/>
      <w:ind w:left="2534"/>
      <w:contextualSpacing/>
    </w:pPr>
    <w:rPr>
      <w:iCs/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3E2F81"/>
    <w:rPr>
      <w:b/>
      <w:bCs/>
      <w:i w:val="0"/>
      <w:iCs/>
      <w:color w:val="FF0000"/>
      <w:sz w:val="24"/>
    </w:rPr>
  </w:style>
  <w:style w:type="paragraph" w:customStyle="1" w:styleId="List8change">
    <w:name w:val="List 8_change"/>
    <w:basedOn w:val="Normal"/>
    <w:link w:val="List8changeChar"/>
    <w:rsid w:val="003E2F81"/>
    <w:pPr>
      <w:keepNext/>
      <w:keepLines/>
      <w:ind w:left="2880"/>
      <w:contextualSpacing/>
    </w:pPr>
    <w:rPr>
      <w:iCs/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3E2F81"/>
    <w:rPr>
      <w:b/>
      <w:bCs/>
      <w:i w:val="0"/>
      <w:iCs/>
      <w:color w:val="FF0000"/>
      <w:sz w:val="24"/>
    </w:rPr>
  </w:style>
  <w:style w:type="paragraph" w:customStyle="1" w:styleId="Normalchange">
    <w:name w:val="Normal_change"/>
    <w:basedOn w:val="edition"/>
    <w:link w:val="NormalchangeChar"/>
    <w:rsid w:val="003E2F81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3E2F81"/>
    <w:rPr>
      <w:rFonts w:asciiTheme="minorHAnsi" w:hAnsiTheme="minorHAnsi" w:cstheme="minorHAnsi"/>
      <w:b/>
      <w:i w:val="0"/>
      <w:iCs/>
      <w:color w:val="FF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usaf.pentagon.saf-aq.mbx.saf-aqcp-workflow@mail.mil" TargetMode="External"/><Relationship Id="rId4" Type="http://schemas.openxmlformats.org/officeDocument/2006/relationships/styles" Target="styles.xml"/><Relationship Id="rId9" Type="http://schemas.openxmlformats.org/officeDocument/2006/relationships/hyperlink" Target="mailto:usaf.pentagon.saf-aq.mbx.saf-aqc-workflow@mail.mi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0B8B22-5028-4EBF-B665-385D116CF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17C55B-85E3-451B-ABC5-6EF4A71D25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1E86C1-4BA7-4DE5-B7A3-F95D01644C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 Accounting Standards Administration</vt:lpstr>
    </vt:vector>
  </TitlesOfParts>
  <Company>USAF</Company>
  <LinksUpToDate>false</LinksUpToDate>
  <CharactersWithSpaces>1264</CharactersWithSpaces>
  <SharedDoc>false</SharedDoc>
  <HLinks>
    <vt:vector size="12" baseType="variant">
      <vt:variant>
        <vt:i4>4325401</vt:i4>
      </vt:variant>
      <vt:variant>
        <vt:i4>3</vt:i4>
      </vt:variant>
      <vt:variant>
        <vt:i4>0</vt:i4>
      </vt:variant>
      <vt:variant>
        <vt:i4>5</vt:i4>
      </vt:variant>
      <vt:variant>
        <vt:lpwstr>MP5330.201-5.doc</vt:lpwstr>
      </vt:variant>
      <vt:variant>
        <vt:lpwstr/>
      </vt:variant>
      <vt:variant>
        <vt:i4>4325401</vt:i4>
      </vt:variant>
      <vt:variant>
        <vt:i4>0</vt:i4>
      </vt:variant>
      <vt:variant>
        <vt:i4>0</vt:i4>
      </vt:variant>
      <vt:variant>
        <vt:i4>5</vt:i4>
      </vt:variant>
      <vt:variant>
        <vt:lpwstr>MP5330.201-5.doc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Accounting Standards Administration</dc:title>
  <dc:creator>POWELLDJ</dc:creator>
  <cp:lastModifiedBy>Gregory Pangborn</cp:lastModifiedBy>
  <cp:revision>54</cp:revision>
  <cp:lastPrinted>2016-08-25T13:40:00Z</cp:lastPrinted>
  <dcterms:created xsi:type="dcterms:W3CDTF">2013-05-01T18:20:00Z</dcterms:created>
  <dcterms:modified xsi:type="dcterms:W3CDTF">2020-04-21T16:42:00Z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